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21EE9B8B-E29D-46DF-A642-0C7F1CDB78E5" style="width:450.8pt;height:334.3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A BIZOTTSÁG KÖZLEMÉNYE AZ EURÓPAI PARLAMENTNEK, A TANÁCSNAK, AZ EURÓPAI GAZDASÁGI ÉS SZOCIÁLIS BIZOTTSÁGNAK ÉS A RÉGIÓK BIZOTTSÁGÁNAK</w:t>
      </w:r>
    </w:p>
    <w:p>
      <w:pPr>
        <w:pStyle w:val="Titreobjet"/>
        <w:rPr>
          <w:noProof/>
        </w:rPr>
      </w:pPr>
      <w:r>
        <w:rPr>
          <w:noProof/>
        </w:rPr>
        <w:t>A jogérvényesülés biztosítása az EU-ban – A 2021 és 2024 közötti időszakra szóló európai igazságügyi képzési stratégia</w:t>
      </w:r>
    </w:p>
    <w:p>
      <w:pPr>
        <w:pStyle w:val="Heading1"/>
        <w:numPr>
          <w:ilvl w:val="0"/>
          <w:numId w:val="69"/>
        </w:numPr>
        <w:rPr>
          <w:rFonts w:eastAsia="Calibri"/>
          <w:noProof/>
        </w:rPr>
      </w:pPr>
      <w:r>
        <w:rPr>
          <w:noProof/>
        </w:rPr>
        <w:t>Bevezetés</w:t>
      </w:r>
    </w:p>
    <w:p>
      <w:pPr>
        <w:jc w:val="both"/>
        <w:rPr>
          <w:rFonts w:ascii="Times New Roman" w:hAnsi="Times New Roman" w:cs="Times New Roman"/>
          <w:noProof/>
          <w:sz w:val="24"/>
          <w:szCs w:val="24"/>
        </w:rPr>
      </w:pPr>
      <w:r>
        <w:rPr>
          <w:rFonts w:ascii="Times New Roman" w:hAnsi="Times New Roman"/>
          <w:noProof/>
          <w:sz w:val="24"/>
          <w:szCs w:val="24"/>
        </w:rPr>
        <w:t>A Lisszaboni Szerződés hatáskörökkel ruházta fel az Európai Uniót arra vonatkozóan, hogy támogassa a polgári és büntetőügyekben folytatott igazságügyi együttműködést „a bírák, ügyészek és az igazságszolgáltatási alkalmazottak képzésének támogatása”</w:t>
      </w:r>
      <w:r>
        <w:rPr>
          <w:rStyle w:val="FootnoteReference"/>
          <w:rFonts w:ascii="Times New Roman" w:eastAsia="Calibri" w:hAnsi="Times New Roman" w:cs="Times New Roman"/>
          <w:noProof/>
          <w:color w:val="000000" w:themeColor="text1"/>
          <w:sz w:val="24"/>
          <w:szCs w:val="24"/>
        </w:rPr>
        <w:footnoteReference w:id="2"/>
      </w:r>
      <w:r>
        <w:rPr>
          <w:rFonts w:ascii="Times New Roman" w:hAnsi="Times New Roman"/>
          <w:noProof/>
          <w:sz w:val="24"/>
          <w:szCs w:val="24"/>
        </w:rPr>
        <w:t xml:space="preserve"> révén. Azóta az uniós jogra vonatkozó igazságügyi képzés előmozdította </w:t>
      </w:r>
      <w:r>
        <w:rPr>
          <w:rFonts w:ascii="Times New Roman" w:hAnsi="Times New Roman"/>
          <w:b/>
          <w:bCs/>
          <w:noProof/>
          <w:sz w:val="24"/>
          <w:szCs w:val="24"/>
        </w:rPr>
        <w:t>az uniós jog helyes és egységes alkalmazását</w:t>
      </w:r>
      <w:r>
        <w:rPr>
          <w:rFonts w:ascii="Times New Roman" w:hAnsi="Times New Roman"/>
          <w:noProof/>
          <w:sz w:val="24"/>
          <w:szCs w:val="24"/>
        </w:rPr>
        <w:t xml:space="preserve">, és megteremtette </w:t>
      </w:r>
      <w:r>
        <w:rPr>
          <w:rFonts w:ascii="Times New Roman" w:hAnsi="Times New Roman"/>
          <w:b/>
          <w:bCs/>
          <w:noProof/>
          <w:sz w:val="24"/>
          <w:szCs w:val="24"/>
        </w:rPr>
        <w:t>a kölcsönös bizalmat a határokon átnyúló bírósági eljárások során</w:t>
      </w:r>
      <w:r>
        <w:rPr>
          <w:rFonts w:ascii="Times New Roman" w:hAnsi="Times New Roman"/>
          <w:noProof/>
          <w:sz w:val="24"/>
          <w:szCs w:val="24"/>
        </w:rPr>
        <w:t>, elősegítve ezzel az európai igazságszolgáltatási térség kiépítését.</w:t>
      </w:r>
    </w:p>
    <w:p>
      <w:pPr>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i/>
          <w:iCs/>
          <w:noProof/>
          <w:sz w:val="24"/>
          <w:szCs w:val="24"/>
        </w:rPr>
        <w:t>Az uniós jogérvényesülésbe vetett bizalom kiépítése – Az európai igazságügyi képzés új dimenziója</w:t>
      </w:r>
      <w:r>
        <w:rPr>
          <w:rFonts w:ascii="Times New Roman" w:hAnsi="Times New Roman"/>
          <w:noProof/>
          <w:sz w:val="24"/>
          <w:szCs w:val="24"/>
        </w:rPr>
        <w:t>” c. 2011-es bizottsági közlemény</w:t>
      </w:r>
      <w:r>
        <w:rPr>
          <w:rStyle w:val="FootnoteReference"/>
          <w:rFonts w:ascii="Times New Roman" w:hAnsi="Times New Roman" w:cs="Times New Roman"/>
          <w:noProof/>
        </w:rPr>
        <w:footnoteReference w:id="3"/>
      </w:r>
      <w:r>
        <w:rPr>
          <w:rFonts w:ascii="Times New Roman" w:hAnsi="Times New Roman"/>
          <w:noProof/>
          <w:sz w:val="24"/>
          <w:szCs w:val="24"/>
        </w:rPr>
        <w:t xml:space="preserve"> </w:t>
      </w:r>
      <w:r>
        <w:rPr>
          <w:rFonts w:ascii="Times New Roman" w:hAnsi="Times New Roman"/>
          <w:b/>
          <w:bCs/>
          <w:noProof/>
          <w:sz w:val="24"/>
          <w:szCs w:val="24"/>
        </w:rPr>
        <w:t>lépésváltást</w:t>
      </w:r>
      <w:r>
        <w:rPr>
          <w:rFonts w:ascii="Times New Roman" w:hAnsi="Times New Roman"/>
          <w:noProof/>
          <w:sz w:val="24"/>
          <w:szCs w:val="24"/>
        </w:rPr>
        <w:t xml:space="preserve"> hozott az EU-beli igazságügyi képzések szervezésében, mind a megközelítés, mind az arányok tekintetében. Noha egy 2010-es felmérés</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szerint a válaszadó EU-beli bírók és ügyészek többsége korábban soha nem vett részt az uniós joggal vagy egy másik tagállam jogával foglalkozó igazságügyi képzésben, a közlemény elfogadása óta az EU-ban a gyakorló jogászoknak már több mint fele (több mint 1 millió fő) részt vett ilyen képzésben.</w:t>
      </w:r>
    </w:p>
    <w:p>
      <w:pPr>
        <w:jc w:val="both"/>
        <w:rPr>
          <w:rFonts w:ascii="Times New Roman" w:hAnsi="Times New Roman" w:cs="Times New Roman"/>
          <w:noProof/>
          <w:sz w:val="24"/>
          <w:szCs w:val="24"/>
        </w:rPr>
      </w:pPr>
      <w:r>
        <w:rPr>
          <w:rFonts w:ascii="Times New Roman" w:hAnsi="Times New Roman"/>
          <w:noProof/>
          <w:sz w:val="24"/>
          <w:szCs w:val="24"/>
        </w:rPr>
        <w:t xml:space="preserve">A </w:t>
      </w:r>
      <w:r>
        <w:rPr>
          <w:rFonts w:ascii="Times New Roman" w:hAnsi="Times New Roman"/>
          <w:b/>
          <w:bCs/>
          <w:noProof/>
          <w:sz w:val="24"/>
          <w:szCs w:val="24"/>
        </w:rPr>
        <w:t>2011 és 2020 közötti időszakra szóló európai igazságügyi képzési stratégia</w:t>
      </w:r>
      <w:r>
        <w:rPr>
          <w:rFonts w:ascii="Times New Roman" w:hAnsi="Times New Roman"/>
          <w:noProof/>
          <w:sz w:val="24"/>
          <w:szCs w:val="24"/>
        </w:rPr>
        <w:t xml:space="preserve"> (2019-ben közzétett) értékeléséből</w:t>
      </w:r>
      <w:r>
        <w:rPr>
          <w:rStyle w:val="FootnoteReference"/>
          <w:rFonts w:ascii="Times New Roman" w:eastAsia="Calibri" w:hAnsi="Times New Roman" w:cs="Times New Roman"/>
          <w:noProof/>
          <w:color w:val="000000" w:themeColor="text1"/>
          <w:sz w:val="24"/>
          <w:szCs w:val="24"/>
        </w:rPr>
        <w:footnoteReference w:id="5"/>
      </w:r>
      <w:r>
        <w:rPr>
          <w:rFonts w:ascii="Times New Roman" w:hAnsi="Times New Roman"/>
          <w:noProof/>
          <w:sz w:val="24"/>
          <w:szCs w:val="24"/>
        </w:rPr>
        <w:t xml:space="preserve"> és az európai igazságügyi képzésről szóló éves jelentésekből</w:t>
      </w:r>
      <w:r>
        <w:rPr>
          <w:rStyle w:val="FootnoteReference"/>
          <w:rFonts w:ascii="Times New Roman" w:eastAsia="Calibri" w:hAnsi="Times New Roman" w:cs="Times New Roman"/>
          <w:noProof/>
          <w:color w:val="000000" w:themeColor="text1"/>
          <w:sz w:val="24"/>
          <w:szCs w:val="24"/>
          <w:lang w:eastAsia="en-GB"/>
        </w:rPr>
        <w:footnoteReference w:id="6"/>
      </w:r>
      <w:r>
        <w:rPr>
          <w:rFonts w:ascii="Times New Roman" w:hAnsi="Times New Roman"/>
          <w:noProof/>
          <w:sz w:val="24"/>
          <w:szCs w:val="24"/>
        </w:rPr>
        <w:t xml:space="preserve"> az derül ki, hogy összességében véve a stratégia legtöbb célkitűzése teljesült. </w:t>
      </w:r>
      <w:r>
        <w:rPr>
          <w:rFonts w:ascii="Times New Roman" w:hAnsi="Times New Roman"/>
          <w:noProof/>
          <w:color w:val="000000" w:themeColor="text1"/>
          <w:sz w:val="24"/>
          <w:szCs w:val="24"/>
          <w:bdr w:val="nil"/>
        </w:rPr>
        <w:t xml:space="preserve">Azt a kiemelt célkitűzést, hogy 2011 és 2020 között az összes gyakorló jogász fele (azaz 800 000 fő) részesüljön az uniós jogra vonatkozó képzésben, 2017-re sikerült teljesíteni. A stratégiának köszönhetően nőtt a képzési tevékenységek száma, és egyes új tevékenységfajtákat is előmozdított, például a csereprogramokat. A stratégia több jogászi kategória – különösen a bírák és az ügyészek – esetében is hozzájárult az uniós jogi képzés javításához. </w:t>
      </w:r>
      <w:r>
        <w:rPr>
          <w:rFonts w:ascii="Times New Roman" w:hAnsi="Times New Roman"/>
          <w:noProof/>
          <w:sz w:val="24"/>
          <w:szCs w:val="24"/>
        </w:rPr>
        <w:t>Emellett fejlesztette az olyan hálózatok kapacitását, mint például az Európai Igazságügyi Képzési Hálózat (EJTN), és megerősítette az uniós szintű hálózatokat és képzésszolgáltatókat.</w:t>
      </w:r>
    </w:p>
    <w:p>
      <w:pPr>
        <w:jc w:val="both"/>
        <w:rPr>
          <w:rFonts w:ascii="Times New Roman" w:hAnsi="Times New Roman" w:cs="Times New Roman"/>
          <w:noProof/>
          <w:sz w:val="24"/>
          <w:szCs w:val="24"/>
        </w:rPr>
      </w:pPr>
      <w:r>
        <w:rPr>
          <w:rFonts w:ascii="Times New Roman" w:hAnsi="Times New Roman"/>
          <w:noProof/>
          <w:sz w:val="24"/>
          <w:szCs w:val="24"/>
        </w:rPr>
        <w:t xml:space="preserve">Mindezen eredményekre építve most az a legfontosabb, hogy az igazságügyi képzés továbbra is kiemelt jelentőségű ügy maradjon az EU számára, és biztosítva legyen a </w:t>
      </w:r>
      <w:r>
        <w:rPr>
          <w:rFonts w:ascii="Times New Roman" w:hAnsi="Times New Roman"/>
          <w:b/>
          <w:bCs/>
          <w:noProof/>
          <w:sz w:val="24"/>
          <w:szCs w:val="24"/>
        </w:rPr>
        <w:t>további fejlesztése</w:t>
      </w:r>
      <w:r>
        <w:rPr>
          <w:rFonts w:ascii="Times New Roman" w:hAnsi="Times New Roman"/>
          <w:noProof/>
          <w:sz w:val="24"/>
          <w:szCs w:val="24"/>
        </w:rPr>
        <w:t>.</w:t>
      </w:r>
    </w:p>
    <w:p>
      <w:pPr>
        <w:spacing w:after="120"/>
        <w:jc w:val="both"/>
        <w:rPr>
          <w:rFonts w:ascii="Times New Roman" w:hAnsi="Times New Roman" w:cs="Times New Roman"/>
          <w:noProof/>
          <w:sz w:val="24"/>
          <w:szCs w:val="24"/>
        </w:rPr>
      </w:pPr>
      <w:r>
        <w:rPr>
          <w:rFonts w:ascii="Times New Roman" w:hAnsi="Times New Roman"/>
          <w:noProof/>
          <w:sz w:val="24"/>
          <w:szCs w:val="24"/>
        </w:rPr>
        <w:t>Az EU számos olyan új fejleménnyel és kihívással szembesül, amelyek kezeléséhez igazságügyi képzésre van szükség, mint például a jogállamiság csorbulása és az alapvető jogokkal szembeni támadások egyes tagállamokban, társadalmaink egyre nagyobb mértékű digitalizációja és az uniós tagsággal kapcsolatos kilátások a Nyugat-Balkán számára. Ezenkívül a képzésekben való részvétel szintjében továbbra is jelentős eltérések vannak a tagállamok között és a jogi szakmák között is. Ez kedvezőtlenül befolyásolhatja az uniós jogszabályok egységes és hatékony alkalmazását.</w:t>
      </w:r>
    </w:p>
    <w:p>
      <w:pPr>
        <w:jc w:val="both"/>
        <w:rPr>
          <w:rFonts w:ascii="Times New Roman" w:hAnsi="Times New Roman" w:cs="Times New Roman"/>
          <w:noProof/>
        </w:rPr>
      </w:pPr>
      <w:r>
        <w:rPr>
          <w:rFonts w:ascii="Times New Roman" w:hAnsi="Times New Roman"/>
          <w:noProof/>
          <w:sz w:val="24"/>
          <w:szCs w:val="24"/>
        </w:rPr>
        <w:t>Ez a közlemény a 2011 óta levont tanulságokra és az azóta bekövetkezett új fejleményekre épít. Tükrözi a 2011 és 2020 közötti időszakra szóló stratégiára vonatkozó bizottsági értékelés, valamint a Bizottság által 2018-ban lefolytatott széleskörű nyilvános konzultáció eredményeit</w:t>
      </w:r>
      <w:r>
        <w:rPr>
          <w:rStyle w:val="FootnoteReference"/>
          <w:rFonts w:ascii="Times New Roman" w:hAnsi="Times New Roman" w:cs="Times New Roman"/>
          <w:noProof/>
          <w:sz w:val="24"/>
          <w:szCs w:val="24"/>
          <w:lang w:eastAsia="en-GB"/>
        </w:rPr>
        <w:footnoteReference w:id="7"/>
      </w:r>
      <w:r>
        <w:rPr>
          <w:rFonts w:ascii="Times New Roman" w:hAnsi="Times New Roman"/>
          <w:noProof/>
          <w:sz w:val="24"/>
          <w:szCs w:val="24"/>
        </w:rPr>
        <w:t>. Átfogó stratégiát határoz meg az igazságügyi szakemberek uniós jogi képzésének további javítására, melynek keretében új témákra, szakmákra és földrajzi területekre terjeszti ki a szakpolitikai fellépést, új kihívásokra próbál választ adni és új célokat határoz meg a 2021 és 2024 közötti időszakra.</w:t>
      </w:r>
    </w:p>
    <w:p>
      <w:pPr>
        <w:pStyle w:val="Heading1"/>
        <w:numPr>
          <w:ilvl w:val="0"/>
          <w:numId w:val="69"/>
        </w:numPr>
        <w:rPr>
          <w:noProof/>
        </w:rPr>
      </w:pPr>
      <w:r>
        <w:rPr>
          <w:noProof/>
        </w:rPr>
        <w:t>Rugalmas reagálás az újonnan felmerülő uniós jogi képzési igényekre</w:t>
      </w:r>
    </w:p>
    <w:p>
      <w:pPr>
        <w:jc w:val="both"/>
        <w:rPr>
          <w:rFonts w:ascii="Times New Roman" w:eastAsia="Calibri" w:hAnsi="Times New Roman" w:cs="Times New Roman"/>
          <w:noProof/>
          <w:color w:val="000000" w:themeColor="text1"/>
          <w:sz w:val="24"/>
          <w:szCs w:val="24"/>
        </w:rPr>
      </w:pPr>
      <w:r>
        <w:rPr>
          <w:rFonts w:ascii="Times New Roman" w:hAnsi="Times New Roman"/>
          <w:noProof/>
          <w:sz w:val="24"/>
          <w:szCs w:val="24"/>
        </w:rPr>
        <w:t>A gyakorló jogászoknak képesnek kell lenniük alkalmazkodni az új fejleményekhez, többek között az uniós jog területén is. Ezért fontos, hogy az újonnan felmerülő uniós jogi képzési igényekre rugalmas választ tudjunk adni.</w:t>
      </w:r>
    </w:p>
    <w:p>
      <w:pPr>
        <w:pStyle w:val="Heading2"/>
        <w:tabs>
          <w:tab w:val="clear" w:pos="1077"/>
        </w:tabs>
        <w:ind w:left="709" w:hanging="709"/>
        <w:rPr>
          <w:noProof/>
        </w:rPr>
      </w:pPr>
      <w:r>
        <w:rPr>
          <w:noProof/>
        </w:rPr>
        <w:t>Igazságügyi képzéssel a közös jogállamisági kultúra előmozdításáért</w:t>
      </w:r>
    </w:p>
    <w:p>
      <w:pPr>
        <w:jc w:val="both"/>
        <w:rPr>
          <w:rFonts w:ascii="Times New Roman" w:hAnsi="Times New Roman" w:cs="Times New Roman"/>
          <w:noProof/>
          <w:sz w:val="24"/>
          <w:szCs w:val="24"/>
        </w:rPr>
      </w:pPr>
      <w:r>
        <w:rPr>
          <w:rFonts w:ascii="Times New Roman" w:hAnsi="Times New Roman"/>
          <w:noProof/>
          <w:sz w:val="24"/>
          <w:szCs w:val="24"/>
        </w:rPr>
        <w:t xml:space="preserve">A jogállamiság tiszteletben tartása alapfeltétele az uniós jog eredményes alkalmazásának, valamint a tagállamok és igazságügyi hatóságaik közötti kölcsönös bizalomnak. A jogállamiság lényege az eredményes jogi védelem, amelyhez független, színvonalas és hatékony nemzeti igazságszolgáltatási rendszerekre van szükség. </w:t>
      </w:r>
      <w:r>
        <w:rPr>
          <w:rFonts w:ascii="Times New Roman" w:hAnsi="Times New Roman"/>
          <w:b/>
          <w:bCs/>
          <w:noProof/>
          <w:sz w:val="24"/>
          <w:szCs w:val="24"/>
        </w:rPr>
        <w:t>A gyakorló jogászok kulcsszerepet játszanak a jogállamiság védelmében</w:t>
      </w:r>
      <w:r>
        <w:rPr>
          <w:rFonts w:ascii="Times New Roman" w:hAnsi="Times New Roman"/>
          <w:noProof/>
          <w:sz w:val="24"/>
          <w:szCs w:val="24"/>
        </w:rPr>
        <w:t>. Lépést kell tartaniuk az e területen elfogadott uniós vívmányokkal, beleértve az Európai Unió Bíróságának (EUB) gyorsan fejlődő ítélkezési gyakorlatát is, hogy alkalmazni tudják azokat a munkájuk során. A jól képzett gyakorló jogászok és a jogászi hálózatok fontos szerepet játszanak a jogállamisági kultúra megerősítésében és magának a jogállamiságnak a védelmében is</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melynek középpontjában a bírói függetlenség elve áll.</w:t>
      </w:r>
    </w:p>
    <w:p>
      <w:pPr>
        <w:pStyle w:val="Heading2"/>
        <w:tabs>
          <w:tab w:val="clear" w:pos="1077"/>
        </w:tabs>
        <w:ind w:left="709" w:hanging="709"/>
        <w:rPr>
          <w:noProof/>
        </w:rPr>
      </w:pPr>
      <w:r>
        <w:rPr>
          <w:noProof/>
        </w:rPr>
        <w:t>Az alapvető jogok érvényesítése</w:t>
      </w:r>
    </w:p>
    <w:p>
      <w:pPr>
        <w:jc w:val="both"/>
        <w:rPr>
          <w:rFonts w:ascii="Times New Roman" w:eastAsia="Calibri" w:hAnsi="Times New Roman" w:cs="Times New Roman"/>
          <w:strike/>
          <w:noProof/>
          <w:color w:val="000000" w:themeColor="text1"/>
          <w:sz w:val="24"/>
          <w:szCs w:val="24"/>
        </w:rPr>
      </w:pPr>
      <w:r>
        <w:rPr>
          <w:rFonts w:ascii="Times New Roman" w:hAnsi="Times New Roman"/>
          <w:noProof/>
          <w:color w:val="000000" w:themeColor="text1"/>
          <w:sz w:val="24"/>
          <w:szCs w:val="24"/>
        </w:rPr>
        <w:t xml:space="preserve">A tagállami bírák és egyéb gyakorló jogászok kulcsszerepet játszanak az </w:t>
      </w:r>
      <w:r>
        <w:rPr>
          <w:rFonts w:ascii="Times New Roman" w:hAnsi="Times New Roman"/>
          <w:b/>
          <w:bCs/>
          <w:noProof/>
          <w:color w:val="000000" w:themeColor="text1"/>
          <w:sz w:val="24"/>
          <w:szCs w:val="24"/>
        </w:rPr>
        <w:t>Európai Unió Alapjogi Chartája</w:t>
      </w:r>
      <w:r>
        <w:rPr>
          <w:rFonts w:ascii="Times New Roman" w:hAnsi="Times New Roman"/>
          <w:noProof/>
          <w:color w:val="000000" w:themeColor="text1"/>
          <w:sz w:val="24"/>
          <w:szCs w:val="24"/>
        </w:rPr>
        <w:t xml:space="preserve"> eredményes alkalmazásának biztosításában és abban, hogy a Chartában foglalt jogok az emberek mindennapi életében is érvényesüljenek.</w:t>
      </w:r>
    </w:p>
    <w:p>
      <w:pPr>
        <w:jc w:val="both"/>
        <w:rPr>
          <w:rFonts w:ascii="Times New Roman" w:eastAsia="Calibri" w:hAnsi="Times New Roman" w:cs="Times New Roman"/>
          <w:noProof/>
          <w:color w:val="000000" w:themeColor="text1"/>
          <w:sz w:val="24"/>
          <w:szCs w:val="24"/>
        </w:rPr>
      </w:pPr>
      <w:r>
        <w:rPr>
          <w:rFonts w:ascii="Times New Roman" w:hAnsi="Times New Roman"/>
          <w:noProof/>
          <w:sz w:val="24"/>
          <w:szCs w:val="24"/>
        </w:rPr>
        <w:t>Ezért a fent említett szakembereknek külön képzést kell kapniuk a Charta alkalmazásáról, hatályáról és egyes konkrét jogokról, például az adatvédelemről</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valamint a nemzeti joggal való kapcsolatáról és az Emberi Jogok Európai Egyezményével való összefüggéséről.</w:t>
      </w:r>
      <w:r>
        <w:rPr>
          <w:rFonts w:ascii="Times New Roman" w:hAnsi="Times New Roman"/>
          <w:noProof/>
          <w:color w:val="000000" w:themeColor="text1"/>
          <w:sz w:val="24"/>
          <w:szCs w:val="24"/>
        </w:rPr>
        <w:t xml:space="preserve"> A Chartával kapcsolatos képzést adott esetben bele kell illeszteni az uniós jog különböző területeire vonatkozó képzési modulokba</w:t>
      </w:r>
      <w:r>
        <w:rPr>
          <w:rStyle w:val="FootnoteReference"/>
          <w:rFonts w:ascii="Times New Roman" w:eastAsia="Calibri" w:hAnsi="Times New Roman" w:cs="Times New Roman"/>
          <w:noProof/>
          <w:color w:val="000000" w:themeColor="text1"/>
          <w:sz w:val="24"/>
          <w:szCs w:val="24"/>
          <w:lang w:eastAsia="en-GB"/>
        </w:rPr>
        <w:footnoteReference w:id="10"/>
      </w:r>
      <w:r>
        <w:rPr>
          <w:rFonts w:ascii="Times New Roman" w:hAnsi="Times New Roman"/>
          <w:noProof/>
          <w:color w:val="000000" w:themeColor="text1"/>
          <w:sz w:val="24"/>
          <w:szCs w:val="24"/>
        </w:rPr>
        <w:t>.</w:t>
      </w:r>
    </w:p>
    <w:p>
      <w:pPr>
        <w:pStyle w:val="Heading2"/>
        <w:tabs>
          <w:tab w:val="clear" w:pos="1077"/>
        </w:tabs>
        <w:ind w:left="709" w:hanging="709"/>
        <w:rPr>
          <w:noProof/>
        </w:rPr>
      </w:pPr>
      <w:r>
        <w:rPr>
          <w:noProof/>
        </w:rPr>
        <w:t>Az igazságügy digitalizációjának fokozása</w:t>
      </w:r>
    </w:p>
    <w:p>
      <w:pPr>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szCs w:val="24"/>
        </w:rPr>
        <w:t xml:space="preserve">Az igazságügyi képzésnek fel kell készítenie az igazságügyi szakembereket a </w:t>
      </w:r>
      <w:r>
        <w:rPr>
          <w:rFonts w:ascii="Times New Roman" w:hAnsi="Times New Roman"/>
          <w:b/>
          <w:bCs/>
          <w:noProof/>
          <w:color w:val="000000" w:themeColor="text1"/>
          <w:sz w:val="24"/>
          <w:szCs w:val="24"/>
        </w:rPr>
        <w:t>digitalizációra</w:t>
      </w:r>
      <w:r>
        <w:rPr>
          <w:rFonts w:ascii="Times New Roman" w:hAnsi="Times New Roman"/>
          <w:noProof/>
          <w:color w:val="000000" w:themeColor="text1"/>
          <w:sz w:val="24"/>
          <w:szCs w:val="24"/>
        </w:rPr>
        <w:t xml:space="preserve"> és a</w:t>
      </w:r>
      <w:r>
        <w:rPr>
          <w:rFonts w:ascii="Times New Roman" w:hAnsi="Times New Roman"/>
          <w:b/>
          <w:bCs/>
          <w:noProof/>
          <w:color w:val="000000" w:themeColor="text1"/>
          <w:sz w:val="24"/>
          <w:szCs w:val="24"/>
        </w:rPr>
        <w:t xml:space="preserve"> mesterséges intelligencia</w:t>
      </w:r>
      <w:r>
        <w:rPr>
          <w:rFonts w:ascii="Times New Roman" w:hAnsi="Times New Roman"/>
          <w:noProof/>
          <w:color w:val="000000" w:themeColor="text1"/>
          <w:sz w:val="24"/>
          <w:szCs w:val="24"/>
        </w:rPr>
        <w:t xml:space="preserve"> használatára</w:t>
      </w:r>
      <w:r>
        <w:rPr>
          <w:rStyle w:val="FootnoteReference"/>
          <w:rFonts w:ascii="Times New Roman" w:eastAsia="Calibri" w:hAnsi="Times New Roman" w:cs="Times New Roman"/>
          <w:noProof/>
          <w:color w:val="000000" w:themeColor="text1"/>
          <w:sz w:val="24"/>
          <w:szCs w:val="24"/>
          <w:lang w:eastAsia="en-GB"/>
        </w:rPr>
        <w:footnoteReference w:id="11"/>
      </w:r>
      <w:r>
        <w:rPr>
          <w:rFonts w:ascii="Times New Roman" w:hAnsi="Times New Roman"/>
          <w:noProof/>
          <w:color w:val="000000" w:themeColor="text1"/>
          <w:sz w:val="24"/>
          <w:szCs w:val="24"/>
        </w:rPr>
        <w:t xml:space="preserve">. Az e téren tapasztalható fejlődés egyre jobban befolyásolja életünk minden területét. A Covid19-világjárvány rávilágított arra, hogy az igazságügyi rendszereknek gyorsan alkalmazkodniuk kell az új helyzethez a digitalizáció révén. </w:t>
      </w:r>
      <w:r>
        <w:rPr>
          <w:rFonts w:ascii="Times New Roman" w:hAnsi="Times New Roman"/>
          <w:noProof/>
          <w:sz w:val="24"/>
          <w:szCs w:val="24"/>
        </w:rPr>
        <w:t xml:space="preserve">A gyakorló jogászoknak tudatában kell lenniük annak, hogy a </w:t>
      </w:r>
      <w:r>
        <w:rPr>
          <w:rFonts w:ascii="Times New Roman" w:hAnsi="Times New Roman"/>
          <w:b/>
          <w:bCs/>
          <w:noProof/>
          <w:sz w:val="24"/>
          <w:szCs w:val="24"/>
        </w:rPr>
        <w:t>digitális eszközök és technológiák</w:t>
      </w:r>
      <w:r>
        <w:rPr>
          <w:rFonts w:ascii="Times New Roman" w:hAnsi="Times New Roman"/>
          <w:noProof/>
          <w:sz w:val="24"/>
          <w:szCs w:val="24"/>
        </w:rPr>
        <w:t xml:space="preserve"> milyen hatással vannak az általuk kezelt ügyekre, és késznek kell lenniük arra, hogy ezeket alkalmazzák a mindennapi gyakorlatukban, többek között a határokon átnyúló eljárásokban is</w:t>
      </w:r>
      <w:r>
        <w:rPr>
          <w:rStyle w:val="FootnoteReference"/>
          <w:rFonts w:ascii="Times New Roman" w:eastAsia="Calibri" w:hAnsi="Times New Roman" w:cs="Times New Roman"/>
          <w:noProof/>
          <w:color w:val="000000" w:themeColor="text1"/>
          <w:sz w:val="24"/>
          <w:szCs w:val="24"/>
          <w:lang w:eastAsia="en-GB"/>
        </w:rPr>
        <w:footnoteReference w:id="12"/>
      </w:r>
      <w:r>
        <w:rPr>
          <w:rFonts w:ascii="Times New Roman" w:hAnsi="Times New Roman"/>
          <w:noProof/>
          <w:sz w:val="24"/>
          <w:szCs w:val="24"/>
        </w:rPr>
        <w:t>.</w:t>
      </w:r>
      <w:r>
        <w:rPr>
          <w:rFonts w:ascii="Times New Roman" w:hAnsi="Times New Roman"/>
          <w:noProof/>
          <w:color w:val="000000" w:themeColor="text1"/>
          <w:sz w:val="24"/>
          <w:szCs w:val="24"/>
        </w:rPr>
        <w:t xml:space="preserve"> Biztosítaniuk kell a magánszemélyek jogainak és személyes adatainak megfelelő védelmét a digitális térben, különösen azért, hogy a felek hozzáférhessenek az ügyiratokhoz és részt vehessenek a bírósági tárgyalásokon.</w:t>
      </w:r>
    </w:p>
    <w:p>
      <w:pPr>
        <w:pStyle w:val="Heading2"/>
        <w:tabs>
          <w:tab w:val="clear" w:pos="1077"/>
        </w:tabs>
        <w:ind w:left="709" w:hanging="709"/>
        <w:rPr>
          <w:noProof/>
        </w:rPr>
      </w:pPr>
      <w:r>
        <w:rPr>
          <w:noProof/>
        </w:rPr>
        <w:t>Lépést tartani az uniós jog fejlődésével</w:t>
      </w:r>
    </w:p>
    <w:p>
      <w:pPr>
        <w:jc w:val="both"/>
        <w:rPr>
          <w:rFonts w:ascii="Times New Roman" w:hAnsi="Times New Roman" w:cs="Times New Roman"/>
          <w:noProof/>
          <w:sz w:val="24"/>
          <w:szCs w:val="24"/>
        </w:rPr>
      </w:pPr>
      <w:r>
        <w:rPr>
          <w:rFonts w:ascii="Times New Roman" w:hAnsi="Times New Roman"/>
          <w:noProof/>
          <w:sz w:val="24"/>
          <w:szCs w:val="24"/>
        </w:rPr>
        <w:t>Az európai igazságügyi képzésnek képessé kell tennie a jogászokat arra, hogy lássák az</w:t>
      </w:r>
      <w:r>
        <w:rPr>
          <w:rFonts w:ascii="Times New Roman" w:hAnsi="Times New Roman"/>
          <w:b/>
          <w:bCs/>
          <w:noProof/>
          <w:sz w:val="24"/>
          <w:szCs w:val="24"/>
        </w:rPr>
        <w:t xml:space="preserve"> uniós jog szerepét</w:t>
      </w:r>
      <w:r>
        <w:rPr>
          <w:rFonts w:ascii="Times New Roman" w:hAnsi="Times New Roman"/>
          <w:noProof/>
          <w:sz w:val="24"/>
          <w:szCs w:val="24"/>
        </w:rPr>
        <w:t xml:space="preserve"> a napi gyakorlatukban, </w:t>
      </w:r>
      <w:r>
        <w:rPr>
          <w:rFonts w:ascii="Times New Roman" w:hAnsi="Times New Roman"/>
          <w:b/>
          <w:bCs/>
          <w:noProof/>
          <w:sz w:val="24"/>
          <w:szCs w:val="24"/>
        </w:rPr>
        <w:t>teljesen érvényt szerezzenek neki,</w:t>
      </w:r>
      <w:r>
        <w:rPr>
          <w:rFonts w:ascii="Times New Roman" w:hAnsi="Times New Roman"/>
          <w:noProof/>
          <w:sz w:val="24"/>
          <w:szCs w:val="24"/>
        </w:rPr>
        <w:t xml:space="preserve"> és biztosítsák az uniós jogból fakadó</w:t>
      </w:r>
      <w:r>
        <w:rPr>
          <w:rFonts w:ascii="Times New Roman" w:hAnsi="Times New Roman"/>
          <w:b/>
          <w:bCs/>
          <w:noProof/>
          <w:sz w:val="24"/>
          <w:szCs w:val="24"/>
        </w:rPr>
        <w:t xml:space="preserve"> jogok és kötelességek tiszteletben tartását</w:t>
      </w:r>
      <w:r>
        <w:rPr>
          <w:rFonts w:ascii="Times New Roman" w:hAnsi="Times New Roman"/>
          <w:noProof/>
          <w:sz w:val="24"/>
          <w:szCs w:val="24"/>
        </w:rPr>
        <w:t xml:space="preserve"> a nemzeti bírósági eljárásokban. Fontos továbbá, hogy naprakészen kövessék az uniós jog fejlődését. Bármilyen új jogszabály és az EUB ítélkezési gyakorlatának új fejleményei is képzést tesznek szükségessé, ha azt akarjuk, hogy elérjék a kívánt hatást, és az igazságügyi szakemberek rendelkezzenek a szükséges ismeretekkel és készségekkel.</w:t>
      </w:r>
    </w:p>
    <w:p>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Különösképpen igaz ez a </w:t>
      </w:r>
      <w:r>
        <w:rPr>
          <w:rFonts w:ascii="Times New Roman" w:hAnsi="Times New Roman"/>
          <w:b/>
          <w:bCs/>
          <w:noProof/>
          <w:sz w:val="24"/>
          <w:szCs w:val="24"/>
        </w:rPr>
        <w:t>határon átnyúló igazságügyi együttműködést</w:t>
      </w:r>
      <w:r>
        <w:rPr>
          <w:rFonts w:ascii="Times New Roman" w:hAnsi="Times New Roman"/>
          <w:noProof/>
          <w:sz w:val="24"/>
          <w:szCs w:val="24"/>
        </w:rPr>
        <w:t xml:space="preserve"> biztosító alapvető uniós jogi eszközökre. Az </w:t>
      </w:r>
      <w:r>
        <w:rPr>
          <w:rFonts w:ascii="Times New Roman" w:hAnsi="Times New Roman"/>
          <w:b/>
          <w:noProof/>
          <w:sz w:val="24"/>
          <w:szCs w:val="24"/>
        </w:rPr>
        <w:t>Európai Ügyészség</w:t>
      </w:r>
      <w:r>
        <w:rPr>
          <w:rFonts w:ascii="Times New Roman" w:hAnsi="Times New Roman"/>
          <w:noProof/>
          <w:sz w:val="24"/>
          <w:szCs w:val="24"/>
        </w:rPr>
        <w:t xml:space="preserve"> (EPPO) létrehozása is jelentős képzési elvárásokat ró az ügyészekre, a bírákra és a védőügyvédekre. </w:t>
      </w:r>
      <w:r>
        <w:rPr>
          <w:rFonts w:ascii="Times New Roman" w:hAnsi="Times New Roman"/>
          <w:noProof/>
          <w:color w:val="000000" w:themeColor="text1"/>
          <w:sz w:val="24"/>
          <w:szCs w:val="24"/>
        </w:rPr>
        <w:t>A stratégiának különösképpen javítania kell e szakmák képzését olyan témákkal kapcsolatban, mint az EPPO jogalapja, a nemzeti jogrendszereknek és igazságügyi struktúráknak az EPPO-hoz való hozzáigazítása, az EPPO és az EU pénzügyi érdekeinek védelmét biztosító egyéb uniós szervek és ügynökségek – pl. az EUROJUST, az EUROPOL és az OLAF – közötti kapcsolat, valamint az EPPO által a határokon átnyúló igazságügyi együttműködésben használt uniós jogi eszközök alkalmazása.</w:t>
      </w:r>
    </w:p>
    <w:p>
      <w:pPr>
        <w:jc w:val="both"/>
        <w:rPr>
          <w:rFonts w:ascii="Times New Roman" w:hAnsi="Times New Roman" w:cs="Times New Roman"/>
          <w:noProof/>
          <w:sz w:val="24"/>
          <w:szCs w:val="24"/>
        </w:rPr>
      </w:pPr>
      <w:r>
        <w:rPr>
          <w:rFonts w:ascii="Times New Roman" w:hAnsi="Times New Roman"/>
          <w:noProof/>
          <w:sz w:val="24"/>
          <w:szCs w:val="24"/>
        </w:rPr>
        <w:t xml:space="preserve">A </w:t>
      </w:r>
      <w:r>
        <w:rPr>
          <w:rFonts w:ascii="Times New Roman" w:hAnsi="Times New Roman"/>
          <w:b/>
          <w:bCs/>
          <w:noProof/>
          <w:sz w:val="24"/>
          <w:szCs w:val="24"/>
        </w:rPr>
        <w:t>biztonság</w:t>
      </w:r>
      <w:r>
        <w:rPr>
          <w:rFonts w:ascii="Times New Roman" w:hAnsi="Times New Roman"/>
          <w:noProof/>
          <w:sz w:val="24"/>
          <w:szCs w:val="24"/>
        </w:rPr>
        <w:t xml:space="preserve"> terén továbbra is kiemelten fontos képzési téma a terrorizmus elleni küzdelem, </w:t>
      </w:r>
      <w:r>
        <w:rPr>
          <w:rFonts w:ascii="Times New Roman" w:hAnsi="Times New Roman"/>
          <w:noProof/>
          <w:color w:val="000000" w:themeColor="text1"/>
          <w:sz w:val="24"/>
          <w:szCs w:val="24"/>
        </w:rPr>
        <w:t>a szervezett bűnözés (beleértve az emberkereskedelmet,</w:t>
      </w:r>
      <w:r>
        <w:rPr>
          <w:rFonts w:ascii="Times New Roman" w:hAnsi="Times New Roman"/>
          <w:noProof/>
          <w:color w:val="000000" w:themeColor="text1"/>
        </w:rPr>
        <w:t xml:space="preserve"> </w:t>
      </w:r>
      <w:r>
        <w:rPr>
          <w:rFonts w:ascii="Times New Roman" w:hAnsi="Times New Roman"/>
          <w:noProof/>
          <w:color w:val="000000" w:themeColor="text1"/>
          <w:sz w:val="24"/>
          <w:szCs w:val="24"/>
        </w:rPr>
        <w:t>valamint a lőfegyverek és tiltott kábítószerek kereskedelmét) elleni küzdelem, az erőszakos szélsőségességhez vezető radikalizáció megelőzése</w:t>
      </w:r>
      <w:r>
        <w:rPr>
          <w:rFonts w:ascii="Times New Roman" w:hAnsi="Times New Roman"/>
          <w:noProof/>
          <w:sz w:val="24"/>
          <w:szCs w:val="24"/>
        </w:rPr>
        <w:t xml:space="preserve"> és az ellene folytatott küzdelem, valamint a pénzmosás elleni küzdelem.</w:t>
      </w:r>
    </w:p>
    <w:p>
      <w:pPr>
        <w:jc w:val="both"/>
        <w:rPr>
          <w:rFonts w:ascii="Times New Roman" w:hAnsi="Times New Roman" w:cs="Times New Roman"/>
          <w:noProof/>
          <w:color w:val="000000" w:themeColor="text1"/>
          <w:sz w:val="24"/>
          <w:szCs w:val="24"/>
        </w:rPr>
      </w:pPr>
      <w:r>
        <w:rPr>
          <w:rFonts w:ascii="Times New Roman" w:hAnsi="Times New Roman"/>
          <w:noProof/>
          <w:sz w:val="24"/>
          <w:szCs w:val="24"/>
        </w:rPr>
        <w:t xml:space="preserve">A bűncselekmények </w:t>
      </w:r>
      <w:r>
        <w:rPr>
          <w:rFonts w:ascii="Times New Roman" w:hAnsi="Times New Roman"/>
          <w:b/>
          <w:bCs/>
          <w:noProof/>
          <w:sz w:val="24"/>
          <w:szCs w:val="24"/>
        </w:rPr>
        <w:t>áldozataival</w:t>
      </w:r>
      <w:r>
        <w:rPr>
          <w:rFonts w:ascii="Times New Roman" w:hAnsi="Times New Roman"/>
          <w:noProof/>
          <w:sz w:val="24"/>
          <w:szCs w:val="24"/>
        </w:rPr>
        <w:t xml:space="preserve"> kapcsolatban lévő jogászokat ki kell képezni az áldozatok hatékonyabb támogatására és a velük való jobb kommunikációra, különös figyelemmel a legveszélyeztetettebbekre</w:t>
      </w:r>
      <w:r>
        <w:rPr>
          <w:rStyle w:val="FootnoteReference"/>
          <w:rFonts w:ascii="Times New Roman" w:hAnsi="Times New Roman" w:cs="Times New Roman"/>
          <w:noProof/>
          <w:sz w:val="24"/>
          <w:szCs w:val="24"/>
          <w:lang w:eastAsia="en-GB"/>
        </w:rPr>
        <w:footnoteReference w:id="13"/>
      </w:r>
      <w:r>
        <w:rPr>
          <w:rFonts w:ascii="Times New Roman" w:hAnsi="Times New Roman"/>
          <w:noProof/>
          <w:sz w:val="24"/>
          <w:szCs w:val="24"/>
        </w:rPr>
        <w:t>.</w:t>
      </w:r>
      <w:r>
        <w:rPr>
          <w:rFonts w:ascii="Times New Roman" w:hAnsi="Times New Roman"/>
          <w:noProof/>
          <w:color w:val="000000" w:themeColor="text1"/>
          <w:sz w:val="24"/>
          <w:szCs w:val="24"/>
        </w:rPr>
        <w:t xml:space="preserve"> Arra is fel kell őket készíteni, hogy hogyan ismerjék fel a </w:t>
      </w:r>
      <w:r>
        <w:rPr>
          <w:rFonts w:ascii="Times New Roman" w:hAnsi="Times New Roman"/>
          <w:b/>
          <w:bCs/>
          <w:noProof/>
          <w:color w:val="000000" w:themeColor="text1"/>
          <w:sz w:val="24"/>
          <w:szCs w:val="24"/>
        </w:rPr>
        <w:t>visszaélésszerű perindítást</w:t>
      </w:r>
      <w:r>
        <w:rPr>
          <w:rFonts w:ascii="Times New Roman" w:hAnsi="Times New Roman"/>
          <w:noProof/>
          <w:color w:val="000000" w:themeColor="text1"/>
          <w:sz w:val="24"/>
          <w:szCs w:val="24"/>
        </w:rPr>
        <w:t>, és hogyan kezeljék a rendelkezésre álló eszközökkel.</w:t>
      </w:r>
    </w:p>
    <w:p>
      <w:pPr>
        <w:jc w:val="both"/>
        <w:rPr>
          <w:rFonts w:ascii="Times New Roman" w:hAnsi="Times New Roman" w:cs="Times New Roman"/>
          <w:noProof/>
          <w:color w:val="000000" w:themeColor="text1"/>
        </w:rPr>
      </w:pPr>
      <w:r>
        <w:rPr>
          <w:rFonts w:ascii="Times New Roman" w:hAnsi="Times New Roman"/>
          <w:noProof/>
          <w:sz w:val="24"/>
          <w:szCs w:val="24"/>
        </w:rPr>
        <w:t xml:space="preserve">Ezenkívül szakosodott képzésre van szükség az olyan területeken, mint a </w:t>
      </w:r>
      <w:r>
        <w:rPr>
          <w:rFonts w:ascii="Times New Roman" w:hAnsi="Times New Roman"/>
          <w:b/>
          <w:bCs/>
          <w:noProof/>
          <w:sz w:val="24"/>
          <w:szCs w:val="24"/>
        </w:rPr>
        <w:t>gyermekek jogai</w:t>
      </w:r>
      <w:r>
        <w:rPr>
          <w:rFonts w:ascii="Times New Roman" w:hAnsi="Times New Roman" w:cs="Times New Roman"/>
          <w:noProof/>
          <w:sz w:val="24"/>
          <w:szCs w:val="24"/>
          <w:vertAlign w:val="superscript"/>
          <w:lang w:eastAsia="en-GB"/>
        </w:rPr>
        <w:footnoteReference w:id="14"/>
      </w:r>
      <w:r>
        <w:rPr>
          <w:rFonts w:ascii="Times New Roman" w:hAnsi="Times New Roman"/>
          <w:noProof/>
          <w:sz w:val="24"/>
          <w:szCs w:val="24"/>
        </w:rPr>
        <w:t xml:space="preserve">, a </w:t>
      </w:r>
      <w:r>
        <w:rPr>
          <w:rFonts w:ascii="Times New Roman" w:hAnsi="Times New Roman"/>
          <w:b/>
          <w:bCs/>
          <w:noProof/>
          <w:sz w:val="24"/>
          <w:szCs w:val="24"/>
        </w:rPr>
        <w:t>fogyatékossággal élő személyek</w:t>
      </w:r>
      <w:r>
        <w:rPr>
          <w:rFonts w:ascii="Times New Roman" w:hAnsi="Times New Roman"/>
          <w:noProof/>
          <w:sz w:val="24"/>
          <w:szCs w:val="24"/>
        </w:rPr>
        <w:t xml:space="preserve"> jogai és az igazságszolgáltatási rendszerek ezen csoportok igényeihez való hozzáigazítása, a nemi alapú erőszak áldozatainak speciális problémái</w:t>
      </w:r>
      <w:r>
        <w:rPr>
          <w:rFonts w:ascii="Times New Roman" w:hAnsi="Times New Roman" w:cs="Times New Roman"/>
          <w:noProof/>
          <w:color w:val="000000" w:themeColor="text1"/>
          <w:sz w:val="24"/>
          <w:szCs w:val="24"/>
          <w:vertAlign w:val="superscript"/>
          <w:lang w:eastAsia="en-GB"/>
        </w:rPr>
        <w:footnoteReference w:id="15"/>
      </w:r>
      <w:r>
        <w:rPr>
          <w:rFonts w:ascii="Times New Roman" w:hAnsi="Times New Roman"/>
          <w:noProof/>
          <w:sz w:val="24"/>
          <w:szCs w:val="24"/>
        </w:rPr>
        <w:t xml:space="preserve">, valamint az egyenlőség és a </w:t>
      </w:r>
      <w:r>
        <w:rPr>
          <w:rFonts w:ascii="Times New Roman" w:hAnsi="Times New Roman"/>
          <w:b/>
          <w:bCs/>
          <w:noProof/>
          <w:sz w:val="24"/>
          <w:szCs w:val="24"/>
        </w:rPr>
        <w:t>megkülönböztetésmentesség</w:t>
      </w:r>
      <w:r>
        <w:rPr>
          <w:rFonts w:ascii="Times New Roman" w:hAnsi="Times New Roman"/>
          <w:noProof/>
          <w:sz w:val="24"/>
          <w:szCs w:val="24"/>
        </w:rPr>
        <w:t xml:space="preserve"> elve, és e témákat más kurzusokba is be kell illeszteni.</w:t>
      </w:r>
    </w:p>
    <w:p>
      <w:pPr>
        <w:jc w:val="both"/>
        <w:rPr>
          <w:rFonts w:ascii="Times New Roman" w:eastAsia="Times New Roman" w:hAnsi="Times New Roman" w:cs="Times New Roman"/>
          <w:noProof/>
          <w:color w:val="000000" w:themeColor="text1"/>
        </w:rPr>
      </w:pPr>
      <w:r>
        <w:rPr>
          <w:rFonts w:ascii="Times New Roman" w:hAnsi="Times New Roman"/>
          <w:noProof/>
          <w:sz w:val="24"/>
          <w:szCs w:val="24"/>
        </w:rPr>
        <w:t xml:space="preserve">A </w:t>
      </w:r>
      <w:r>
        <w:rPr>
          <w:rFonts w:ascii="Times New Roman" w:hAnsi="Times New Roman"/>
          <w:b/>
          <w:bCs/>
          <w:noProof/>
          <w:sz w:val="24"/>
          <w:szCs w:val="24"/>
        </w:rPr>
        <w:t>fogyasztói jogok</w:t>
      </w:r>
      <w:r>
        <w:rPr>
          <w:rFonts w:ascii="Times New Roman" w:hAnsi="Times New Roman"/>
          <w:noProof/>
          <w:sz w:val="24"/>
          <w:szCs w:val="24"/>
        </w:rPr>
        <w:t xml:space="preserve"> érvényesülésének anyagi és eljárásjogi továbbképzés</w:t>
      </w:r>
      <w:r>
        <w:rPr>
          <w:rStyle w:val="FootnoteReference"/>
          <w:rFonts w:ascii="Times New Roman" w:hAnsi="Times New Roman" w:cs="Times New Roman"/>
          <w:noProof/>
          <w:sz w:val="24"/>
          <w:szCs w:val="24"/>
          <w:lang w:eastAsia="en-GB"/>
        </w:rPr>
        <w:footnoteReference w:id="16"/>
      </w:r>
      <w:r>
        <w:rPr>
          <w:rFonts w:ascii="Times New Roman" w:hAnsi="Times New Roman"/>
          <w:noProof/>
          <w:sz w:val="24"/>
          <w:szCs w:val="24"/>
        </w:rPr>
        <w:t xml:space="preserve"> révén történő támogatása kiemelten fontos</w:t>
      </w:r>
      <w:r>
        <w:rPr>
          <w:rStyle w:val="FootnoteReference"/>
          <w:rFonts w:ascii="Times New Roman" w:eastAsia="Calibri" w:hAnsi="Times New Roman" w:cs="Times New Roman"/>
          <w:noProof/>
          <w:color w:val="000000" w:themeColor="text1"/>
          <w:sz w:val="24"/>
          <w:szCs w:val="24"/>
          <w:lang w:eastAsia="en-GB"/>
        </w:rPr>
        <w:footnoteReference w:id="17"/>
      </w:r>
      <w:r>
        <w:rPr>
          <w:rFonts w:ascii="Times New Roman" w:hAnsi="Times New Roman"/>
          <w:noProof/>
          <w:sz w:val="24"/>
          <w:szCs w:val="24"/>
        </w:rPr>
        <w:t>, amint azt az illegális gyakorlatoknak a Covid19-világjárvány során történő elszaporodása is alátámasztotta</w:t>
      </w:r>
      <w:r>
        <w:rPr>
          <w:rStyle w:val="FootnoteReference"/>
          <w:rFonts w:ascii="Times New Roman" w:eastAsia="Calibri" w:hAnsi="Times New Roman" w:cs="Times New Roman"/>
          <w:noProof/>
          <w:color w:val="000000" w:themeColor="text1"/>
          <w:sz w:val="24"/>
          <w:szCs w:val="24"/>
          <w:lang w:eastAsia="en-GB"/>
        </w:rPr>
        <w:footnoteReference w:id="18"/>
      </w:r>
      <w:r>
        <w:rPr>
          <w:rFonts w:ascii="Times New Roman" w:hAnsi="Times New Roman"/>
          <w:noProof/>
          <w:sz w:val="24"/>
          <w:szCs w:val="24"/>
        </w:rPr>
        <w:t>.</w:t>
      </w:r>
      <w:r>
        <w:rPr>
          <w:rFonts w:ascii="Times New Roman" w:hAnsi="Times New Roman"/>
          <w:noProof/>
          <w:color w:val="000000" w:themeColor="text1"/>
          <w:sz w:val="24"/>
          <w:szCs w:val="24"/>
        </w:rPr>
        <w:t xml:space="preserve"> </w:t>
      </w:r>
      <w:r>
        <w:rPr>
          <w:rFonts w:ascii="Times New Roman" w:hAnsi="Times New Roman"/>
          <w:noProof/>
          <w:sz w:val="24"/>
          <w:szCs w:val="24"/>
        </w:rPr>
        <w:t xml:space="preserve">Az </w:t>
      </w:r>
      <w:r>
        <w:rPr>
          <w:rFonts w:ascii="Times New Roman" w:hAnsi="Times New Roman"/>
          <w:b/>
          <w:bCs/>
          <w:noProof/>
          <w:sz w:val="24"/>
          <w:szCs w:val="24"/>
        </w:rPr>
        <w:t>uniós</w:t>
      </w:r>
      <w:r>
        <w:rPr>
          <w:rFonts w:ascii="Times New Roman" w:hAnsi="Times New Roman"/>
          <w:noProof/>
          <w:sz w:val="24"/>
          <w:szCs w:val="24"/>
        </w:rPr>
        <w:t xml:space="preserve"> </w:t>
      </w:r>
      <w:r>
        <w:rPr>
          <w:rFonts w:ascii="Times New Roman" w:hAnsi="Times New Roman"/>
          <w:b/>
          <w:bCs/>
          <w:noProof/>
          <w:sz w:val="24"/>
          <w:szCs w:val="24"/>
        </w:rPr>
        <w:t>polgársághoz kapcsolódó jogok</w:t>
      </w:r>
      <w:r>
        <w:rPr>
          <w:rFonts w:ascii="Times New Roman" w:hAnsi="Times New Roman"/>
          <w:noProof/>
          <w:sz w:val="24"/>
          <w:szCs w:val="24"/>
        </w:rPr>
        <w:t xml:space="preserve"> érvényesülését garantálni kell, többek között a szabad mozgás térségében.</w:t>
      </w:r>
    </w:p>
    <w:p>
      <w:pPr>
        <w:jc w:val="both"/>
        <w:rPr>
          <w:rFonts w:ascii="Times New Roman" w:hAnsi="Times New Roman" w:cs="Times New Roman"/>
          <w:noProof/>
          <w:sz w:val="24"/>
          <w:szCs w:val="24"/>
        </w:rPr>
      </w:pPr>
      <w:r>
        <w:rPr>
          <w:rFonts w:ascii="Times New Roman" w:hAnsi="Times New Roman"/>
          <w:noProof/>
          <w:sz w:val="24"/>
          <w:szCs w:val="24"/>
        </w:rPr>
        <w:t xml:space="preserve">Képzésre van szüksége annak a nagyszámú jogásznak is, akik részt vesznek az </w:t>
      </w:r>
      <w:r>
        <w:rPr>
          <w:rFonts w:ascii="Times New Roman" w:hAnsi="Times New Roman"/>
          <w:b/>
          <w:bCs/>
          <w:noProof/>
          <w:sz w:val="24"/>
          <w:szCs w:val="24"/>
        </w:rPr>
        <w:t>egységes</w:t>
      </w:r>
      <w:r>
        <w:rPr>
          <w:rFonts w:ascii="Times New Roman" w:hAnsi="Times New Roman"/>
          <w:noProof/>
          <w:sz w:val="24"/>
          <w:szCs w:val="24"/>
        </w:rPr>
        <w:t xml:space="preserve"> </w:t>
      </w:r>
      <w:r>
        <w:rPr>
          <w:rFonts w:ascii="Times New Roman" w:hAnsi="Times New Roman"/>
          <w:b/>
          <w:bCs/>
          <w:noProof/>
          <w:sz w:val="24"/>
          <w:szCs w:val="24"/>
        </w:rPr>
        <w:t xml:space="preserve">piaci </w:t>
      </w:r>
      <w:r>
        <w:rPr>
          <w:rFonts w:ascii="Times New Roman" w:hAnsi="Times New Roman"/>
          <w:noProof/>
          <w:sz w:val="24"/>
          <w:szCs w:val="24"/>
        </w:rPr>
        <w:t>szabályok</w:t>
      </w:r>
      <w:r>
        <w:rPr>
          <w:rStyle w:val="FootnoteReference"/>
          <w:rFonts w:ascii="Times New Roman" w:eastAsia="Calibri" w:hAnsi="Times New Roman" w:cs="Times New Roman"/>
          <w:noProof/>
          <w:color w:val="000000" w:themeColor="text1"/>
          <w:sz w:val="24"/>
          <w:szCs w:val="24"/>
          <w:lang w:eastAsia="en-GB"/>
        </w:rPr>
        <w:footnoteReference w:id="19"/>
      </w:r>
      <w:r>
        <w:rPr>
          <w:rFonts w:ascii="Times New Roman" w:hAnsi="Times New Roman"/>
          <w:noProof/>
          <w:sz w:val="24"/>
          <w:szCs w:val="24"/>
        </w:rPr>
        <w:t xml:space="preserve"> végrehajtásában, beleértve a vállalkozások számára különösen fontos szabályokat, mint például az EU-n belüli befektetések</w:t>
      </w:r>
      <w:r>
        <w:rPr>
          <w:rStyle w:val="FootnoteReference"/>
          <w:rFonts w:ascii="Times New Roman" w:hAnsi="Times New Roman" w:cs="Times New Roman"/>
          <w:b/>
          <w:bCs/>
          <w:noProof/>
          <w:sz w:val="24"/>
          <w:szCs w:val="24"/>
          <w:lang w:eastAsia="en-GB"/>
        </w:rPr>
        <w:footnoteReference w:id="20"/>
      </w:r>
      <w:r>
        <w:rPr>
          <w:rFonts w:ascii="Times New Roman" w:hAnsi="Times New Roman"/>
          <w:noProof/>
          <w:sz w:val="24"/>
          <w:szCs w:val="24"/>
        </w:rPr>
        <w:t xml:space="preserve"> védelmére vonatkozó szabályok, melyek célja részben a befektetői bizalom helyreállítása. Képzést kell továbbá biztosítani az </w:t>
      </w:r>
      <w:r>
        <w:rPr>
          <w:rFonts w:ascii="Times New Roman" w:hAnsi="Times New Roman"/>
          <w:b/>
          <w:bCs/>
          <w:noProof/>
          <w:sz w:val="24"/>
          <w:szCs w:val="24"/>
        </w:rPr>
        <w:t>uniós társasági joggal</w:t>
      </w:r>
      <w:r>
        <w:rPr>
          <w:rFonts w:ascii="Times New Roman" w:hAnsi="Times New Roman"/>
          <w:noProof/>
          <w:sz w:val="24"/>
          <w:szCs w:val="24"/>
        </w:rPr>
        <w:t xml:space="preserve"> – nevezetesen a digitális eszközökkel és folyamatokkal, a határokon átnyúló átalakulásokkal, egyesülésekkel és szétválásokkal –, valamint az uniós versenyjoggal kapcsolatban azok számára, akiknek erre szükségük van.</w:t>
      </w:r>
    </w:p>
    <w:p>
      <w:pPr>
        <w:jc w:val="both"/>
        <w:rPr>
          <w:rFonts w:ascii="Times New Roman" w:hAnsi="Times New Roman" w:cs="Times New Roman"/>
          <w:noProof/>
          <w:sz w:val="24"/>
          <w:szCs w:val="24"/>
        </w:rPr>
      </w:pPr>
      <w:r>
        <w:rPr>
          <w:rFonts w:ascii="Times New Roman" w:hAnsi="Times New Roman"/>
          <w:noProof/>
          <w:color w:val="000000" w:themeColor="text1"/>
          <w:sz w:val="24"/>
          <w:szCs w:val="24"/>
        </w:rPr>
        <w:t xml:space="preserve">Továbbá az uniós </w:t>
      </w:r>
      <w:r>
        <w:rPr>
          <w:rFonts w:ascii="Times New Roman" w:hAnsi="Times New Roman"/>
          <w:b/>
          <w:bCs/>
          <w:noProof/>
          <w:color w:val="000000" w:themeColor="text1"/>
          <w:sz w:val="24"/>
          <w:szCs w:val="24"/>
        </w:rPr>
        <w:t>környezetvédelmi jogszabályok</w:t>
      </w:r>
      <w:r>
        <w:rPr>
          <w:rFonts w:ascii="Times New Roman" w:hAnsi="Times New Roman"/>
          <w:noProof/>
          <w:color w:val="000000" w:themeColor="text1"/>
          <w:sz w:val="24"/>
          <w:szCs w:val="24"/>
        </w:rPr>
        <w:t xml:space="preserve"> alkalmazása is speciális ismereteket és további képzést igényel.</w:t>
      </w:r>
    </w:p>
    <w:p>
      <w:pPr>
        <w:pStyle w:val="Heading2"/>
        <w:tabs>
          <w:tab w:val="clear" w:pos="1077"/>
        </w:tabs>
        <w:ind w:left="709" w:hanging="709"/>
        <w:rPr>
          <w:noProof/>
        </w:rPr>
      </w:pPr>
      <w:r>
        <w:rPr>
          <w:noProof/>
        </w:rPr>
        <w:t>A gyakorló jogászok felvértezése az új kihívásokkal szemben</w:t>
      </w:r>
    </w:p>
    <w:p>
      <w:pPr>
        <w:jc w:val="both"/>
        <w:rPr>
          <w:rFonts w:ascii="Times New Roman" w:hAnsi="Times New Roman" w:cs="Times New Roman"/>
          <w:noProof/>
          <w:sz w:val="24"/>
          <w:szCs w:val="24"/>
        </w:rPr>
      </w:pPr>
      <w:r>
        <w:rPr>
          <w:rFonts w:ascii="Times New Roman" w:hAnsi="Times New Roman"/>
          <w:noProof/>
          <w:sz w:val="24"/>
          <w:szCs w:val="24"/>
        </w:rPr>
        <w:t>A terrorizmus új formái, az erőszakos szélsőségesség és a kiberbűnözés, valamint a Covid19-világjárvány nemcsak a magánemberek és a vállalkozások életére, hanem a nemzeti igazságszolgáltatási rendszerekre is hatással van, melyeknek alkalmazkodniuk kell az új helyzethez. A világjárvány például megváltoztatta a bűnözők működési módjait, és ezért jelentősen megnőtt a kiberbűnözéssel, online bűnözői tevékenységekkel és egészségüggyel kapcsolatos bűncselekmények száma</w:t>
      </w:r>
      <w:r>
        <w:rPr>
          <w:rStyle w:val="FootnoteReference"/>
          <w:rFonts w:ascii="Times New Roman" w:hAnsi="Times New Roman" w:cs="Times New Roman"/>
          <w:noProof/>
          <w:sz w:val="24"/>
          <w:szCs w:val="24"/>
          <w:lang w:eastAsia="en-GB"/>
        </w:rPr>
        <w:footnoteReference w:id="21"/>
      </w:r>
      <w:r>
        <w:rPr>
          <w:rFonts w:ascii="Times New Roman" w:hAnsi="Times New Roman"/>
          <w:noProof/>
          <w:sz w:val="24"/>
          <w:szCs w:val="24"/>
        </w:rPr>
        <w:t>. A jogászoknak reagálniuk kell ezekre a változásokra</w:t>
      </w:r>
      <w:r>
        <w:rPr>
          <w:rStyle w:val="FootnoteReference"/>
          <w:rFonts w:ascii="Times New Roman" w:hAnsi="Times New Roman" w:cs="Times New Roman"/>
          <w:noProof/>
          <w:sz w:val="24"/>
          <w:szCs w:val="24"/>
          <w:lang w:eastAsia="en-GB"/>
        </w:rPr>
        <w:footnoteReference w:id="22"/>
      </w:r>
      <w:r>
        <w:rPr>
          <w:rFonts w:ascii="Times New Roman" w:hAnsi="Times New Roman"/>
          <w:noProof/>
          <w:sz w:val="24"/>
          <w:szCs w:val="24"/>
        </w:rPr>
        <w:t xml:space="preserve">. Az új munkavégzési formák pedig a foglalkoztatás és a szociális jog terén teremtenek kihívásokat. </w:t>
      </w:r>
      <w:r>
        <w:rPr>
          <w:rFonts w:ascii="Times New Roman" w:hAnsi="Times New Roman"/>
          <w:b/>
          <w:bCs/>
          <w:noProof/>
          <w:sz w:val="24"/>
          <w:szCs w:val="24"/>
        </w:rPr>
        <w:t>Az újonnan kínált képzéseket</w:t>
      </w:r>
      <w:r>
        <w:rPr>
          <w:rFonts w:ascii="Times New Roman" w:hAnsi="Times New Roman"/>
          <w:noProof/>
          <w:sz w:val="24"/>
          <w:szCs w:val="24"/>
        </w:rPr>
        <w:t xml:space="preserve"> gyorsan meg kell szervezni és elérhetővé kell tenni, ahogyan az a közelmúltban a kiberbűnözés és a menedékjog esetében történt.</w:t>
      </w:r>
    </w:p>
    <w:p>
      <w:pPr>
        <w:spacing w:after="160" w:line="259" w:lineRule="auto"/>
        <w:rPr>
          <w:rFonts w:ascii="Times New Roman" w:hAnsi="Times New Roman" w:cs="Times New Roman"/>
          <w:b/>
          <w:bCs/>
          <w:i/>
          <w:iCs/>
          <w:noProof/>
          <w:sz w:val="24"/>
          <w:szCs w:val="24"/>
        </w:rPr>
      </w:pPr>
      <w:r>
        <w:rPr>
          <w:noProof/>
        </w:rPr>
        <w:br w:type="page"/>
      </w:r>
    </w:p>
    <w:p>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noProof/>
        </w:rPr>
      </w:pPr>
      <w:r>
        <w:rPr>
          <w:rFonts w:ascii="Times New Roman" w:hAnsi="Times New Roman"/>
          <w:b/>
          <w:bCs/>
          <w:i/>
          <w:iCs/>
          <w:noProof/>
          <w:sz w:val="24"/>
          <w:szCs w:val="24"/>
        </w:rPr>
        <w:t>A képzésszolgáltatók feladatai:</w:t>
      </w:r>
    </w:p>
    <w:p>
      <w:pPr>
        <w:pStyle w:val="ListBullet2"/>
        <w:pBdr>
          <w:top w:val="single" w:sz="4" w:space="1" w:color="auto"/>
          <w:left w:val="single" w:sz="4" w:space="4" w:color="auto"/>
          <w:bottom w:val="single" w:sz="4" w:space="1" w:color="auto"/>
          <w:right w:val="single" w:sz="4" w:space="4" w:color="auto"/>
        </w:pBdr>
        <w:spacing w:after="120" w:line="276" w:lineRule="auto"/>
        <w:rPr>
          <w:rFonts w:eastAsia="Calibri"/>
          <w:noProof/>
        </w:rPr>
      </w:pPr>
      <w:r>
        <w:rPr>
          <w:noProof/>
        </w:rPr>
        <w:t xml:space="preserve">A </w:t>
      </w:r>
      <w:r>
        <w:rPr>
          <w:b/>
          <w:bCs/>
          <w:noProof/>
        </w:rPr>
        <w:t>jogállamisággal</w:t>
      </w:r>
      <w:r>
        <w:rPr>
          <w:noProof/>
        </w:rPr>
        <w:t xml:space="preserve"> és az </w:t>
      </w:r>
      <w:r>
        <w:rPr>
          <w:b/>
          <w:bCs/>
          <w:noProof/>
        </w:rPr>
        <w:t>alapvető jogokkal</w:t>
      </w:r>
      <w:r>
        <w:rPr>
          <w:noProof/>
        </w:rPr>
        <w:t xml:space="preserve"> kapcsolatos, az EU alapját jelentő szerződésekben foglalt uniós vívmányokra vonatkozó képzéseket szisztematikusan elérhetővé kell tenni a bírák és más igazságügyi szakemberek számára kínált továbbképzések között;</w:t>
      </w:r>
    </w:p>
    <w:p>
      <w:pPr>
        <w:pStyle w:val="ListBullet2"/>
        <w:pBdr>
          <w:top w:val="single" w:sz="4" w:space="1" w:color="auto"/>
          <w:left w:val="single" w:sz="4" w:space="4" w:color="auto"/>
          <w:bottom w:val="single" w:sz="4" w:space="1" w:color="auto"/>
          <w:right w:val="single" w:sz="4" w:space="4" w:color="auto"/>
        </w:pBdr>
        <w:spacing w:after="120" w:line="276" w:lineRule="auto"/>
        <w:rPr>
          <w:rFonts w:eastAsia="Calibri"/>
          <w:noProof/>
        </w:rPr>
      </w:pPr>
      <w:r>
        <w:rPr>
          <w:noProof/>
        </w:rPr>
        <w:t xml:space="preserve">Az </w:t>
      </w:r>
      <w:r>
        <w:rPr>
          <w:b/>
          <w:bCs/>
          <w:noProof/>
        </w:rPr>
        <w:t>uniós jogot be kell illeszteni</w:t>
      </w:r>
      <w:r>
        <w:rPr>
          <w:noProof/>
        </w:rPr>
        <w:t xml:space="preserve"> a nemzeti szintű jogi képzési tevékenységekbe, az Alapjogi Chartát is beleértve, és adott esetben az uniós jogra vonatkozó specifikus képzéseket kell szervezni;</w:t>
      </w:r>
    </w:p>
    <w:p>
      <w:pPr>
        <w:pStyle w:val="ListBullet2"/>
        <w:pBdr>
          <w:top w:val="single" w:sz="4" w:space="1" w:color="auto"/>
          <w:left w:val="single" w:sz="4" w:space="4" w:color="auto"/>
          <w:bottom w:val="single" w:sz="4" w:space="1" w:color="auto"/>
          <w:right w:val="single" w:sz="4" w:space="4" w:color="auto"/>
        </w:pBdr>
        <w:spacing w:after="120" w:line="276" w:lineRule="auto"/>
        <w:rPr>
          <w:rFonts w:eastAsia="Calibri"/>
          <w:noProof/>
        </w:rPr>
      </w:pPr>
      <w:r>
        <w:rPr>
          <w:noProof/>
        </w:rPr>
        <w:t xml:space="preserve">Képzéseket kell biztosítani a </w:t>
      </w:r>
      <w:r>
        <w:rPr>
          <w:b/>
          <w:bCs/>
          <w:noProof/>
        </w:rPr>
        <w:t xml:space="preserve">digitalizációval </w:t>
      </w:r>
      <w:r>
        <w:rPr>
          <w:noProof/>
        </w:rPr>
        <w:t xml:space="preserve">és </w:t>
      </w:r>
      <w:r>
        <w:rPr>
          <w:b/>
          <w:bCs/>
          <w:noProof/>
        </w:rPr>
        <w:t>a mesterséges intelligenciával</w:t>
      </w:r>
      <w:r>
        <w:rPr>
          <w:noProof/>
        </w:rPr>
        <w:t xml:space="preserve"> kapcsolatos ismeretek és készségek fejlesztése, valamint a digitalizált bírósági eljárások és nyilvántartások hatékony használata céljából;</w:t>
      </w:r>
    </w:p>
    <w:p>
      <w:pPr>
        <w:pStyle w:val="ListBullet2"/>
        <w:pBdr>
          <w:top w:val="single" w:sz="4" w:space="1" w:color="auto"/>
          <w:left w:val="single" w:sz="4" w:space="4" w:color="auto"/>
          <w:bottom w:val="single" w:sz="4" w:space="1" w:color="auto"/>
          <w:right w:val="single" w:sz="4" w:space="4" w:color="auto"/>
        </w:pBdr>
        <w:spacing w:after="120" w:line="276" w:lineRule="auto"/>
        <w:rPr>
          <w:rFonts w:eastAsia="Calibri"/>
          <w:noProof/>
        </w:rPr>
      </w:pPr>
      <w:r>
        <w:rPr>
          <w:noProof/>
        </w:rPr>
        <w:t>Hatékony képzéseket kell biztosítani az</w:t>
      </w:r>
      <w:r>
        <w:rPr>
          <w:b/>
          <w:bCs/>
          <w:noProof/>
        </w:rPr>
        <w:t xml:space="preserve"> új uniós jogszabályokkal</w:t>
      </w:r>
      <w:r>
        <w:rPr>
          <w:noProof/>
        </w:rPr>
        <w:t xml:space="preserve"> és az </w:t>
      </w:r>
      <w:r>
        <w:rPr>
          <w:b/>
          <w:bCs/>
          <w:noProof/>
        </w:rPr>
        <w:t>ítélkezési gyakorlat fejleményeivel</w:t>
      </w:r>
      <w:r>
        <w:rPr>
          <w:noProof/>
        </w:rPr>
        <w:t xml:space="preserve"> kapcsolatban, a határokon átnyúló igazságügyi együttműködés eszközeit és az EPPO-t is beleértve;</w:t>
      </w:r>
    </w:p>
    <w:p>
      <w:pPr>
        <w:pStyle w:val="ListBullet2"/>
        <w:pBdr>
          <w:top w:val="single" w:sz="4" w:space="1" w:color="auto"/>
          <w:left w:val="single" w:sz="4" w:space="4" w:color="auto"/>
          <w:bottom w:val="single" w:sz="4" w:space="1" w:color="auto"/>
          <w:right w:val="single" w:sz="4" w:space="4" w:color="auto"/>
        </w:pBdr>
        <w:spacing w:after="120" w:line="276" w:lineRule="auto"/>
        <w:rPr>
          <w:rFonts w:eastAsia="Calibri"/>
          <w:noProof/>
        </w:rPr>
      </w:pPr>
      <w:r>
        <w:rPr>
          <w:noProof/>
        </w:rPr>
        <w:t xml:space="preserve">A képzésben kiemelten kell foglalkozni a </w:t>
      </w:r>
      <w:r>
        <w:rPr>
          <w:b/>
          <w:bCs/>
          <w:noProof/>
        </w:rPr>
        <w:t>magánszemélyek jogainak a digitális térben</w:t>
      </w:r>
      <w:r>
        <w:rPr>
          <w:noProof/>
        </w:rPr>
        <w:t xml:space="preserve"> való védelmével (pl. adatvédelem, magánélethez való jog, megkülönböztetésmentesség, a nemi alapú online erőszaktól való védelem, fogyasztói jogok) és </w:t>
      </w:r>
      <w:r>
        <w:rPr>
          <w:b/>
          <w:bCs/>
          <w:noProof/>
        </w:rPr>
        <w:t>egyes konkrét csoportok</w:t>
      </w:r>
      <w:r>
        <w:rPr>
          <w:noProof/>
        </w:rPr>
        <w:t xml:space="preserve"> (pl. gyermekek, fogyatékossággal élő személyek, a nemi alapú erőszak, rasszizmus és megkülönböztetés által sújtott személyek) védelmével;</w:t>
      </w:r>
    </w:p>
    <w:p>
      <w:pPr>
        <w:pStyle w:val="ListBullet2"/>
        <w:pBdr>
          <w:top w:val="single" w:sz="4" w:space="1" w:color="auto"/>
          <w:left w:val="single" w:sz="4" w:space="4" w:color="auto"/>
          <w:bottom w:val="single" w:sz="4" w:space="1" w:color="auto"/>
          <w:right w:val="single" w:sz="4" w:space="4" w:color="auto"/>
        </w:pBdr>
        <w:spacing w:after="200" w:line="276" w:lineRule="auto"/>
        <w:rPr>
          <w:rFonts w:eastAsia="Calibri"/>
          <w:noProof/>
        </w:rPr>
      </w:pPr>
      <w:r>
        <w:rPr>
          <w:noProof/>
        </w:rPr>
        <w:t>A képzési igényeket</w:t>
      </w:r>
      <w:r>
        <w:rPr>
          <w:b/>
          <w:bCs/>
          <w:noProof/>
        </w:rPr>
        <w:t xml:space="preserve"> nyomon kell követni</w:t>
      </w:r>
      <w:r>
        <w:rPr>
          <w:noProof/>
        </w:rPr>
        <w:t xml:space="preserve">, és a tananyagot </w:t>
      </w:r>
      <w:r>
        <w:rPr>
          <w:b/>
          <w:bCs/>
          <w:noProof/>
        </w:rPr>
        <w:t>hozzá kell igazítani</w:t>
      </w:r>
      <w:r>
        <w:rPr>
          <w:noProof/>
        </w:rPr>
        <w:t xml:space="preserve"> az új kihívásokhoz.</w:t>
      </w:r>
    </w:p>
    <w:p>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b/>
          <w:bCs/>
          <w:i/>
          <w:iCs/>
          <w:noProof/>
          <w:sz w:val="24"/>
          <w:szCs w:val="24"/>
        </w:rPr>
      </w:pPr>
      <w:r>
        <w:rPr>
          <w:rFonts w:ascii="Times New Roman" w:hAnsi="Times New Roman"/>
          <w:b/>
          <w:bCs/>
          <w:i/>
          <w:iCs/>
          <w:noProof/>
          <w:sz w:val="24"/>
          <w:szCs w:val="24"/>
        </w:rPr>
        <w:t>A Bizottság feladatai:</w:t>
      </w:r>
    </w:p>
    <w:p>
      <w:pPr>
        <w:pStyle w:val="ListBullet2"/>
        <w:pBdr>
          <w:top w:val="single" w:sz="4" w:space="1" w:color="auto"/>
          <w:left w:val="single" w:sz="4" w:space="4" w:color="auto"/>
          <w:bottom w:val="single" w:sz="4" w:space="1" w:color="auto"/>
          <w:right w:val="single" w:sz="4" w:space="4" w:color="auto"/>
        </w:pBdr>
        <w:spacing w:after="120" w:line="276" w:lineRule="auto"/>
        <w:rPr>
          <w:rFonts w:eastAsia="Calibri"/>
          <w:b/>
          <w:bCs/>
          <w:noProof/>
        </w:rPr>
      </w:pPr>
      <w:r>
        <w:rPr>
          <w:b/>
          <w:bCs/>
          <w:noProof/>
        </w:rPr>
        <w:t>Támogatni</w:t>
      </w:r>
      <w:r>
        <w:rPr>
          <w:noProof/>
        </w:rPr>
        <w:t xml:space="preserve"> kell a gyakorló jogászok számára nyújtott, az igényeiknek megfelelő </w:t>
      </w:r>
      <w:r>
        <w:rPr>
          <w:b/>
          <w:bCs/>
          <w:noProof/>
        </w:rPr>
        <w:t>uniós jogi képzést</w:t>
      </w:r>
      <w:r>
        <w:rPr>
          <w:noProof/>
        </w:rPr>
        <w:t>;</w:t>
      </w:r>
    </w:p>
    <w:p>
      <w:pPr>
        <w:pStyle w:val="ListBullet2"/>
        <w:pBdr>
          <w:top w:val="single" w:sz="4" w:space="1" w:color="auto"/>
          <w:left w:val="single" w:sz="4" w:space="4" w:color="auto"/>
          <w:bottom w:val="single" w:sz="4" w:space="1" w:color="auto"/>
          <w:right w:val="single" w:sz="4" w:space="4" w:color="auto"/>
        </w:pBdr>
        <w:spacing w:after="200" w:line="276" w:lineRule="auto"/>
        <w:rPr>
          <w:rFonts w:eastAsia="Calibri"/>
          <w:noProof/>
        </w:rPr>
      </w:pPr>
      <w:r>
        <w:rPr>
          <w:noProof/>
        </w:rPr>
        <w:t xml:space="preserve">Folytatni kell az együttműködést az </w:t>
      </w:r>
      <w:r>
        <w:rPr>
          <w:b/>
          <w:bCs/>
          <w:noProof/>
        </w:rPr>
        <w:t>Európa Tanáccsal</w:t>
      </w:r>
      <w:r>
        <w:rPr>
          <w:noProof/>
        </w:rPr>
        <w:t xml:space="preserve"> az Európai Unió Alapjogi Chartáját érintő képzések terén.</w:t>
      </w:r>
    </w:p>
    <w:p>
      <w:pPr>
        <w:pStyle w:val="Heading1"/>
        <w:numPr>
          <w:ilvl w:val="0"/>
          <w:numId w:val="69"/>
        </w:numPr>
        <w:rPr>
          <w:rFonts w:eastAsia="Calibri"/>
          <w:noProof/>
        </w:rPr>
      </w:pPr>
      <w:r>
        <w:rPr>
          <w:noProof/>
        </w:rPr>
        <w:t>A gyakorló jogászok képzésének az uniós jogon túlmenően szükséges elemei</w:t>
      </w:r>
    </w:p>
    <w:p>
      <w:pPr>
        <w:jc w:val="both"/>
        <w:rPr>
          <w:rFonts w:ascii="Times New Roman" w:hAnsi="Times New Roman" w:cs="Times New Roman"/>
          <w:noProof/>
          <w:sz w:val="24"/>
          <w:szCs w:val="24"/>
        </w:rPr>
      </w:pPr>
      <w:r>
        <w:rPr>
          <w:rFonts w:ascii="Times New Roman" w:hAnsi="Times New Roman"/>
          <w:noProof/>
          <w:sz w:val="24"/>
          <w:szCs w:val="24"/>
        </w:rPr>
        <w:t xml:space="preserve">Az európai igazságügyi képzésnek túl kell mutatnia a jogi ismeretek átadásán, és elő kell segítenie a szakmai </w:t>
      </w:r>
      <w:r>
        <w:rPr>
          <w:rFonts w:ascii="Times New Roman" w:hAnsi="Times New Roman"/>
          <w:b/>
          <w:bCs/>
          <w:noProof/>
          <w:sz w:val="24"/>
          <w:szCs w:val="24"/>
        </w:rPr>
        <w:t>készségek</w:t>
      </w:r>
      <w:r>
        <w:rPr>
          <w:rFonts w:ascii="Times New Roman" w:hAnsi="Times New Roman"/>
          <w:noProof/>
          <w:sz w:val="24"/>
          <w:szCs w:val="24"/>
        </w:rPr>
        <w:t xml:space="preserve"> fejlődését. A jog és a jogelvek nem egy légüres térben működnek, tehát a gyakorló jogászoknak több szakterületet érintő kompetenciákat kell elsajátítaniuk.</w:t>
      </w:r>
    </w:p>
    <w:p>
      <w:pPr>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szCs w:val="24"/>
        </w:rPr>
        <w:t xml:space="preserve">A </w:t>
      </w:r>
      <w:r>
        <w:rPr>
          <w:rFonts w:ascii="Times New Roman" w:hAnsi="Times New Roman"/>
          <w:b/>
          <w:bCs/>
          <w:noProof/>
          <w:color w:val="000000" w:themeColor="text1"/>
          <w:sz w:val="24"/>
          <w:szCs w:val="24"/>
        </w:rPr>
        <w:t>„bírói mesterség”</w:t>
      </w:r>
      <w:r>
        <w:rPr>
          <w:rFonts w:ascii="Times New Roman" w:hAnsi="Times New Roman"/>
          <w:noProof/>
          <w:color w:val="000000" w:themeColor="text1"/>
          <w:sz w:val="24"/>
          <w:szCs w:val="24"/>
        </w:rPr>
        <w:t xml:space="preserve"> elsajátítására</w:t>
      </w:r>
      <w:r>
        <w:rPr>
          <w:rStyle w:val="FootnoteReference"/>
          <w:rFonts w:ascii="Times New Roman" w:hAnsi="Times New Roman" w:cs="Times New Roman"/>
          <w:noProof/>
        </w:rPr>
        <w:footnoteReference w:id="23"/>
      </w:r>
      <w:r>
        <w:rPr>
          <w:rFonts w:ascii="Times New Roman" w:hAnsi="Times New Roman"/>
          <w:noProof/>
          <w:sz w:val="24"/>
          <w:szCs w:val="24"/>
        </w:rPr>
        <w:t xml:space="preserve"> szolgáló képzés nemzeti hatáskörbe tartozik ugyan, de kulcsfontosságú az igazságszolgáltatás hatékonysága, az igazságügyi rendszerek és a lakosság közötti bizalmi kapcsolat, valamint a határokon átnyúló együttműködésben részt vevő jogászok közötti bizalom szempontjából.</w:t>
      </w:r>
      <w:r>
        <w:rPr>
          <w:rFonts w:ascii="Times New Roman" w:hAnsi="Times New Roman"/>
          <w:noProof/>
          <w:color w:val="000000" w:themeColor="text1"/>
          <w:sz w:val="24"/>
          <w:szCs w:val="24"/>
        </w:rPr>
        <w:t xml:space="preserve"> A </w:t>
      </w:r>
      <w:r>
        <w:rPr>
          <w:rFonts w:ascii="Times New Roman" w:hAnsi="Times New Roman"/>
          <w:b/>
          <w:bCs/>
          <w:noProof/>
          <w:color w:val="000000" w:themeColor="text1"/>
          <w:sz w:val="24"/>
          <w:szCs w:val="24"/>
        </w:rPr>
        <w:t>bírók</w:t>
      </w:r>
      <w:r>
        <w:rPr>
          <w:rFonts w:ascii="Times New Roman" w:hAnsi="Times New Roman"/>
          <w:noProof/>
          <w:color w:val="000000" w:themeColor="text1"/>
          <w:sz w:val="24"/>
          <w:szCs w:val="24"/>
        </w:rPr>
        <w:t xml:space="preserve"> esetében a képzések legfontosabb témái a bírói magatartás, a reziliencia, a tudattalan előítélet, az ügyek és a bírósági tárgyalás kezelése, valamint a vezetői szerep.</w:t>
      </w:r>
    </w:p>
    <w:p>
      <w:pPr>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szCs w:val="24"/>
        </w:rPr>
        <w:t xml:space="preserve">Emellett a szükséges know-how, attitűd és szaktudás megszerzése érdekében az </w:t>
      </w:r>
      <w:r>
        <w:rPr>
          <w:rFonts w:ascii="Times New Roman" w:hAnsi="Times New Roman"/>
          <w:b/>
          <w:bCs/>
          <w:noProof/>
          <w:color w:val="000000" w:themeColor="text1"/>
          <w:sz w:val="24"/>
          <w:szCs w:val="24"/>
        </w:rPr>
        <w:t>összes gyakorló jogásznak</w:t>
      </w:r>
      <w:r>
        <w:rPr>
          <w:rFonts w:ascii="Times New Roman" w:hAnsi="Times New Roman"/>
          <w:noProof/>
          <w:color w:val="000000" w:themeColor="text1"/>
          <w:sz w:val="24"/>
          <w:szCs w:val="24"/>
        </w:rPr>
        <w:t xml:space="preserve"> képzésre van szüksége a </w:t>
      </w:r>
      <w:r>
        <w:rPr>
          <w:rFonts w:ascii="Times New Roman" w:hAnsi="Times New Roman"/>
          <w:b/>
          <w:bCs/>
          <w:noProof/>
          <w:color w:val="000000" w:themeColor="text1"/>
          <w:sz w:val="24"/>
          <w:szCs w:val="24"/>
        </w:rPr>
        <w:t>nem szorosan a joghoz tartozó ismeretek és készségek</w:t>
      </w:r>
      <w:r>
        <w:rPr>
          <w:rFonts w:ascii="Times New Roman" w:hAnsi="Times New Roman"/>
          <w:noProof/>
          <w:color w:val="000000" w:themeColor="text1"/>
          <w:sz w:val="24"/>
          <w:szCs w:val="24"/>
        </w:rPr>
        <w:t xml:space="preserve"> – pl. magatartástudomány, pszichológia, antropológia, közgazdaságtan és kognitív nyelvészet – terén.</w:t>
      </w:r>
    </w:p>
    <w:p>
      <w:pPr>
        <w:jc w:val="both"/>
        <w:rPr>
          <w:rFonts w:ascii="Times New Roman" w:eastAsia="Calibri" w:hAnsi="Times New Roman" w:cs="Times New Roman"/>
          <w:noProof/>
          <w:color w:val="000000" w:themeColor="text1"/>
          <w:sz w:val="24"/>
          <w:szCs w:val="24"/>
        </w:rPr>
      </w:pPr>
      <w:r>
        <w:rPr>
          <w:rFonts w:ascii="Times New Roman" w:hAnsi="Times New Roman"/>
          <w:noProof/>
          <w:sz w:val="24"/>
          <w:szCs w:val="24"/>
        </w:rPr>
        <w:t xml:space="preserve">A </w:t>
      </w:r>
      <w:r>
        <w:rPr>
          <w:rFonts w:ascii="Times New Roman" w:hAnsi="Times New Roman"/>
          <w:b/>
          <w:bCs/>
          <w:noProof/>
          <w:sz w:val="24"/>
          <w:szCs w:val="24"/>
        </w:rPr>
        <w:t>jogi nyelvvel kapcsolatos készségek</w:t>
      </w:r>
      <w:r>
        <w:rPr>
          <w:rFonts w:ascii="Times New Roman" w:hAnsi="Times New Roman"/>
          <w:noProof/>
          <w:sz w:val="24"/>
          <w:szCs w:val="24"/>
        </w:rPr>
        <w:t xml:space="preserve"> fejlesztése kulcsfontosságú a gyakorló jogászok közötti zökkenőmentes párbeszédhez, amely elősegíti a határokon átnyúló bírósági eljárások során a kölcsönös bizalmat.</w:t>
      </w:r>
      <w:r>
        <w:rPr>
          <w:rFonts w:ascii="Times New Roman" w:hAnsi="Times New Roman"/>
          <w:noProof/>
          <w:color w:val="000000" w:themeColor="text1"/>
          <w:sz w:val="24"/>
          <w:szCs w:val="24"/>
        </w:rPr>
        <w:t xml:space="preserve"> </w:t>
      </w:r>
      <w:r>
        <w:rPr>
          <w:rFonts w:ascii="Times New Roman" w:hAnsi="Times New Roman"/>
          <w:noProof/>
          <w:sz w:val="24"/>
          <w:szCs w:val="24"/>
        </w:rPr>
        <w:t>Az idegen nyelvek elsajátítása segít a jogászoknak a külföldi jogrendszerek és jogi fogalmak megértésében, és növeli a részvételt a határokon átnyúló képzési tevékenységekben.</w:t>
      </w:r>
    </w:p>
    <w:p>
      <w:pPr>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szCs w:val="24"/>
        </w:rPr>
        <w:t>A Bizottság támogatja a tagállami képzést kiegészítő haladó szintű és szakmai jogi nyelvi képzést, és ösztönzi, hogy ezen képzéseket több nyelven tartsák és azok többféle jogi nézőpontot is bemutassanak, mert ez a korábbiakban is eredményesnek bizonyult.</w:t>
      </w:r>
    </w:p>
    <w:p>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rPr>
      </w:pPr>
      <w:r>
        <w:rPr>
          <w:rFonts w:ascii="Times New Roman" w:hAnsi="Times New Roman"/>
          <w:b/>
          <w:bCs/>
          <w:i/>
          <w:iCs/>
          <w:noProof/>
          <w:sz w:val="24"/>
          <w:szCs w:val="24"/>
        </w:rPr>
        <w:t>A képzésszolgáltatók feladatai:</w:t>
      </w:r>
    </w:p>
    <w:p>
      <w:pPr>
        <w:pStyle w:val="ListBullet2"/>
        <w:pBdr>
          <w:top w:val="single" w:sz="4" w:space="1" w:color="auto"/>
          <w:left w:val="single" w:sz="4" w:space="4" w:color="auto"/>
          <w:bottom w:val="single" w:sz="4" w:space="1" w:color="auto"/>
          <w:right w:val="single" w:sz="4" w:space="4" w:color="auto"/>
        </w:pBdr>
        <w:spacing w:after="120" w:line="276" w:lineRule="auto"/>
        <w:rPr>
          <w:rFonts w:eastAsia="Calibri"/>
          <w:noProof/>
        </w:rPr>
      </w:pPr>
      <w:r>
        <w:rPr>
          <w:noProof/>
        </w:rPr>
        <w:t>A „</w:t>
      </w:r>
      <w:r>
        <w:rPr>
          <w:b/>
          <w:bCs/>
          <w:noProof/>
        </w:rPr>
        <w:t>bírói mesterség” elsajátításának, valamint a nem jogi ismeretek és készségek fejlesztésének</w:t>
      </w:r>
      <w:r>
        <w:rPr>
          <w:noProof/>
        </w:rPr>
        <w:t xml:space="preserve"> beillesztése a továbbképzési programokba;</w:t>
      </w:r>
    </w:p>
    <w:p>
      <w:pPr>
        <w:pStyle w:val="ListBullet2"/>
        <w:pBdr>
          <w:top w:val="single" w:sz="4" w:space="1" w:color="auto"/>
          <w:left w:val="single" w:sz="4" w:space="4" w:color="auto"/>
          <w:bottom w:val="single" w:sz="4" w:space="1" w:color="auto"/>
          <w:right w:val="single" w:sz="4" w:space="4" w:color="auto"/>
        </w:pBdr>
        <w:spacing w:after="120" w:line="276" w:lineRule="auto"/>
        <w:rPr>
          <w:rFonts w:eastAsia="Calibri"/>
          <w:noProof/>
        </w:rPr>
      </w:pPr>
      <w:r>
        <w:rPr>
          <w:b/>
          <w:bCs/>
          <w:noProof/>
        </w:rPr>
        <w:t>Idegen nyelvű képzések</w:t>
      </w:r>
      <w:r>
        <w:rPr>
          <w:noProof/>
        </w:rPr>
        <w:t xml:space="preserve"> biztosítása, különösen határokon átnyúló ügyekkel foglalkozó jogászok számára.</w:t>
      </w:r>
    </w:p>
    <w:p>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rPr>
      </w:pPr>
      <w:r>
        <w:rPr>
          <w:rFonts w:ascii="Times New Roman" w:hAnsi="Times New Roman"/>
          <w:b/>
          <w:bCs/>
          <w:i/>
          <w:iCs/>
          <w:noProof/>
          <w:sz w:val="24"/>
          <w:szCs w:val="24"/>
        </w:rPr>
        <w:t>A Bizottság feladatai:</w:t>
      </w:r>
    </w:p>
    <w:p>
      <w:pPr>
        <w:pStyle w:val="ListBullet2"/>
        <w:pBdr>
          <w:top w:val="single" w:sz="4" w:space="1" w:color="auto"/>
          <w:left w:val="single" w:sz="4" w:space="4" w:color="auto"/>
          <w:bottom w:val="single" w:sz="4" w:space="1" w:color="auto"/>
          <w:right w:val="single" w:sz="4" w:space="4" w:color="auto"/>
        </w:pBdr>
        <w:spacing w:after="200" w:line="276" w:lineRule="auto"/>
        <w:rPr>
          <w:rFonts w:eastAsia="Calibri"/>
          <w:noProof/>
        </w:rPr>
      </w:pPr>
      <w:r>
        <w:rPr>
          <w:noProof/>
        </w:rPr>
        <w:t xml:space="preserve">Pénzügyi támogatás biztosítása a </w:t>
      </w:r>
      <w:r>
        <w:rPr>
          <w:b/>
          <w:bCs/>
          <w:noProof/>
        </w:rPr>
        <w:t>nem jogi témákkal kapcsolatos, határon átnyúló képzésekhez</w:t>
      </w:r>
      <w:r>
        <w:rPr>
          <w:noProof/>
        </w:rPr>
        <w:t>, amennyiben azok jogi képzéshez kapcsolódnak.</w:t>
      </w:r>
    </w:p>
    <w:p>
      <w:pPr>
        <w:pStyle w:val="Heading1"/>
        <w:numPr>
          <w:ilvl w:val="0"/>
          <w:numId w:val="69"/>
        </w:numPr>
        <w:spacing w:before="200" w:after="200"/>
        <w:rPr>
          <w:noProof/>
        </w:rPr>
      </w:pPr>
      <w:r>
        <w:rPr>
          <w:noProof/>
        </w:rPr>
        <w:t>Több, szélesebb körű és célzottabb képzés az igazságügyi szakemberek számára</w:t>
      </w:r>
    </w:p>
    <w:p>
      <w:pPr>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szCs w:val="24"/>
        </w:rPr>
        <w:t>A 2011-es közlemény egyik fő célja az volt, hogy növelje a képzésben részt vevő gyakorló jogászok számát, és ezzel megteremtse a szükséges lendületet. Ez önmagában is változást tudott előidézni. A képzési stratégia értékelése azonban rávilágított bizonyos problémákra, például arra, hogy az eredmények szakmánként és országonként változóak. Ezért a jövőben azt a megközelítést kell követni, hogy</w:t>
      </w:r>
      <w:r>
        <w:rPr>
          <w:rFonts w:ascii="Times New Roman" w:hAnsi="Times New Roman"/>
          <w:b/>
          <w:bCs/>
          <w:noProof/>
          <w:color w:val="000000" w:themeColor="text1"/>
          <w:sz w:val="24"/>
          <w:szCs w:val="24"/>
        </w:rPr>
        <w:t xml:space="preserve"> új és ambiciózus (bár differenciált) célkitűzéseket</w:t>
      </w:r>
      <w:r>
        <w:rPr>
          <w:rFonts w:ascii="Times New Roman" w:hAnsi="Times New Roman"/>
          <w:noProof/>
          <w:color w:val="000000" w:themeColor="text1"/>
          <w:sz w:val="24"/>
          <w:szCs w:val="24"/>
        </w:rPr>
        <w:t xml:space="preserve"> kell meghatározni, amelyeknek </w:t>
      </w:r>
      <w:r>
        <w:rPr>
          <w:rFonts w:ascii="Times New Roman" w:hAnsi="Times New Roman"/>
          <w:b/>
          <w:bCs/>
          <w:noProof/>
          <w:color w:val="000000" w:themeColor="text1"/>
          <w:sz w:val="24"/>
          <w:szCs w:val="24"/>
        </w:rPr>
        <w:t>pontosabban kell illeszkedniük</w:t>
      </w:r>
      <w:r>
        <w:rPr>
          <w:rFonts w:ascii="Times New Roman" w:hAnsi="Times New Roman"/>
          <w:noProof/>
          <w:color w:val="000000" w:themeColor="text1"/>
          <w:sz w:val="24"/>
          <w:szCs w:val="24"/>
        </w:rPr>
        <w:t xml:space="preserve"> a képzés által megcélzott szakmák uniós joggal kapcsolatos képzési igényeihez és részvételi szintjéhez.</w:t>
      </w:r>
    </w:p>
    <w:p>
      <w:pPr>
        <w:jc w:val="both"/>
        <w:rPr>
          <w:rFonts w:ascii="Times New Roman" w:eastAsia="Calibri" w:hAnsi="Times New Roman" w:cs="Times New Roman"/>
          <w:noProof/>
          <w:color w:val="000000" w:themeColor="text1"/>
          <w:sz w:val="24"/>
          <w:szCs w:val="24"/>
        </w:rPr>
      </w:pPr>
      <w:r>
        <w:rPr>
          <w:rFonts w:ascii="Times New Roman" w:hAnsi="Times New Roman"/>
          <w:b/>
          <w:bCs/>
          <w:i/>
          <w:iCs/>
          <w:noProof/>
          <w:sz w:val="24"/>
          <w:szCs w:val="24"/>
        </w:rPr>
        <w:t>Az uniós jogi továbbképzésben való részvétel aránya az EU-ban (%)</w:t>
      </w:r>
    </w:p>
    <w:tbl>
      <w:tblPr>
        <w:tblStyle w:val="TableGrid"/>
        <w:tblW w:w="0" w:type="auto"/>
        <w:tblLook w:val="04A0" w:firstRow="1" w:lastRow="0" w:firstColumn="1" w:lastColumn="0" w:noHBand="0" w:noVBand="1"/>
      </w:tblPr>
      <w:tblGrid>
        <w:gridCol w:w="1431"/>
        <w:gridCol w:w="873"/>
        <w:gridCol w:w="873"/>
        <w:gridCol w:w="873"/>
        <w:gridCol w:w="873"/>
        <w:gridCol w:w="873"/>
        <w:gridCol w:w="873"/>
        <w:gridCol w:w="873"/>
        <w:gridCol w:w="873"/>
        <w:gridCol w:w="873"/>
      </w:tblGrid>
      <w:tr>
        <w:tc>
          <w:tcPr>
            <w:tcW w:w="2265" w:type="dxa"/>
          </w:tcPr>
          <w:p>
            <w:pPr>
              <w:rPr>
                <w:rFonts w:ascii="Times New Roman" w:eastAsia="Times New Roman" w:hAnsi="Times New Roman" w:cs="Times New Roman"/>
                <w:b/>
                <w:bCs/>
                <w:noProof/>
              </w:rPr>
            </w:pPr>
            <w:r>
              <w:rPr>
                <w:rFonts w:ascii="Times New Roman" w:hAnsi="Times New Roman"/>
                <w:b/>
                <w:bCs/>
                <w:noProof/>
              </w:rPr>
              <w:t>Jogi szakmák</w:t>
            </w:r>
          </w:p>
        </w:tc>
        <w:tc>
          <w:tcPr>
            <w:tcW w:w="755" w:type="dxa"/>
          </w:tcPr>
          <w:p>
            <w:pPr>
              <w:jc w:val="center"/>
              <w:rPr>
                <w:rFonts w:ascii="Times New Roman" w:eastAsia="Times New Roman" w:hAnsi="Times New Roman" w:cs="Times New Roman"/>
                <w:b/>
                <w:bCs/>
                <w:noProof/>
              </w:rPr>
            </w:pPr>
            <w:r>
              <w:rPr>
                <w:rFonts w:ascii="Times New Roman" w:hAnsi="Times New Roman"/>
                <w:b/>
                <w:bCs/>
                <w:noProof/>
              </w:rPr>
              <w:t>2011</w:t>
            </w:r>
          </w:p>
        </w:tc>
        <w:tc>
          <w:tcPr>
            <w:tcW w:w="755" w:type="dxa"/>
          </w:tcPr>
          <w:p>
            <w:pPr>
              <w:jc w:val="center"/>
              <w:rPr>
                <w:rFonts w:ascii="Times New Roman" w:hAnsi="Times New Roman" w:cs="Times New Roman"/>
                <w:noProof/>
              </w:rPr>
            </w:pPr>
            <w:r>
              <w:rPr>
                <w:rFonts w:ascii="Times New Roman" w:hAnsi="Times New Roman"/>
                <w:b/>
                <w:bCs/>
                <w:noProof/>
              </w:rPr>
              <w:t>2012</w:t>
            </w:r>
          </w:p>
        </w:tc>
        <w:tc>
          <w:tcPr>
            <w:tcW w:w="755" w:type="dxa"/>
          </w:tcPr>
          <w:p>
            <w:pPr>
              <w:jc w:val="center"/>
              <w:rPr>
                <w:rFonts w:ascii="Times New Roman" w:hAnsi="Times New Roman" w:cs="Times New Roman"/>
                <w:noProof/>
              </w:rPr>
            </w:pPr>
            <w:r>
              <w:rPr>
                <w:rFonts w:ascii="Times New Roman" w:hAnsi="Times New Roman"/>
                <w:b/>
                <w:bCs/>
                <w:noProof/>
              </w:rPr>
              <w:t>2013</w:t>
            </w:r>
          </w:p>
        </w:tc>
        <w:tc>
          <w:tcPr>
            <w:tcW w:w="755" w:type="dxa"/>
          </w:tcPr>
          <w:p>
            <w:pPr>
              <w:jc w:val="center"/>
              <w:rPr>
                <w:rFonts w:ascii="Times New Roman" w:hAnsi="Times New Roman" w:cs="Times New Roman"/>
                <w:noProof/>
              </w:rPr>
            </w:pPr>
            <w:r>
              <w:rPr>
                <w:rFonts w:ascii="Times New Roman" w:hAnsi="Times New Roman"/>
                <w:b/>
                <w:bCs/>
                <w:noProof/>
              </w:rPr>
              <w:t>2014</w:t>
            </w:r>
          </w:p>
        </w:tc>
        <w:tc>
          <w:tcPr>
            <w:tcW w:w="755" w:type="dxa"/>
          </w:tcPr>
          <w:p>
            <w:pPr>
              <w:jc w:val="center"/>
              <w:rPr>
                <w:rFonts w:ascii="Times New Roman" w:hAnsi="Times New Roman" w:cs="Times New Roman"/>
                <w:noProof/>
              </w:rPr>
            </w:pPr>
            <w:r>
              <w:rPr>
                <w:rFonts w:ascii="Times New Roman" w:hAnsi="Times New Roman"/>
                <w:b/>
                <w:bCs/>
                <w:noProof/>
              </w:rPr>
              <w:t>2015</w:t>
            </w:r>
          </w:p>
        </w:tc>
        <w:tc>
          <w:tcPr>
            <w:tcW w:w="755" w:type="dxa"/>
          </w:tcPr>
          <w:p>
            <w:pPr>
              <w:jc w:val="center"/>
              <w:rPr>
                <w:rFonts w:ascii="Times New Roman" w:hAnsi="Times New Roman" w:cs="Times New Roman"/>
                <w:noProof/>
              </w:rPr>
            </w:pPr>
            <w:r>
              <w:rPr>
                <w:rFonts w:ascii="Times New Roman" w:hAnsi="Times New Roman"/>
                <w:b/>
                <w:bCs/>
                <w:noProof/>
              </w:rPr>
              <w:t>2016</w:t>
            </w:r>
          </w:p>
        </w:tc>
        <w:tc>
          <w:tcPr>
            <w:tcW w:w="755" w:type="dxa"/>
          </w:tcPr>
          <w:p>
            <w:pPr>
              <w:jc w:val="center"/>
              <w:rPr>
                <w:rFonts w:ascii="Times New Roman" w:eastAsia="Times New Roman" w:hAnsi="Times New Roman" w:cs="Times New Roman"/>
                <w:b/>
                <w:bCs/>
                <w:noProof/>
              </w:rPr>
            </w:pPr>
            <w:r>
              <w:rPr>
                <w:rFonts w:ascii="Times New Roman" w:hAnsi="Times New Roman"/>
                <w:b/>
                <w:bCs/>
                <w:noProof/>
              </w:rPr>
              <w:t>2017</w:t>
            </w:r>
          </w:p>
        </w:tc>
        <w:tc>
          <w:tcPr>
            <w:tcW w:w="756" w:type="dxa"/>
          </w:tcPr>
          <w:p>
            <w:pPr>
              <w:jc w:val="center"/>
              <w:rPr>
                <w:rFonts w:ascii="Times New Roman" w:hAnsi="Times New Roman" w:cs="Times New Roman"/>
                <w:noProof/>
              </w:rPr>
            </w:pPr>
            <w:r>
              <w:rPr>
                <w:rFonts w:ascii="Times New Roman" w:hAnsi="Times New Roman"/>
                <w:b/>
                <w:bCs/>
                <w:noProof/>
              </w:rPr>
              <w:t>2018</w:t>
            </w:r>
          </w:p>
        </w:tc>
        <w:tc>
          <w:tcPr>
            <w:tcW w:w="756" w:type="dxa"/>
          </w:tcPr>
          <w:p>
            <w:pPr>
              <w:jc w:val="center"/>
              <w:rPr>
                <w:rFonts w:ascii="Times New Roman" w:hAnsi="Times New Roman" w:cs="Times New Roman"/>
                <w:noProof/>
              </w:rPr>
            </w:pPr>
            <w:r>
              <w:rPr>
                <w:rFonts w:ascii="Times New Roman" w:hAnsi="Times New Roman"/>
                <w:b/>
                <w:bCs/>
                <w:noProof/>
              </w:rPr>
              <w:t>2019</w:t>
            </w:r>
          </w:p>
        </w:tc>
      </w:tr>
      <w:tr>
        <w:tc>
          <w:tcPr>
            <w:tcW w:w="2265" w:type="dxa"/>
          </w:tcPr>
          <w:p>
            <w:pPr>
              <w:rPr>
                <w:rFonts w:ascii="Times New Roman" w:hAnsi="Times New Roman" w:cs="Times New Roman"/>
                <w:noProof/>
              </w:rPr>
            </w:pPr>
            <w:r>
              <w:rPr>
                <w:rFonts w:ascii="Times New Roman" w:hAnsi="Times New Roman"/>
                <w:noProof/>
              </w:rPr>
              <w:t>Bírák és ügyészek</w:t>
            </w:r>
          </w:p>
        </w:tc>
        <w:tc>
          <w:tcPr>
            <w:tcW w:w="755" w:type="dxa"/>
          </w:tcPr>
          <w:p>
            <w:pPr>
              <w:jc w:val="center"/>
              <w:rPr>
                <w:rFonts w:ascii="Times New Roman" w:hAnsi="Times New Roman" w:cs="Times New Roman"/>
                <w:noProof/>
              </w:rPr>
            </w:pPr>
            <w:r>
              <w:rPr>
                <w:rFonts w:ascii="Times New Roman" w:hAnsi="Times New Roman"/>
                <w:noProof/>
                <w:sz w:val="20"/>
                <w:szCs w:val="20"/>
              </w:rPr>
              <w:t>24,62 %</w:t>
            </w:r>
          </w:p>
        </w:tc>
        <w:tc>
          <w:tcPr>
            <w:tcW w:w="755" w:type="dxa"/>
          </w:tcPr>
          <w:p>
            <w:pPr>
              <w:jc w:val="center"/>
              <w:rPr>
                <w:rFonts w:ascii="Times New Roman" w:hAnsi="Times New Roman" w:cs="Times New Roman"/>
                <w:noProof/>
              </w:rPr>
            </w:pPr>
            <w:r>
              <w:rPr>
                <w:rFonts w:ascii="Times New Roman" w:hAnsi="Times New Roman"/>
                <w:noProof/>
                <w:sz w:val="20"/>
                <w:szCs w:val="20"/>
              </w:rPr>
              <w:t>23,04 %</w:t>
            </w:r>
          </w:p>
        </w:tc>
        <w:tc>
          <w:tcPr>
            <w:tcW w:w="755" w:type="dxa"/>
          </w:tcPr>
          <w:p>
            <w:pPr>
              <w:jc w:val="center"/>
              <w:rPr>
                <w:rFonts w:ascii="Times New Roman" w:hAnsi="Times New Roman" w:cs="Times New Roman"/>
                <w:noProof/>
              </w:rPr>
            </w:pPr>
            <w:r>
              <w:rPr>
                <w:rFonts w:ascii="Times New Roman" w:hAnsi="Times New Roman"/>
                <w:noProof/>
                <w:sz w:val="20"/>
                <w:szCs w:val="20"/>
              </w:rPr>
              <w:t>24,00 %</w:t>
            </w:r>
          </w:p>
        </w:tc>
        <w:tc>
          <w:tcPr>
            <w:tcW w:w="755" w:type="dxa"/>
          </w:tcPr>
          <w:p>
            <w:pPr>
              <w:jc w:val="center"/>
              <w:rPr>
                <w:rFonts w:ascii="Times New Roman" w:hAnsi="Times New Roman" w:cs="Times New Roman"/>
                <w:noProof/>
              </w:rPr>
            </w:pPr>
            <w:r>
              <w:rPr>
                <w:rFonts w:ascii="Times New Roman" w:hAnsi="Times New Roman"/>
                <w:noProof/>
                <w:sz w:val="20"/>
                <w:szCs w:val="20"/>
              </w:rPr>
              <w:t>29,11 %</w:t>
            </w:r>
          </w:p>
        </w:tc>
        <w:tc>
          <w:tcPr>
            <w:tcW w:w="755" w:type="dxa"/>
          </w:tcPr>
          <w:p>
            <w:pPr>
              <w:jc w:val="center"/>
              <w:rPr>
                <w:rFonts w:ascii="Times New Roman" w:hAnsi="Times New Roman" w:cs="Times New Roman"/>
                <w:noProof/>
              </w:rPr>
            </w:pPr>
            <w:r>
              <w:rPr>
                <w:rFonts w:ascii="Times New Roman" w:hAnsi="Times New Roman"/>
                <w:noProof/>
                <w:sz w:val="20"/>
                <w:szCs w:val="20"/>
              </w:rPr>
              <w:t>28,10 %</w:t>
            </w:r>
          </w:p>
        </w:tc>
        <w:tc>
          <w:tcPr>
            <w:tcW w:w="755" w:type="dxa"/>
          </w:tcPr>
          <w:p>
            <w:pPr>
              <w:jc w:val="center"/>
              <w:rPr>
                <w:rFonts w:ascii="Times New Roman" w:hAnsi="Times New Roman" w:cs="Times New Roman"/>
                <w:noProof/>
              </w:rPr>
            </w:pPr>
            <w:r>
              <w:rPr>
                <w:rFonts w:ascii="Times New Roman" w:hAnsi="Times New Roman"/>
                <w:noProof/>
                <w:sz w:val="20"/>
                <w:szCs w:val="20"/>
              </w:rPr>
              <w:t>38,03 %</w:t>
            </w:r>
          </w:p>
        </w:tc>
        <w:tc>
          <w:tcPr>
            <w:tcW w:w="755" w:type="dxa"/>
          </w:tcPr>
          <w:p>
            <w:pPr>
              <w:jc w:val="center"/>
              <w:rPr>
                <w:rFonts w:ascii="Times New Roman" w:hAnsi="Times New Roman" w:cs="Times New Roman"/>
                <w:noProof/>
              </w:rPr>
            </w:pPr>
            <w:r>
              <w:rPr>
                <w:rFonts w:ascii="Times New Roman" w:hAnsi="Times New Roman"/>
                <w:noProof/>
                <w:sz w:val="20"/>
                <w:szCs w:val="20"/>
              </w:rPr>
              <w:t>48,22 %</w:t>
            </w:r>
          </w:p>
        </w:tc>
        <w:tc>
          <w:tcPr>
            <w:tcW w:w="756" w:type="dxa"/>
          </w:tcPr>
          <w:p>
            <w:pPr>
              <w:jc w:val="center"/>
              <w:rPr>
                <w:rFonts w:ascii="Times New Roman" w:hAnsi="Times New Roman" w:cs="Times New Roman"/>
                <w:noProof/>
              </w:rPr>
            </w:pPr>
            <w:r>
              <w:rPr>
                <w:rFonts w:ascii="Times New Roman" w:hAnsi="Times New Roman"/>
                <w:noProof/>
                <w:sz w:val="20"/>
                <w:szCs w:val="20"/>
              </w:rPr>
              <w:t>54,66 %</w:t>
            </w:r>
          </w:p>
        </w:tc>
        <w:tc>
          <w:tcPr>
            <w:tcW w:w="756" w:type="dxa"/>
          </w:tcPr>
          <w:p>
            <w:pPr>
              <w:jc w:val="center"/>
              <w:rPr>
                <w:rFonts w:ascii="Times New Roman" w:eastAsia="Times New Roman" w:hAnsi="Times New Roman" w:cs="Times New Roman"/>
                <w:noProof/>
                <w:sz w:val="20"/>
                <w:szCs w:val="20"/>
              </w:rPr>
            </w:pPr>
            <w:r>
              <w:rPr>
                <w:rFonts w:ascii="Times New Roman" w:hAnsi="Times New Roman"/>
                <w:noProof/>
                <w:sz w:val="20"/>
                <w:szCs w:val="20"/>
              </w:rPr>
              <w:t>55,70 %</w:t>
            </w:r>
          </w:p>
        </w:tc>
      </w:tr>
      <w:tr>
        <w:tc>
          <w:tcPr>
            <w:tcW w:w="2265" w:type="dxa"/>
          </w:tcPr>
          <w:p>
            <w:pPr>
              <w:rPr>
                <w:rFonts w:ascii="Times New Roman" w:hAnsi="Times New Roman" w:cs="Times New Roman"/>
                <w:noProof/>
              </w:rPr>
            </w:pPr>
            <w:r>
              <w:rPr>
                <w:rFonts w:ascii="Times New Roman" w:hAnsi="Times New Roman"/>
                <w:noProof/>
              </w:rPr>
              <w:t>Bírósági és ügyészségi alkalmazottak</w:t>
            </w:r>
          </w:p>
        </w:tc>
        <w:tc>
          <w:tcPr>
            <w:tcW w:w="755" w:type="dxa"/>
          </w:tcPr>
          <w:p>
            <w:pPr>
              <w:jc w:val="center"/>
              <w:rPr>
                <w:rFonts w:ascii="Times New Roman" w:hAnsi="Times New Roman" w:cs="Times New Roman"/>
                <w:noProof/>
              </w:rPr>
            </w:pPr>
            <w:r>
              <w:rPr>
                <w:rFonts w:ascii="Times New Roman" w:hAnsi="Times New Roman"/>
                <w:noProof/>
                <w:sz w:val="20"/>
                <w:szCs w:val="20"/>
              </w:rPr>
              <w:t>1,75 %</w:t>
            </w:r>
          </w:p>
        </w:tc>
        <w:tc>
          <w:tcPr>
            <w:tcW w:w="755" w:type="dxa"/>
          </w:tcPr>
          <w:p>
            <w:pPr>
              <w:jc w:val="center"/>
              <w:rPr>
                <w:rFonts w:ascii="Times New Roman" w:hAnsi="Times New Roman" w:cs="Times New Roman"/>
                <w:noProof/>
              </w:rPr>
            </w:pPr>
            <w:r>
              <w:rPr>
                <w:rFonts w:ascii="Times New Roman" w:hAnsi="Times New Roman"/>
                <w:noProof/>
                <w:sz w:val="20"/>
                <w:szCs w:val="20"/>
              </w:rPr>
              <w:t>0,90 %</w:t>
            </w:r>
          </w:p>
        </w:tc>
        <w:tc>
          <w:tcPr>
            <w:tcW w:w="755" w:type="dxa"/>
          </w:tcPr>
          <w:p>
            <w:pPr>
              <w:jc w:val="center"/>
              <w:rPr>
                <w:rFonts w:ascii="Times New Roman" w:hAnsi="Times New Roman" w:cs="Times New Roman"/>
                <w:noProof/>
              </w:rPr>
            </w:pPr>
            <w:r>
              <w:rPr>
                <w:rFonts w:ascii="Times New Roman" w:hAnsi="Times New Roman"/>
                <w:noProof/>
                <w:sz w:val="20"/>
                <w:szCs w:val="20"/>
              </w:rPr>
              <w:t>1,52 %</w:t>
            </w:r>
          </w:p>
        </w:tc>
        <w:tc>
          <w:tcPr>
            <w:tcW w:w="755" w:type="dxa"/>
          </w:tcPr>
          <w:p>
            <w:pPr>
              <w:jc w:val="center"/>
              <w:rPr>
                <w:rFonts w:ascii="Times New Roman" w:hAnsi="Times New Roman" w:cs="Times New Roman"/>
                <w:noProof/>
              </w:rPr>
            </w:pPr>
            <w:r>
              <w:rPr>
                <w:rFonts w:ascii="Times New Roman" w:hAnsi="Times New Roman"/>
                <w:noProof/>
                <w:sz w:val="20"/>
                <w:szCs w:val="20"/>
              </w:rPr>
              <w:t>1,32 %</w:t>
            </w:r>
          </w:p>
        </w:tc>
        <w:tc>
          <w:tcPr>
            <w:tcW w:w="755" w:type="dxa"/>
          </w:tcPr>
          <w:p>
            <w:pPr>
              <w:jc w:val="center"/>
              <w:rPr>
                <w:rFonts w:ascii="Times New Roman" w:hAnsi="Times New Roman" w:cs="Times New Roman"/>
                <w:noProof/>
              </w:rPr>
            </w:pPr>
            <w:r>
              <w:rPr>
                <w:rFonts w:ascii="Times New Roman" w:hAnsi="Times New Roman"/>
                <w:noProof/>
                <w:sz w:val="20"/>
                <w:szCs w:val="20"/>
              </w:rPr>
              <w:t>2,06 %</w:t>
            </w:r>
          </w:p>
        </w:tc>
        <w:tc>
          <w:tcPr>
            <w:tcW w:w="755" w:type="dxa"/>
          </w:tcPr>
          <w:p>
            <w:pPr>
              <w:jc w:val="center"/>
              <w:rPr>
                <w:rFonts w:ascii="Times New Roman" w:hAnsi="Times New Roman" w:cs="Times New Roman"/>
                <w:noProof/>
              </w:rPr>
            </w:pPr>
            <w:r>
              <w:rPr>
                <w:rFonts w:ascii="Times New Roman" w:hAnsi="Times New Roman"/>
                <w:noProof/>
                <w:sz w:val="20"/>
                <w:szCs w:val="20"/>
              </w:rPr>
              <w:t>2,39 %</w:t>
            </w:r>
          </w:p>
        </w:tc>
        <w:tc>
          <w:tcPr>
            <w:tcW w:w="755" w:type="dxa"/>
          </w:tcPr>
          <w:p>
            <w:pPr>
              <w:jc w:val="center"/>
              <w:rPr>
                <w:rFonts w:ascii="Times New Roman" w:hAnsi="Times New Roman" w:cs="Times New Roman"/>
                <w:noProof/>
              </w:rPr>
            </w:pPr>
            <w:r>
              <w:rPr>
                <w:rFonts w:ascii="Times New Roman" w:hAnsi="Times New Roman"/>
                <w:noProof/>
                <w:sz w:val="20"/>
                <w:szCs w:val="20"/>
              </w:rPr>
              <w:t>3,23 %</w:t>
            </w:r>
          </w:p>
        </w:tc>
        <w:tc>
          <w:tcPr>
            <w:tcW w:w="756" w:type="dxa"/>
          </w:tcPr>
          <w:p>
            <w:pPr>
              <w:jc w:val="center"/>
              <w:rPr>
                <w:rFonts w:ascii="Times New Roman" w:hAnsi="Times New Roman" w:cs="Times New Roman"/>
                <w:noProof/>
              </w:rPr>
            </w:pPr>
            <w:r>
              <w:rPr>
                <w:rFonts w:ascii="Times New Roman" w:hAnsi="Times New Roman"/>
                <w:noProof/>
                <w:sz w:val="20"/>
                <w:szCs w:val="20"/>
              </w:rPr>
              <w:t>4,14 %</w:t>
            </w:r>
          </w:p>
        </w:tc>
        <w:tc>
          <w:tcPr>
            <w:tcW w:w="756" w:type="dxa"/>
          </w:tcPr>
          <w:p>
            <w:pPr>
              <w:jc w:val="center"/>
              <w:rPr>
                <w:rFonts w:ascii="Times New Roman" w:eastAsia="Times New Roman" w:hAnsi="Times New Roman" w:cs="Times New Roman"/>
                <w:noProof/>
                <w:sz w:val="20"/>
                <w:szCs w:val="20"/>
              </w:rPr>
            </w:pPr>
            <w:r>
              <w:rPr>
                <w:rFonts w:ascii="Times New Roman" w:hAnsi="Times New Roman"/>
                <w:noProof/>
                <w:sz w:val="20"/>
                <w:szCs w:val="20"/>
              </w:rPr>
              <w:t>6,40 %</w:t>
            </w:r>
          </w:p>
        </w:tc>
      </w:tr>
      <w:tr>
        <w:tc>
          <w:tcPr>
            <w:tcW w:w="2265" w:type="dxa"/>
          </w:tcPr>
          <w:p>
            <w:pPr>
              <w:rPr>
                <w:rFonts w:ascii="Times New Roman" w:hAnsi="Times New Roman" w:cs="Times New Roman"/>
                <w:noProof/>
              </w:rPr>
            </w:pPr>
            <w:r>
              <w:rPr>
                <w:rFonts w:ascii="Times New Roman" w:hAnsi="Times New Roman"/>
                <w:noProof/>
              </w:rPr>
              <w:t>Ügyvédek</w:t>
            </w:r>
          </w:p>
        </w:tc>
        <w:tc>
          <w:tcPr>
            <w:tcW w:w="755" w:type="dxa"/>
          </w:tcPr>
          <w:p>
            <w:pPr>
              <w:jc w:val="center"/>
              <w:rPr>
                <w:rFonts w:ascii="Times New Roman" w:hAnsi="Times New Roman" w:cs="Times New Roman"/>
                <w:noProof/>
              </w:rPr>
            </w:pPr>
            <w:r>
              <w:rPr>
                <w:rFonts w:ascii="Times New Roman" w:hAnsi="Times New Roman"/>
                <w:noProof/>
                <w:sz w:val="20"/>
                <w:szCs w:val="20"/>
              </w:rPr>
              <w:t>1,79 %</w:t>
            </w:r>
          </w:p>
        </w:tc>
        <w:tc>
          <w:tcPr>
            <w:tcW w:w="755" w:type="dxa"/>
          </w:tcPr>
          <w:p>
            <w:pPr>
              <w:jc w:val="center"/>
              <w:rPr>
                <w:rFonts w:ascii="Times New Roman" w:hAnsi="Times New Roman" w:cs="Times New Roman"/>
                <w:noProof/>
              </w:rPr>
            </w:pPr>
            <w:r>
              <w:rPr>
                <w:rFonts w:ascii="Times New Roman" w:hAnsi="Times New Roman"/>
                <w:noProof/>
                <w:sz w:val="20"/>
                <w:szCs w:val="20"/>
              </w:rPr>
              <w:t>1,73 %</w:t>
            </w:r>
          </w:p>
        </w:tc>
        <w:tc>
          <w:tcPr>
            <w:tcW w:w="755" w:type="dxa"/>
          </w:tcPr>
          <w:p>
            <w:pPr>
              <w:jc w:val="center"/>
              <w:rPr>
                <w:rFonts w:ascii="Times New Roman" w:hAnsi="Times New Roman" w:cs="Times New Roman"/>
                <w:noProof/>
              </w:rPr>
            </w:pPr>
            <w:r>
              <w:rPr>
                <w:rFonts w:ascii="Times New Roman" w:hAnsi="Times New Roman"/>
                <w:noProof/>
                <w:sz w:val="20"/>
                <w:szCs w:val="20"/>
              </w:rPr>
              <w:t>5,04 %</w:t>
            </w:r>
          </w:p>
        </w:tc>
        <w:tc>
          <w:tcPr>
            <w:tcW w:w="755" w:type="dxa"/>
          </w:tcPr>
          <w:p>
            <w:pPr>
              <w:jc w:val="center"/>
              <w:rPr>
                <w:rFonts w:ascii="Times New Roman" w:hAnsi="Times New Roman" w:cs="Times New Roman"/>
                <w:noProof/>
              </w:rPr>
            </w:pPr>
            <w:r>
              <w:rPr>
                <w:rFonts w:ascii="Times New Roman" w:hAnsi="Times New Roman"/>
                <w:noProof/>
                <w:sz w:val="20"/>
                <w:szCs w:val="20"/>
              </w:rPr>
              <w:t>5,28 %</w:t>
            </w:r>
          </w:p>
        </w:tc>
        <w:tc>
          <w:tcPr>
            <w:tcW w:w="755" w:type="dxa"/>
          </w:tcPr>
          <w:p>
            <w:pPr>
              <w:jc w:val="center"/>
              <w:rPr>
                <w:rFonts w:ascii="Times New Roman" w:hAnsi="Times New Roman" w:cs="Times New Roman"/>
                <w:noProof/>
              </w:rPr>
            </w:pPr>
            <w:r>
              <w:rPr>
                <w:rFonts w:ascii="Times New Roman" w:hAnsi="Times New Roman"/>
                <w:noProof/>
                <w:sz w:val="20"/>
                <w:szCs w:val="20"/>
              </w:rPr>
              <w:t>3,54 %</w:t>
            </w:r>
          </w:p>
        </w:tc>
        <w:tc>
          <w:tcPr>
            <w:tcW w:w="755" w:type="dxa"/>
          </w:tcPr>
          <w:p>
            <w:pPr>
              <w:jc w:val="center"/>
              <w:rPr>
                <w:rFonts w:ascii="Times New Roman" w:hAnsi="Times New Roman" w:cs="Times New Roman"/>
                <w:noProof/>
              </w:rPr>
            </w:pPr>
            <w:r>
              <w:rPr>
                <w:rFonts w:ascii="Times New Roman" w:hAnsi="Times New Roman"/>
                <w:noProof/>
                <w:sz w:val="20"/>
                <w:szCs w:val="20"/>
              </w:rPr>
              <w:t>4,11 %</w:t>
            </w:r>
          </w:p>
        </w:tc>
        <w:tc>
          <w:tcPr>
            <w:tcW w:w="755" w:type="dxa"/>
          </w:tcPr>
          <w:p>
            <w:pPr>
              <w:jc w:val="center"/>
              <w:rPr>
                <w:rFonts w:ascii="Times New Roman" w:hAnsi="Times New Roman" w:cs="Times New Roman"/>
                <w:noProof/>
              </w:rPr>
            </w:pPr>
            <w:r>
              <w:rPr>
                <w:rFonts w:ascii="Times New Roman" w:hAnsi="Times New Roman"/>
                <w:noProof/>
                <w:sz w:val="20"/>
                <w:szCs w:val="20"/>
              </w:rPr>
              <w:t>4,88 %</w:t>
            </w:r>
          </w:p>
        </w:tc>
        <w:tc>
          <w:tcPr>
            <w:tcW w:w="756" w:type="dxa"/>
          </w:tcPr>
          <w:p>
            <w:pPr>
              <w:jc w:val="center"/>
              <w:rPr>
                <w:rFonts w:ascii="Times New Roman" w:hAnsi="Times New Roman" w:cs="Times New Roman"/>
                <w:noProof/>
              </w:rPr>
            </w:pPr>
            <w:r>
              <w:rPr>
                <w:rFonts w:ascii="Times New Roman" w:hAnsi="Times New Roman"/>
                <w:noProof/>
                <w:sz w:val="20"/>
                <w:szCs w:val="20"/>
              </w:rPr>
              <w:t>4,82 %</w:t>
            </w:r>
          </w:p>
        </w:tc>
        <w:tc>
          <w:tcPr>
            <w:tcW w:w="756" w:type="dxa"/>
          </w:tcPr>
          <w:p>
            <w:pPr>
              <w:jc w:val="center"/>
              <w:rPr>
                <w:rFonts w:ascii="Times New Roman" w:eastAsia="Times New Roman" w:hAnsi="Times New Roman" w:cs="Times New Roman"/>
                <w:noProof/>
                <w:sz w:val="20"/>
                <w:szCs w:val="20"/>
              </w:rPr>
            </w:pPr>
            <w:r>
              <w:rPr>
                <w:rFonts w:ascii="Times New Roman" w:hAnsi="Times New Roman"/>
                <w:noProof/>
                <w:sz w:val="20"/>
                <w:szCs w:val="20"/>
              </w:rPr>
              <w:t>3,36 %</w:t>
            </w:r>
          </w:p>
        </w:tc>
      </w:tr>
      <w:tr>
        <w:tc>
          <w:tcPr>
            <w:tcW w:w="2265" w:type="dxa"/>
          </w:tcPr>
          <w:p>
            <w:pPr>
              <w:rPr>
                <w:rFonts w:ascii="Times New Roman" w:hAnsi="Times New Roman" w:cs="Times New Roman"/>
                <w:noProof/>
              </w:rPr>
            </w:pPr>
            <w:r>
              <w:rPr>
                <w:rFonts w:ascii="Times New Roman" w:hAnsi="Times New Roman"/>
                <w:noProof/>
              </w:rPr>
              <w:t>Közjegyzők</w:t>
            </w:r>
          </w:p>
        </w:tc>
        <w:tc>
          <w:tcPr>
            <w:tcW w:w="755" w:type="dxa"/>
          </w:tcPr>
          <w:p>
            <w:pPr>
              <w:jc w:val="center"/>
              <w:rPr>
                <w:rFonts w:ascii="Times New Roman" w:hAnsi="Times New Roman" w:cs="Times New Roman"/>
                <w:noProof/>
              </w:rPr>
            </w:pPr>
            <w:r>
              <w:rPr>
                <w:rFonts w:ascii="Times New Roman" w:hAnsi="Times New Roman"/>
                <w:noProof/>
                <w:sz w:val="20"/>
                <w:szCs w:val="20"/>
              </w:rPr>
              <w:t>11,36 %</w:t>
            </w:r>
          </w:p>
        </w:tc>
        <w:tc>
          <w:tcPr>
            <w:tcW w:w="755" w:type="dxa"/>
          </w:tcPr>
          <w:p>
            <w:pPr>
              <w:jc w:val="center"/>
              <w:rPr>
                <w:rFonts w:ascii="Times New Roman" w:hAnsi="Times New Roman" w:cs="Times New Roman"/>
                <w:noProof/>
              </w:rPr>
            </w:pPr>
            <w:r>
              <w:rPr>
                <w:rFonts w:ascii="Times New Roman" w:hAnsi="Times New Roman"/>
                <w:noProof/>
                <w:sz w:val="20"/>
                <w:szCs w:val="20"/>
              </w:rPr>
              <w:t>5,75 %</w:t>
            </w:r>
          </w:p>
        </w:tc>
        <w:tc>
          <w:tcPr>
            <w:tcW w:w="755" w:type="dxa"/>
          </w:tcPr>
          <w:p>
            <w:pPr>
              <w:jc w:val="center"/>
              <w:rPr>
                <w:rFonts w:ascii="Times New Roman" w:hAnsi="Times New Roman" w:cs="Times New Roman"/>
                <w:noProof/>
              </w:rPr>
            </w:pPr>
            <w:r>
              <w:rPr>
                <w:rFonts w:ascii="Times New Roman" w:hAnsi="Times New Roman"/>
                <w:noProof/>
                <w:sz w:val="20"/>
                <w:szCs w:val="20"/>
              </w:rPr>
              <w:t>10,37 %</w:t>
            </w:r>
          </w:p>
        </w:tc>
        <w:tc>
          <w:tcPr>
            <w:tcW w:w="755" w:type="dxa"/>
          </w:tcPr>
          <w:p>
            <w:pPr>
              <w:jc w:val="center"/>
              <w:rPr>
                <w:rFonts w:ascii="Times New Roman" w:hAnsi="Times New Roman" w:cs="Times New Roman"/>
                <w:noProof/>
              </w:rPr>
            </w:pPr>
            <w:r>
              <w:rPr>
                <w:rFonts w:ascii="Times New Roman" w:hAnsi="Times New Roman"/>
                <w:noProof/>
                <w:sz w:val="20"/>
                <w:szCs w:val="20"/>
              </w:rPr>
              <w:t>15,31 %</w:t>
            </w:r>
          </w:p>
        </w:tc>
        <w:tc>
          <w:tcPr>
            <w:tcW w:w="755" w:type="dxa"/>
          </w:tcPr>
          <w:p>
            <w:pPr>
              <w:jc w:val="center"/>
              <w:rPr>
                <w:rFonts w:ascii="Times New Roman" w:hAnsi="Times New Roman" w:cs="Times New Roman"/>
                <w:noProof/>
              </w:rPr>
            </w:pPr>
            <w:r>
              <w:rPr>
                <w:rFonts w:ascii="Times New Roman" w:hAnsi="Times New Roman"/>
                <w:noProof/>
                <w:sz w:val="20"/>
                <w:szCs w:val="20"/>
              </w:rPr>
              <w:t>18,07 %</w:t>
            </w:r>
          </w:p>
        </w:tc>
        <w:tc>
          <w:tcPr>
            <w:tcW w:w="755" w:type="dxa"/>
          </w:tcPr>
          <w:p>
            <w:pPr>
              <w:jc w:val="center"/>
              <w:rPr>
                <w:rFonts w:ascii="Times New Roman" w:hAnsi="Times New Roman" w:cs="Times New Roman"/>
                <w:noProof/>
              </w:rPr>
            </w:pPr>
            <w:r>
              <w:rPr>
                <w:rFonts w:ascii="Times New Roman" w:hAnsi="Times New Roman"/>
                <w:noProof/>
                <w:sz w:val="20"/>
                <w:szCs w:val="20"/>
              </w:rPr>
              <w:t>13,89 %</w:t>
            </w:r>
          </w:p>
        </w:tc>
        <w:tc>
          <w:tcPr>
            <w:tcW w:w="755" w:type="dxa"/>
          </w:tcPr>
          <w:p>
            <w:pPr>
              <w:jc w:val="center"/>
              <w:rPr>
                <w:rFonts w:ascii="Times New Roman" w:hAnsi="Times New Roman" w:cs="Times New Roman"/>
                <w:noProof/>
              </w:rPr>
            </w:pPr>
            <w:r>
              <w:rPr>
                <w:rFonts w:ascii="Times New Roman" w:hAnsi="Times New Roman"/>
                <w:noProof/>
                <w:sz w:val="20"/>
                <w:szCs w:val="20"/>
              </w:rPr>
              <w:t>27,03 %</w:t>
            </w:r>
          </w:p>
        </w:tc>
        <w:tc>
          <w:tcPr>
            <w:tcW w:w="756" w:type="dxa"/>
          </w:tcPr>
          <w:p>
            <w:pPr>
              <w:jc w:val="center"/>
              <w:rPr>
                <w:rFonts w:ascii="Times New Roman" w:hAnsi="Times New Roman" w:cs="Times New Roman"/>
                <w:noProof/>
              </w:rPr>
            </w:pPr>
            <w:r>
              <w:rPr>
                <w:rFonts w:ascii="Times New Roman" w:hAnsi="Times New Roman"/>
                <w:noProof/>
                <w:sz w:val="20"/>
                <w:szCs w:val="20"/>
              </w:rPr>
              <w:t>22,35 %</w:t>
            </w:r>
          </w:p>
        </w:tc>
        <w:tc>
          <w:tcPr>
            <w:tcW w:w="756" w:type="dxa"/>
          </w:tcPr>
          <w:p>
            <w:pPr>
              <w:jc w:val="center"/>
              <w:rPr>
                <w:rFonts w:ascii="Times New Roman" w:eastAsia="Times New Roman" w:hAnsi="Times New Roman" w:cs="Times New Roman"/>
                <w:noProof/>
                <w:sz w:val="20"/>
                <w:szCs w:val="20"/>
              </w:rPr>
            </w:pPr>
            <w:r>
              <w:rPr>
                <w:rFonts w:ascii="Times New Roman" w:hAnsi="Times New Roman"/>
                <w:noProof/>
                <w:sz w:val="20"/>
                <w:szCs w:val="20"/>
              </w:rPr>
              <w:t>26,03 %</w:t>
            </w:r>
          </w:p>
        </w:tc>
      </w:tr>
      <w:tr>
        <w:tc>
          <w:tcPr>
            <w:tcW w:w="2265" w:type="dxa"/>
          </w:tcPr>
          <w:p>
            <w:pPr>
              <w:rPr>
                <w:rFonts w:ascii="Times New Roman" w:hAnsi="Times New Roman" w:cs="Times New Roman"/>
                <w:noProof/>
              </w:rPr>
            </w:pPr>
            <w:r>
              <w:rPr>
                <w:rFonts w:ascii="Times New Roman" w:hAnsi="Times New Roman"/>
                <w:noProof/>
              </w:rPr>
              <w:t>Bírósági végrehajtók</w:t>
            </w:r>
          </w:p>
        </w:tc>
        <w:tc>
          <w:tcPr>
            <w:tcW w:w="755" w:type="dxa"/>
          </w:tcPr>
          <w:p>
            <w:pPr>
              <w:jc w:val="center"/>
              <w:rPr>
                <w:rFonts w:ascii="Times New Roman" w:hAnsi="Times New Roman" w:cs="Times New Roman"/>
                <w:noProof/>
              </w:rPr>
            </w:pPr>
            <w:r>
              <w:rPr>
                <w:rFonts w:ascii="Times New Roman" w:hAnsi="Times New Roman"/>
                <w:noProof/>
                <w:sz w:val="20"/>
                <w:szCs w:val="20"/>
              </w:rPr>
              <w:t>3,57 %</w:t>
            </w:r>
          </w:p>
        </w:tc>
        <w:tc>
          <w:tcPr>
            <w:tcW w:w="755" w:type="dxa"/>
          </w:tcPr>
          <w:p>
            <w:pPr>
              <w:jc w:val="center"/>
              <w:rPr>
                <w:rFonts w:ascii="Times New Roman" w:hAnsi="Times New Roman" w:cs="Times New Roman"/>
                <w:noProof/>
              </w:rPr>
            </w:pPr>
            <w:r>
              <w:rPr>
                <w:rFonts w:ascii="Times New Roman" w:hAnsi="Times New Roman"/>
                <w:noProof/>
                <w:sz w:val="20"/>
                <w:szCs w:val="20"/>
              </w:rPr>
              <w:t>4,02 %</w:t>
            </w:r>
          </w:p>
        </w:tc>
        <w:tc>
          <w:tcPr>
            <w:tcW w:w="755" w:type="dxa"/>
          </w:tcPr>
          <w:p>
            <w:pPr>
              <w:jc w:val="center"/>
              <w:rPr>
                <w:rFonts w:ascii="Times New Roman" w:hAnsi="Times New Roman" w:cs="Times New Roman"/>
                <w:noProof/>
              </w:rPr>
            </w:pPr>
            <w:r>
              <w:rPr>
                <w:rFonts w:ascii="Times New Roman" w:hAnsi="Times New Roman"/>
                <w:noProof/>
                <w:sz w:val="20"/>
                <w:szCs w:val="20"/>
              </w:rPr>
              <w:t>3,12 %</w:t>
            </w:r>
          </w:p>
        </w:tc>
        <w:tc>
          <w:tcPr>
            <w:tcW w:w="755" w:type="dxa"/>
          </w:tcPr>
          <w:p>
            <w:pPr>
              <w:jc w:val="center"/>
              <w:rPr>
                <w:rFonts w:ascii="Times New Roman" w:hAnsi="Times New Roman" w:cs="Times New Roman"/>
                <w:noProof/>
              </w:rPr>
            </w:pPr>
            <w:r>
              <w:rPr>
                <w:rFonts w:ascii="Times New Roman" w:hAnsi="Times New Roman"/>
                <w:noProof/>
                <w:sz w:val="20"/>
                <w:szCs w:val="20"/>
              </w:rPr>
              <w:t>8,29 %</w:t>
            </w:r>
          </w:p>
        </w:tc>
        <w:tc>
          <w:tcPr>
            <w:tcW w:w="755" w:type="dxa"/>
          </w:tcPr>
          <w:p>
            <w:pPr>
              <w:jc w:val="center"/>
              <w:rPr>
                <w:rFonts w:ascii="Times New Roman" w:hAnsi="Times New Roman" w:cs="Times New Roman"/>
                <w:noProof/>
              </w:rPr>
            </w:pPr>
            <w:r>
              <w:rPr>
                <w:rFonts w:ascii="Times New Roman" w:hAnsi="Times New Roman"/>
                <w:noProof/>
                <w:sz w:val="20"/>
                <w:szCs w:val="20"/>
              </w:rPr>
              <w:t>5,67 %</w:t>
            </w:r>
          </w:p>
        </w:tc>
        <w:tc>
          <w:tcPr>
            <w:tcW w:w="755" w:type="dxa"/>
          </w:tcPr>
          <w:p>
            <w:pPr>
              <w:jc w:val="center"/>
              <w:rPr>
                <w:rFonts w:ascii="Times New Roman" w:hAnsi="Times New Roman" w:cs="Times New Roman"/>
                <w:noProof/>
              </w:rPr>
            </w:pPr>
            <w:r>
              <w:rPr>
                <w:rFonts w:ascii="Times New Roman" w:hAnsi="Times New Roman"/>
                <w:noProof/>
                <w:sz w:val="20"/>
                <w:szCs w:val="20"/>
              </w:rPr>
              <w:t>7,57 %</w:t>
            </w:r>
          </w:p>
        </w:tc>
        <w:tc>
          <w:tcPr>
            <w:tcW w:w="755" w:type="dxa"/>
          </w:tcPr>
          <w:p>
            <w:pPr>
              <w:jc w:val="center"/>
              <w:rPr>
                <w:rFonts w:ascii="Times New Roman" w:hAnsi="Times New Roman" w:cs="Times New Roman"/>
                <w:noProof/>
              </w:rPr>
            </w:pPr>
            <w:r>
              <w:rPr>
                <w:rFonts w:ascii="Times New Roman" w:hAnsi="Times New Roman"/>
                <w:noProof/>
                <w:sz w:val="20"/>
                <w:szCs w:val="20"/>
              </w:rPr>
              <w:t>9,55 %</w:t>
            </w:r>
          </w:p>
        </w:tc>
        <w:tc>
          <w:tcPr>
            <w:tcW w:w="756" w:type="dxa"/>
          </w:tcPr>
          <w:p>
            <w:pPr>
              <w:jc w:val="center"/>
              <w:rPr>
                <w:rFonts w:ascii="Times New Roman" w:hAnsi="Times New Roman" w:cs="Times New Roman"/>
                <w:noProof/>
              </w:rPr>
            </w:pPr>
            <w:r>
              <w:rPr>
                <w:rFonts w:ascii="Times New Roman" w:hAnsi="Times New Roman"/>
                <w:noProof/>
                <w:sz w:val="20"/>
                <w:szCs w:val="20"/>
              </w:rPr>
              <w:t>12,77 %</w:t>
            </w:r>
          </w:p>
        </w:tc>
        <w:tc>
          <w:tcPr>
            <w:tcW w:w="756" w:type="dxa"/>
          </w:tcPr>
          <w:p>
            <w:pPr>
              <w:jc w:val="center"/>
              <w:rPr>
                <w:rFonts w:ascii="Times New Roman" w:eastAsia="Times New Roman" w:hAnsi="Times New Roman" w:cs="Times New Roman"/>
                <w:noProof/>
                <w:sz w:val="20"/>
                <w:szCs w:val="20"/>
              </w:rPr>
            </w:pPr>
            <w:r>
              <w:rPr>
                <w:rFonts w:ascii="Times New Roman" w:hAnsi="Times New Roman"/>
                <w:noProof/>
                <w:sz w:val="20"/>
                <w:szCs w:val="20"/>
              </w:rPr>
              <w:t>16,19 %</w:t>
            </w:r>
          </w:p>
        </w:tc>
      </w:tr>
    </w:tbl>
    <w:p>
      <w:pPr>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0"/>
          <w:szCs w:val="20"/>
        </w:rPr>
        <w:t xml:space="preserve">Forrás: Európai Bizottság (EU28, illetve 2019 esetében EU27, mert az Egyesült Királyság nem küldött adatokat; </w:t>
      </w:r>
      <w:r>
        <w:rPr>
          <w:rFonts w:ascii="Times New Roman" w:hAnsi="Times New Roman"/>
          <w:noProof/>
          <w:sz w:val="20"/>
          <w:szCs w:val="20"/>
        </w:rPr>
        <w:t>az adatok az európai igazságügyi képzésről szóló éves jelentésekből származnak</w:t>
      </w:r>
      <w:r>
        <w:rPr>
          <w:rStyle w:val="FootnoteReference"/>
          <w:rFonts w:ascii="Times New Roman" w:eastAsia="Times New Roman" w:hAnsi="Times New Roman" w:cs="Times New Roman"/>
          <w:noProof/>
          <w:sz w:val="20"/>
          <w:szCs w:val="20"/>
          <w:lang w:eastAsia="fr-BE"/>
        </w:rPr>
        <w:footnoteReference w:id="24"/>
      </w:r>
      <w:r>
        <w:rPr>
          <w:rFonts w:ascii="Times New Roman" w:hAnsi="Times New Roman"/>
          <w:noProof/>
          <w:sz w:val="20"/>
          <w:szCs w:val="20"/>
        </w:rPr>
        <w:t>).</w:t>
      </w:r>
    </w:p>
    <w:p>
      <w:pPr>
        <w:jc w:val="both"/>
        <w:rPr>
          <w:rFonts w:ascii="Times New Roman" w:eastAsia="Calibri" w:hAnsi="Times New Roman" w:cs="Times New Roman"/>
          <w:noProof/>
          <w:color w:val="000000" w:themeColor="text1"/>
          <w:sz w:val="24"/>
          <w:szCs w:val="24"/>
        </w:rPr>
      </w:pPr>
      <w:r>
        <w:rPr>
          <w:rFonts w:ascii="Times New Roman" w:hAnsi="Times New Roman"/>
          <w:noProof/>
          <w:sz w:val="24"/>
          <w:szCs w:val="24"/>
        </w:rPr>
        <w:t>Összességében véve</w:t>
      </w:r>
      <w:r>
        <w:rPr>
          <w:rFonts w:ascii="Times New Roman" w:hAnsi="Times New Roman"/>
          <w:b/>
          <w:bCs/>
          <w:noProof/>
          <w:sz w:val="24"/>
          <w:szCs w:val="24"/>
        </w:rPr>
        <w:t xml:space="preserve"> több igazságügyi szakembernek</w:t>
      </w:r>
      <w:r>
        <w:rPr>
          <w:rFonts w:ascii="Times New Roman" w:hAnsi="Times New Roman"/>
          <w:noProof/>
          <w:sz w:val="24"/>
          <w:szCs w:val="24"/>
        </w:rPr>
        <w:t xml:space="preserve"> kellene részt vennie uniós jogi képzésben, és a képzésszolgáltatóknak </w:t>
      </w:r>
      <w:r>
        <w:rPr>
          <w:rFonts w:ascii="Times New Roman" w:hAnsi="Times New Roman"/>
          <w:b/>
          <w:bCs/>
          <w:noProof/>
          <w:sz w:val="24"/>
          <w:szCs w:val="24"/>
        </w:rPr>
        <w:t>fejleszteniük kell a kínált uniós jogi képzéseket</w:t>
      </w:r>
      <w:r>
        <w:rPr>
          <w:rFonts w:ascii="Times New Roman" w:hAnsi="Times New Roman"/>
          <w:noProof/>
          <w:sz w:val="24"/>
          <w:szCs w:val="24"/>
        </w:rPr>
        <w:t>, függetlenül attól, hogy ezek tagállami vagy határon átnyúló képzések, és részesülnek-e uniós társfinanszírozásban vagy sem.</w:t>
      </w:r>
      <w:r>
        <w:rPr>
          <w:rFonts w:ascii="Times New Roman" w:hAnsi="Times New Roman"/>
          <w:noProof/>
          <w:color w:val="000000" w:themeColor="text1"/>
          <w:sz w:val="24"/>
          <w:szCs w:val="24"/>
        </w:rPr>
        <w:t xml:space="preserve"> Ez vonatkozik az összes olyan igazságügyi szakemberre, akik alkalmazzák az uniós jogot, ideértve elsősorban a bírákat, az ügyészeket és a bírósági alkalmazottakat, de ugyanúgy az ügyvédeket, a közjegyzőket, a bírósági végrehajtókat, a közvetítőket, a jogi tolmácsokat és fordítókat, és egyes esetekben a büntetés-végrehajtási intézetek személyzetét és a pártfogó felügyelőket is.</w:t>
      </w:r>
    </w:p>
    <w:p>
      <w:pPr>
        <w:pStyle w:val="Heading2"/>
        <w:tabs>
          <w:tab w:val="clear" w:pos="1077"/>
        </w:tabs>
        <w:ind w:left="709" w:hanging="709"/>
        <w:rPr>
          <w:noProof/>
        </w:rPr>
      </w:pPr>
      <w:r>
        <w:rPr>
          <w:noProof/>
        </w:rPr>
        <w:t>Az igényekhez szabott célkitűzések</w:t>
      </w:r>
    </w:p>
    <w:p>
      <w:pPr>
        <w:jc w:val="both"/>
        <w:rPr>
          <w:rFonts w:ascii="Times New Roman" w:hAnsi="Times New Roman" w:cs="Times New Roman"/>
          <w:noProof/>
          <w:sz w:val="24"/>
          <w:szCs w:val="24"/>
        </w:rPr>
      </w:pPr>
      <w:r>
        <w:rPr>
          <w:rFonts w:ascii="Times New Roman" w:hAnsi="Times New Roman"/>
          <w:b/>
          <w:bCs/>
          <w:noProof/>
          <w:sz w:val="24"/>
          <w:szCs w:val="24"/>
        </w:rPr>
        <w:t>A bírák és az ügyészek</w:t>
      </w:r>
      <w:r>
        <w:rPr>
          <w:rFonts w:ascii="Times New Roman" w:hAnsi="Times New Roman"/>
          <w:noProof/>
          <w:sz w:val="24"/>
          <w:szCs w:val="24"/>
        </w:rPr>
        <w:t xml:space="preserve"> az uniós jog tagállami szintű helyes alkalmazásának fő letéteményesei</w:t>
      </w:r>
      <w:r>
        <w:rPr>
          <w:rStyle w:val="FootnoteReference"/>
          <w:rFonts w:ascii="Times New Roman" w:hAnsi="Times New Roman" w:cs="Times New Roman"/>
          <w:noProof/>
          <w:sz w:val="24"/>
          <w:szCs w:val="24"/>
          <w:lang w:eastAsia="en-GB"/>
        </w:rPr>
        <w:footnoteReference w:id="25"/>
      </w:r>
      <w:r>
        <w:rPr>
          <w:rFonts w:ascii="Times New Roman" w:hAnsi="Times New Roman"/>
          <w:noProof/>
          <w:sz w:val="24"/>
          <w:szCs w:val="24"/>
        </w:rPr>
        <w:t xml:space="preserve">. Továbbra is ők kell, hogy jelentsék az uniós joggal kapcsolatos képzés </w:t>
      </w:r>
      <w:r>
        <w:rPr>
          <w:rFonts w:ascii="Times New Roman" w:hAnsi="Times New Roman"/>
          <w:b/>
          <w:bCs/>
          <w:noProof/>
          <w:sz w:val="24"/>
          <w:szCs w:val="24"/>
        </w:rPr>
        <w:t>legfőbb célcsoportját</w:t>
      </w:r>
      <w:r>
        <w:rPr>
          <w:rFonts w:ascii="Times New Roman" w:hAnsi="Times New Roman"/>
          <w:noProof/>
          <w:sz w:val="24"/>
          <w:szCs w:val="24"/>
        </w:rPr>
        <w:t>. A bírák hivatalból alkalmazzák az uniós jogot, átültetik a gyakorlatba az uniós jog elsőbbségének és közvetlen hatályának elvét, és előzetes döntéshozatalra terjesztenek kérdéseket az EUB elé. Az ügyészeknek ismerniük és alkalmazniuk kell az igazságszolgáltatásra vonatkozó uniós vívmányok releváns részeit, beleértve a büntetőeljárás gyanúsítottjainak és vádlottjainak eljárási jogait, az EU pénzügyi érdekeinek védelmét és az EPPO létrehozását követően meghatározott új működési szabályokat.</w:t>
      </w:r>
    </w:p>
    <w:p>
      <w:pPr>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szCs w:val="24"/>
        </w:rPr>
        <w:t xml:space="preserve">A </w:t>
      </w:r>
      <w:r>
        <w:rPr>
          <w:rFonts w:ascii="Times New Roman" w:hAnsi="Times New Roman"/>
          <w:b/>
          <w:bCs/>
          <w:noProof/>
          <w:color w:val="000000" w:themeColor="text1"/>
          <w:sz w:val="24"/>
          <w:szCs w:val="24"/>
        </w:rPr>
        <w:t>bírósági és ügyészségi alkalmazottak</w:t>
      </w:r>
      <w:r>
        <w:rPr>
          <w:rFonts w:ascii="Times New Roman" w:hAnsi="Times New Roman"/>
          <w:noProof/>
          <w:color w:val="000000" w:themeColor="text1"/>
          <w:sz w:val="24"/>
          <w:szCs w:val="24"/>
        </w:rPr>
        <w:t xml:space="preserve"> az igazságszolgáltatási rendszerek zökkenőmentes működésének kulcsfontosságú tényezői. </w:t>
      </w:r>
      <w:r>
        <w:rPr>
          <w:rFonts w:ascii="Times New Roman" w:hAnsi="Times New Roman"/>
          <w:noProof/>
          <w:sz w:val="24"/>
          <w:szCs w:val="24"/>
        </w:rPr>
        <w:t>Egy részük közreműködik a bírósági határozatokat megfogalmazásában és végrehajtásában, a határon átnyúló iratkézbesítésben, az európai fizetési meghagyásos eljárásban, az európai elfogatóparanccsal kapcsolatos és egyéb határon átnyúló eljárásokban.</w:t>
      </w:r>
      <w:r>
        <w:rPr>
          <w:rFonts w:ascii="Times New Roman" w:hAnsi="Times New Roman"/>
          <w:noProof/>
          <w:color w:val="000000" w:themeColor="text1"/>
          <w:sz w:val="24"/>
          <w:szCs w:val="24"/>
        </w:rPr>
        <w:t xml:space="preserve"> Ez széles spektrumú uniós jogi képzést tesz szükségessé, melyet pontosan a felmért igényekhez kell igazítani. A Bizottság arra ösztönzi az összes olyan nemzeti és uniós szintű képzésszolgáltatót, amely bírósági alkalmazottak számára nyújt képzést, hogy osszák meg a bevált gyakorlatokat és fejlesszék a nemzeti képzési kínálatot.</w:t>
      </w:r>
    </w:p>
    <w:p>
      <w:pPr>
        <w:jc w:val="both"/>
        <w:rPr>
          <w:rFonts w:ascii="Times New Roman" w:hAnsi="Times New Roman" w:cs="Times New Roman"/>
          <w:strike/>
          <w:noProof/>
          <w:sz w:val="24"/>
          <w:szCs w:val="24"/>
        </w:rPr>
      </w:pPr>
      <w:r>
        <w:rPr>
          <w:rFonts w:ascii="Times New Roman" w:hAnsi="Times New Roman"/>
          <w:noProof/>
          <w:sz w:val="24"/>
          <w:szCs w:val="24"/>
        </w:rPr>
        <w:t xml:space="preserve">Az </w:t>
      </w:r>
      <w:r>
        <w:rPr>
          <w:rFonts w:ascii="Times New Roman" w:hAnsi="Times New Roman"/>
          <w:b/>
          <w:bCs/>
          <w:noProof/>
          <w:sz w:val="24"/>
          <w:szCs w:val="24"/>
        </w:rPr>
        <w:t>ügyvédek</w:t>
      </w:r>
      <w:r>
        <w:rPr>
          <w:rFonts w:ascii="Times New Roman" w:hAnsi="Times New Roman"/>
          <w:noProof/>
          <w:sz w:val="24"/>
          <w:szCs w:val="24"/>
        </w:rPr>
        <w:t xml:space="preserve"> kulcsfontosságú szerepet játszanak az uniós jog gyakorlati megvalósításában számos jogi eljárásban, legyenek azok tagállami vagy határon átnyúló, polgári jogi, családjogi, közigazgatási vagy büntetőeljárások. Az ő feladatuk az is, hogy konkrét jogi helyzetekben uniós joggal kapcsolatos kérdéseket vessenek fel. Naprakészen követniük kell az uniós vívmányok legfrissebb fejleményeit. Nagyon fontos ezért a magánpraxist folytató ügyvédek képzésére és a képzésszolgáltatóikra koncentrálni.</w:t>
      </w:r>
    </w:p>
    <w:p>
      <w:pPr>
        <w:jc w:val="both"/>
        <w:rPr>
          <w:rFonts w:ascii="Times New Roman" w:hAnsi="Times New Roman" w:cs="Times New Roman"/>
          <w:noProof/>
          <w:sz w:val="24"/>
          <w:szCs w:val="24"/>
        </w:rPr>
      </w:pPr>
      <w:r>
        <w:rPr>
          <w:rFonts w:ascii="Times New Roman" w:hAnsi="Times New Roman"/>
          <w:noProof/>
          <w:sz w:val="24"/>
          <w:szCs w:val="24"/>
        </w:rPr>
        <w:t xml:space="preserve">A </w:t>
      </w:r>
      <w:r>
        <w:rPr>
          <w:rFonts w:ascii="Times New Roman" w:hAnsi="Times New Roman"/>
          <w:b/>
          <w:bCs/>
          <w:noProof/>
          <w:sz w:val="24"/>
          <w:szCs w:val="24"/>
        </w:rPr>
        <w:t>közjegyzők</w:t>
      </w:r>
      <w:r>
        <w:rPr>
          <w:rFonts w:ascii="Times New Roman" w:hAnsi="Times New Roman"/>
          <w:noProof/>
          <w:sz w:val="24"/>
          <w:szCs w:val="24"/>
        </w:rPr>
        <w:t xml:space="preserve"> segítenek érvényt szerezni az uniós jognak olyan, magánszemélyeket és vállalkozásokat érintő területeken, mint az öröklés, a közvetítés, a fizetésképtelenség és a pénzmosás elleni küzdelem. Ennek jobban kell tükröződnie a képzés tartalmában, és egyúttal ösztönözni kell az interaktív módszertanok használatát, pl. az e-oktatás esetében.</w:t>
      </w:r>
    </w:p>
    <w:p>
      <w:pPr>
        <w:jc w:val="both"/>
        <w:rPr>
          <w:rFonts w:ascii="Times New Roman" w:hAnsi="Times New Roman" w:cs="Times New Roman"/>
          <w:noProof/>
          <w:sz w:val="24"/>
          <w:szCs w:val="24"/>
        </w:rPr>
      </w:pPr>
      <w:r>
        <w:rPr>
          <w:rFonts w:ascii="Times New Roman" w:hAnsi="Times New Roman"/>
          <w:noProof/>
          <w:sz w:val="24"/>
          <w:szCs w:val="24"/>
        </w:rPr>
        <w:t xml:space="preserve">A </w:t>
      </w:r>
      <w:r>
        <w:rPr>
          <w:rFonts w:ascii="Times New Roman" w:hAnsi="Times New Roman"/>
          <w:b/>
          <w:bCs/>
          <w:noProof/>
          <w:sz w:val="24"/>
          <w:szCs w:val="24"/>
        </w:rPr>
        <w:t>bírósági végrehajtók</w:t>
      </w:r>
      <w:r>
        <w:rPr>
          <w:rFonts w:ascii="Times New Roman" w:hAnsi="Times New Roman"/>
          <w:noProof/>
          <w:sz w:val="24"/>
          <w:szCs w:val="24"/>
        </w:rPr>
        <w:t xml:space="preserve"> a bírósági határozatok határokon átnyúló végrehajtásában működnek közre, például a kis értékű követelések európai eljárásában és a határokon átnyúló vagyonvisszaszerzésben. Szakmai státuszuk és hátterük sokféle lehet, de a tagállamok körülbelül egyharmadában bírósági alkalmazottak. Több képzésre van szükségük a releváns uniós joggal kapcsolatban, hogy azt helyesen tudják alkalmazni a mindennapi feladataik ellátása során.</w:t>
      </w:r>
    </w:p>
    <w:p>
      <w:pPr>
        <w:pStyle w:val="Heading2"/>
        <w:tabs>
          <w:tab w:val="clear" w:pos="1077"/>
        </w:tabs>
        <w:ind w:left="709" w:hanging="709"/>
        <w:rPr>
          <w:noProof/>
        </w:rPr>
      </w:pPr>
      <w:r>
        <w:rPr>
          <w:noProof/>
        </w:rPr>
        <w:t>Más szakmák uniós jogi képzésének javítása</w:t>
      </w:r>
    </w:p>
    <w:p>
      <w:pPr>
        <w:jc w:val="both"/>
        <w:rPr>
          <w:rFonts w:ascii="Times New Roman" w:hAnsi="Times New Roman" w:cs="Times New Roman"/>
          <w:b/>
          <w:bCs/>
          <w:noProof/>
          <w:color w:val="000000" w:themeColor="text1"/>
          <w:sz w:val="24"/>
          <w:szCs w:val="24"/>
        </w:rPr>
      </w:pPr>
      <w:r>
        <w:rPr>
          <w:rFonts w:ascii="Times New Roman" w:hAnsi="Times New Roman"/>
          <w:noProof/>
          <w:color w:val="000000" w:themeColor="text1"/>
          <w:sz w:val="24"/>
          <w:szCs w:val="24"/>
        </w:rPr>
        <w:t>Hasznosnak bizonyult, hogy e stratégia és az európai bűnüldözési képzési rendszer (LETS)</w:t>
      </w:r>
      <w:r>
        <w:rPr>
          <w:rStyle w:val="FootnoteReference"/>
          <w:rFonts w:ascii="Times New Roman" w:hAnsi="Times New Roman" w:cs="Times New Roman"/>
          <w:noProof/>
          <w:color w:val="000000" w:themeColor="text1"/>
          <w:sz w:val="24"/>
          <w:szCs w:val="24"/>
        </w:rPr>
        <w:footnoteReference w:id="26"/>
      </w:r>
      <w:r>
        <w:rPr>
          <w:rFonts w:ascii="Times New Roman" w:hAnsi="Times New Roman"/>
          <w:noProof/>
          <w:color w:val="000000" w:themeColor="text1"/>
          <w:sz w:val="24"/>
          <w:szCs w:val="24"/>
        </w:rPr>
        <w:t xml:space="preserve"> metszéspontjában közös képzési anyagokat és képzéseket fejlesztettek ki az ügyészek, bírák és nyomozók számára, illetve előmozdították e képzéseket. Ez a gyümölcsöző együttműködés az EJTN és az Európai Unió Bűnüldözési Képzési Ügynöksége között nagyon örvendetes, és tovább lehetne fejleszteni.</w:t>
      </w:r>
    </w:p>
    <w:p>
      <w:pPr>
        <w:jc w:val="both"/>
        <w:rPr>
          <w:rFonts w:ascii="Times New Roman" w:hAnsi="Times New Roman" w:cs="Times New Roman"/>
          <w:noProof/>
          <w:color w:val="000000" w:themeColor="text1"/>
          <w:sz w:val="24"/>
          <w:szCs w:val="24"/>
        </w:rPr>
      </w:pPr>
      <w:r>
        <w:rPr>
          <w:rFonts w:ascii="Times New Roman" w:hAnsi="Times New Roman"/>
          <w:noProof/>
          <w:sz w:val="24"/>
          <w:szCs w:val="24"/>
        </w:rPr>
        <w:t xml:space="preserve">Új célközönséget jelentenek </w:t>
      </w:r>
      <w:r>
        <w:rPr>
          <w:rFonts w:ascii="Times New Roman" w:hAnsi="Times New Roman"/>
          <w:b/>
          <w:bCs/>
          <w:noProof/>
          <w:sz w:val="24"/>
          <w:szCs w:val="24"/>
        </w:rPr>
        <w:t>a büntetés-végrehajtási intézetek személyzete és a pártfogó felügyelők</w:t>
      </w:r>
      <w:r>
        <w:rPr>
          <w:rFonts w:ascii="Times New Roman" w:hAnsi="Times New Roman"/>
          <w:noProof/>
          <w:sz w:val="24"/>
          <w:szCs w:val="24"/>
        </w:rPr>
        <w:t>, mivel a képzésük kulcsfontosságú egyrészt az alapvető jogoknak az őrizet során (különösen az európai elfogatóparancsok kapcsán</w:t>
      </w:r>
      <w:r>
        <w:rPr>
          <w:rStyle w:val="FootnoteReference"/>
          <w:rFonts w:ascii="Times New Roman" w:hAnsi="Times New Roman" w:cs="Times New Roman"/>
          <w:noProof/>
          <w:sz w:val="24"/>
          <w:szCs w:val="24"/>
          <w:lang w:eastAsia="en-GB"/>
        </w:rPr>
        <w:footnoteReference w:id="27"/>
      </w:r>
      <w:r>
        <w:rPr>
          <w:rFonts w:ascii="Times New Roman" w:hAnsi="Times New Roman"/>
          <w:noProof/>
          <w:sz w:val="24"/>
          <w:szCs w:val="24"/>
        </w:rPr>
        <w:t>) történő érvényesítése, másrészt a büntetés-végrehajtási intézetekben kialakuló radikalizáció megelőzésében és a rehabilitációs programok sikerében játszott központi szerepük megszilárdítása szempontjából. Ismerniük kell továbbá az uniós szakpolitikákat is, különösen a fogvatartottak átszállításával, a próbára bocsátással, az alternatív szankciókkal, a kábítószerekkel kapcsolatos jogszabályokkal és a büntetés-végrehajtási intézeteket érintő egyéb kérdésekkel kapcsolatban</w:t>
      </w:r>
      <w:r>
        <w:rPr>
          <w:rStyle w:val="FootnoteReference"/>
          <w:rFonts w:ascii="Times New Roman" w:hAnsi="Times New Roman" w:cs="Times New Roman"/>
          <w:noProof/>
          <w:color w:val="000000" w:themeColor="text1"/>
          <w:sz w:val="24"/>
          <w:szCs w:val="24"/>
          <w:lang w:eastAsia="en-GB"/>
        </w:rPr>
        <w:footnoteReference w:id="28"/>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Végezetül </w:t>
      </w:r>
      <w:r>
        <w:rPr>
          <w:rFonts w:ascii="Times New Roman" w:hAnsi="Times New Roman"/>
          <w:b/>
          <w:bCs/>
          <w:noProof/>
          <w:sz w:val="24"/>
          <w:szCs w:val="24"/>
        </w:rPr>
        <w:t>más igazságügyi szakembereknek</w:t>
      </w:r>
      <w:r>
        <w:rPr>
          <w:rFonts w:ascii="Times New Roman" w:hAnsi="Times New Roman"/>
          <w:noProof/>
          <w:sz w:val="24"/>
          <w:szCs w:val="24"/>
        </w:rPr>
        <w:t xml:space="preserve"> – például a közvetítőknek</w:t>
      </w:r>
      <w:r>
        <w:rPr>
          <w:rStyle w:val="FootnoteReference"/>
          <w:rFonts w:ascii="Times New Roman" w:hAnsi="Times New Roman" w:cs="Times New Roman"/>
          <w:noProof/>
          <w:sz w:val="24"/>
          <w:szCs w:val="24"/>
          <w:lang w:eastAsia="en-GB"/>
        </w:rPr>
        <w:footnoteReference w:id="29"/>
      </w:r>
      <w:r>
        <w:rPr>
          <w:rFonts w:ascii="Times New Roman" w:hAnsi="Times New Roman"/>
          <w:noProof/>
          <w:sz w:val="24"/>
          <w:szCs w:val="24"/>
        </w:rPr>
        <w:t>, a bírósági szakértőknek</w:t>
      </w:r>
      <w:r>
        <w:rPr>
          <w:rStyle w:val="FootnoteReference"/>
          <w:rFonts w:ascii="Times New Roman" w:hAnsi="Times New Roman" w:cs="Times New Roman"/>
          <w:noProof/>
          <w:sz w:val="24"/>
          <w:szCs w:val="24"/>
          <w:lang w:eastAsia="en-GB"/>
        </w:rPr>
        <w:footnoteReference w:id="30"/>
      </w:r>
      <w:r>
        <w:rPr>
          <w:rFonts w:ascii="Times New Roman" w:hAnsi="Times New Roman"/>
          <w:noProof/>
          <w:sz w:val="24"/>
          <w:szCs w:val="24"/>
        </w:rPr>
        <w:t>, a fizetésképtelenségi szakértőknek</w:t>
      </w:r>
      <w:r>
        <w:rPr>
          <w:rStyle w:val="FootnoteReference"/>
          <w:rFonts w:ascii="Times New Roman" w:hAnsi="Times New Roman" w:cs="Times New Roman"/>
          <w:noProof/>
          <w:sz w:val="24"/>
          <w:szCs w:val="24"/>
          <w:lang w:eastAsia="en-GB"/>
        </w:rPr>
        <w:footnoteReference w:id="31"/>
      </w:r>
      <w:r>
        <w:rPr>
          <w:rFonts w:ascii="Times New Roman" w:hAnsi="Times New Roman"/>
          <w:noProof/>
          <w:sz w:val="24"/>
          <w:szCs w:val="24"/>
        </w:rPr>
        <w:t>, valamint a jogi tolmácsoknak/fordítóknak</w:t>
      </w:r>
      <w:r>
        <w:rPr>
          <w:rStyle w:val="FootnoteReference"/>
          <w:rFonts w:ascii="Times New Roman" w:hAnsi="Times New Roman" w:cs="Times New Roman"/>
          <w:noProof/>
          <w:sz w:val="24"/>
          <w:szCs w:val="24"/>
          <w:lang w:eastAsia="en-GB"/>
        </w:rPr>
        <w:footnoteReference w:id="32"/>
      </w:r>
      <w:r>
        <w:rPr>
          <w:rFonts w:ascii="Times New Roman" w:hAnsi="Times New Roman"/>
          <w:noProof/>
          <w:sz w:val="24"/>
          <w:szCs w:val="24"/>
        </w:rPr>
        <w:t xml:space="preserve"> – is egyre inkább szükségük van arra, hogy ismerjék és alkalmazni tudják az uniós jogot. Az igazságszolgáltatási folyamatokhoz való hozzájárulásuk színvonalát releváns uniós jogi képzéssel kell emelni.</w:t>
      </w:r>
    </w:p>
    <w:p>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rPr>
      </w:pPr>
      <w:bookmarkStart w:id="2" w:name="_Toc32909995"/>
      <w:r>
        <w:rPr>
          <w:rFonts w:ascii="Times New Roman" w:hAnsi="Times New Roman"/>
          <w:b/>
          <w:bCs/>
          <w:i/>
          <w:iCs/>
          <w:noProof/>
          <w:sz w:val="24"/>
          <w:szCs w:val="24"/>
        </w:rPr>
        <w:t>Feladatok valamennyi érdekelt fél számára:</w:t>
      </w:r>
    </w:p>
    <w:p>
      <w:pPr>
        <w:pBdr>
          <w:top w:val="single" w:sz="4" w:space="1" w:color="auto"/>
          <w:left w:val="single" w:sz="4" w:space="4" w:color="auto"/>
          <w:bottom w:val="single" w:sz="4" w:space="1" w:color="auto"/>
          <w:right w:val="single" w:sz="4" w:space="4" w:color="auto"/>
        </w:pBdr>
        <w:spacing w:after="120"/>
        <w:jc w:val="both"/>
        <w:rPr>
          <w:rFonts w:ascii="Times New Roman" w:eastAsia="Calibri" w:hAnsi="Times New Roman" w:cs="Times New Roman"/>
          <w:noProof/>
          <w:sz w:val="24"/>
          <w:szCs w:val="24"/>
        </w:rPr>
      </w:pPr>
      <w:r>
        <w:rPr>
          <w:rFonts w:ascii="Times New Roman" w:hAnsi="Times New Roman"/>
          <w:noProof/>
          <w:sz w:val="24"/>
          <w:szCs w:val="24"/>
        </w:rPr>
        <w:t>2024-re az uniós joggal kapcsolatos továbbképzésnek éves szinten ki kell terjednie:</w:t>
      </w:r>
    </w:p>
    <w:p>
      <w:pPr>
        <w:pStyle w:val="ListBullet2"/>
        <w:pBdr>
          <w:top w:val="single" w:sz="4" w:space="1" w:color="auto"/>
          <w:left w:val="single" w:sz="4" w:space="4" w:color="auto"/>
          <w:bottom w:val="single" w:sz="4" w:space="1" w:color="auto"/>
          <w:right w:val="single" w:sz="4" w:space="4" w:color="auto"/>
        </w:pBdr>
        <w:spacing w:after="120" w:line="276" w:lineRule="auto"/>
        <w:rPr>
          <w:rFonts w:eastAsia="Calibri"/>
          <w:noProof/>
        </w:rPr>
      </w:pPr>
      <w:r>
        <w:rPr>
          <w:noProof/>
        </w:rPr>
        <w:t>a bírák és ügyészek 65 %-ára;</w:t>
      </w:r>
    </w:p>
    <w:p>
      <w:pPr>
        <w:pStyle w:val="ListBullet2"/>
        <w:pBdr>
          <w:top w:val="single" w:sz="4" w:space="1" w:color="auto"/>
          <w:left w:val="single" w:sz="4" w:space="4" w:color="auto"/>
          <w:bottom w:val="single" w:sz="4" w:space="1" w:color="auto"/>
          <w:right w:val="single" w:sz="4" w:space="4" w:color="auto"/>
        </w:pBdr>
        <w:spacing w:after="120" w:line="276" w:lineRule="auto"/>
        <w:rPr>
          <w:noProof/>
        </w:rPr>
      </w:pPr>
      <w:r>
        <w:rPr>
          <w:noProof/>
        </w:rPr>
        <w:t>azon bírósági és ügyészségi alkalmazottak 15 %-ára, akiknek szükségük van az uniós jog ismeretére;</w:t>
      </w:r>
    </w:p>
    <w:p>
      <w:pPr>
        <w:pStyle w:val="ListBullet2"/>
        <w:pBdr>
          <w:top w:val="single" w:sz="4" w:space="1" w:color="auto"/>
          <w:left w:val="single" w:sz="4" w:space="4" w:color="auto"/>
          <w:bottom w:val="single" w:sz="4" w:space="1" w:color="auto"/>
          <w:right w:val="single" w:sz="4" w:space="4" w:color="auto"/>
        </w:pBdr>
        <w:spacing w:after="120" w:line="276" w:lineRule="auto"/>
        <w:rPr>
          <w:noProof/>
        </w:rPr>
      </w:pPr>
      <w:r>
        <w:rPr>
          <w:noProof/>
        </w:rPr>
        <w:t>az ügyvédek 15 %-ára</w:t>
      </w:r>
      <w:r>
        <w:rPr>
          <w:rStyle w:val="FootnoteReference"/>
          <w:rFonts w:eastAsia="Calibri"/>
          <w:noProof/>
        </w:rPr>
        <w:footnoteReference w:id="33"/>
      </w:r>
      <w:r>
        <w:rPr>
          <w:noProof/>
        </w:rPr>
        <w:t>;</w:t>
      </w:r>
    </w:p>
    <w:p>
      <w:pPr>
        <w:pStyle w:val="ListBullet2"/>
        <w:pBdr>
          <w:top w:val="single" w:sz="4" w:space="1" w:color="auto"/>
          <w:left w:val="single" w:sz="4" w:space="4" w:color="auto"/>
          <w:bottom w:val="single" w:sz="4" w:space="1" w:color="auto"/>
          <w:right w:val="single" w:sz="4" w:space="4" w:color="auto"/>
        </w:pBdr>
        <w:spacing w:after="120" w:line="276" w:lineRule="auto"/>
        <w:rPr>
          <w:noProof/>
        </w:rPr>
      </w:pPr>
      <w:r>
        <w:rPr>
          <w:noProof/>
        </w:rPr>
        <w:t>a közjegyzők 30 %-ára;</w:t>
      </w:r>
    </w:p>
    <w:p>
      <w:pPr>
        <w:pStyle w:val="ListBullet2"/>
        <w:pBdr>
          <w:top w:val="single" w:sz="4" w:space="1" w:color="auto"/>
          <w:left w:val="single" w:sz="4" w:space="4" w:color="auto"/>
          <w:bottom w:val="single" w:sz="4" w:space="1" w:color="auto"/>
          <w:right w:val="single" w:sz="4" w:space="4" w:color="auto"/>
        </w:pBdr>
        <w:spacing w:after="120" w:line="276" w:lineRule="auto"/>
        <w:rPr>
          <w:noProof/>
        </w:rPr>
      </w:pPr>
      <w:r>
        <w:rPr>
          <w:noProof/>
        </w:rPr>
        <w:t>a bírósági végrehajtók 20 %-ára.</w:t>
      </w:r>
    </w:p>
    <w:p>
      <w:pPr>
        <w:pBdr>
          <w:top w:val="single" w:sz="4" w:space="1" w:color="auto"/>
          <w:left w:val="single" w:sz="4" w:space="4" w:color="auto"/>
          <w:bottom w:val="single" w:sz="4" w:space="1" w:color="auto"/>
          <w:right w:val="single" w:sz="4" w:space="4" w:color="auto"/>
        </w:pBdr>
        <w:spacing w:after="120"/>
        <w:jc w:val="both"/>
        <w:rPr>
          <w:rFonts w:ascii="Times New Roman" w:eastAsia="Calibri" w:hAnsi="Times New Roman" w:cs="Times New Roman"/>
          <w:noProof/>
        </w:rPr>
      </w:pPr>
      <w:r>
        <w:rPr>
          <w:rFonts w:ascii="Times New Roman" w:hAnsi="Times New Roman"/>
          <w:b/>
          <w:bCs/>
          <w:i/>
          <w:iCs/>
          <w:noProof/>
          <w:sz w:val="24"/>
          <w:szCs w:val="24"/>
        </w:rPr>
        <w:t>Feladatok a hálózatok számára:</w:t>
      </w:r>
    </w:p>
    <w:p>
      <w:pPr>
        <w:pStyle w:val="ListBullet2"/>
        <w:pBdr>
          <w:top w:val="single" w:sz="4" w:space="1" w:color="auto"/>
          <w:left w:val="single" w:sz="4" w:space="4" w:color="auto"/>
          <w:bottom w:val="single" w:sz="4" w:space="1" w:color="auto"/>
          <w:right w:val="single" w:sz="4" w:space="4" w:color="auto"/>
        </w:pBdr>
        <w:spacing w:after="120" w:line="276" w:lineRule="auto"/>
        <w:rPr>
          <w:rFonts w:eastAsia="Calibri"/>
          <w:noProof/>
        </w:rPr>
      </w:pPr>
      <w:r>
        <w:rPr>
          <w:b/>
          <w:bCs/>
          <w:noProof/>
        </w:rPr>
        <w:t>EJTN</w:t>
      </w:r>
      <w:r>
        <w:rPr>
          <w:noProof/>
        </w:rPr>
        <w:t xml:space="preserve"> – létre kell hozni a bírósági alkalmazottak képzésszolgáltatóinak hálózatát a szakértelem és a bevált gyakorlatok cseréje céljából</w:t>
      </w:r>
      <w:r>
        <w:rPr>
          <w:rStyle w:val="FootnoteReference"/>
          <w:rFonts w:eastAsia="Calibri"/>
          <w:noProof/>
        </w:rPr>
        <w:footnoteReference w:id="34"/>
      </w:r>
      <w:r>
        <w:rPr>
          <w:noProof/>
        </w:rPr>
        <w:t>;</w:t>
      </w:r>
    </w:p>
    <w:p>
      <w:pPr>
        <w:pStyle w:val="ListBullet2"/>
        <w:pBdr>
          <w:top w:val="single" w:sz="4" w:space="1" w:color="auto"/>
          <w:left w:val="single" w:sz="4" w:space="4" w:color="auto"/>
          <w:bottom w:val="single" w:sz="4" w:space="1" w:color="auto"/>
          <w:right w:val="single" w:sz="4" w:space="4" w:color="auto"/>
        </w:pBdr>
        <w:spacing w:after="120" w:line="276" w:lineRule="auto"/>
        <w:rPr>
          <w:noProof/>
        </w:rPr>
      </w:pPr>
      <w:r>
        <w:rPr>
          <w:b/>
          <w:bCs/>
          <w:noProof/>
        </w:rPr>
        <w:t>Európai Büntetés-végrehajtási Oktatási Intézmények Hálózata (EPTA) —</w:t>
      </w:r>
      <w:r>
        <w:rPr>
          <w:noProof/>
        </w:rPr>
        <w:t xml:space="preserve"> az összes uniós tagállamra ki kell terjeszteni</w:t>
      </w:r>
      <w:r>
        <w:rPr>
          <w:rStyle w:val="FootnoteReference"/>
          <w:noProof/>
          <w:lang w:eastAsia="en-GB"/>
        </w:rPr>
        <w:footnoteReference w:id="35"/>
      </w:r>
      <w:r>
        <w:rPr>
          <w:noProof/>
        </w:rPr>
        <w:t>, fel kell térképezni az uniós joggal kapcsolatos képzési igényeket, és megfelelő válaszlépést kell kidolgozni;</w:t>
      </w:r>
    </w:p>
    <w:p>
      <w:pPr>
        <w:pStyle w:val="ListBullet2"/>
        <w:pBdr>
          <w:top w:val="single" w:sz="4" w:space="1" w:color="auto"/>
          <w:left w:val="single" w:sz="4" w:space="4" w:color="auto"/>
          <w:bottom w:val="single" w:sz="4" w:space="1" w:color="auto"/>
          <w:right w:val="single" w:sz="4" w:space="4" w:color="auto"/>
        </w:pBdr>
        <w:spacing w:after="120" w:line="276" w:lineRule="auto"/>
        <w:rPr>
          <w:noProof/>
        </w:rPr>
      </w:pPr>
      <w:r>
        <w:rPr>
          <w:b/>
          <w:bCs/>
          <w:noProof/>
        </w:rPr>
        <w:t>Pártfogó Felügyelői Szolgálatok Európai Szövetsége (CEP)</w:t>
      </w:r>
      <w:r>
        <w:rPr>
          <w:noProof/>
        </w:rPr>
        <w:t xml:space="preserve"> — tovább kell dolgozni a képzésen.</w:t>
      </w:r>
    </w:p>
    <w:bookmarkEnd w:id="2"/>
    <w:p>
      <w:pPr>
        <w:pStyle w:val="Heading1"/>
        <w:numPr>
          <w:ilvl w:val="0"/>
          <w:numId w:val="69"/>
        </w:numPr>
        <w:spacing w:before="200" w:after="200"/>
        <w:rPr>
          <w:noProof/>
        </w:rPr>
      </w:pPr>
      <w:r>
        <w:rPr>
          <w:noProof/>
        </w:rPr>
        <w:t>Színvonalas, hatékony képzési tevékenységek előmozdítása</w:t>
      </w:r>
    </w:p>
    <w:p>
      <w:pPr>
        <w:jc w:val="both"/>
        <w:rPr>
          <w:rFonts w:ascii="Times New Roman" w:eastAsia="Calibri" w:hAnsi="Times New Roman" w:cs="Times New Roman"/>
          <w:noProof/>
          <w:color w:val="000000" w:themeColor="text1"/>
          <w:sz w:val="24"/>
          <w:szCs w:val="24"/>
        </w:rPr>
      </w:pPr>
      <w:r>
        <w:rPr>
          <w:rFonts w:ascii="Times New Roman" w:hAnsi="Times New Roman"/>
          <w:noProof/>
          <w:sz w:val="24"/>
          <w:szCs w:val="24"/>
        </w:rPr>
        <w:t xml:space="preserve">Az igazságügyi képzés biztosítása önmagában nem elég. Az is kulcsfontosságú, hogy a képzés eléggé </w:t>
      </w:r>
      <w:r>
        <w:rPr>
          <w:rFonts w:ascii="Times New Roman" w:hAnsi="Times New Roman"/>
          <w:b/>
          <w:bCs/>
          <w:noProof/>
          <w:sz w:val="24"/>
          <w:szCs w:val="24"/>
        </w:rPr>
        <w:t>magas színvonalú</w:t>
      </w:r>
      <w:r>
        <w:rPr>
          <w:rFonts w:ascii="Times New Roman" w:hAnsi="Times New Roman"/>
          <w:noProof/>
          <w:sz w:val="24"/>
          <w:szCs w:val="24"/>
        </w:rPr>
        <w:t xml:space="preserve"> legyen ahhoz, hogy elérje a kívánt célokat. Alapvetően fontos a jó módszertan, a képzések kidolgozásától kezdve a megvalósításon át az értékelésig. </w:t>
      </w:r>
      <w:r>
        <w:rPr>
          <w:rFonts w:ascii="Times New Roman" w:hAnsi="Times New Roman"/>
          <w:noProof/>
          <w:color w:val="000000" w:themeColor="text1"/>
          <w:sz w:val="24"/>
          <w:szCs w:val="24"/>
        </w:rPr>
        <w:t xml:space="preserve">Annak érdekében, hogy a gyakorló jogászok mindennapjaiban jelentkező kihívásokra rugalmasan tudjanak reagálni, a képzésszolgáltatóknak folyamatosan figyelniük kell a </w:t>
      </w:r>
      <w:r>
        <w:rPr>
          <w:rFonts w:ascii="Times New Roman" w:hAnsi="Times New Roman"/>
          <w:b/>
          <w:bCs/>
          <w:noProof/>
          <w:color w:val="000000" w:themeColor="text1"/>
          <w:sz w:val="24"/>
          <w:szCs w:val="24"/>
        </w:rPr>
        <w:t>képzési igényeket</w:t>
      </w:r>
      <w:r>
        <w:rPr>
          <w:rFonts w:ascii="Times New Roman" w:hAnsi="Times New Roman"/>
          <w:noProof/>
          <w:color w:val="000000" w:themeColor="text1"/>
          <w:sz w:val="24"/>
          <w:szCs w:val="24"/>
        </w:rPr>
        <w:t xml:space="preserve"> mind a nemzeti, mind az európai érdekelt felek szempontjából.</w:t>
      </w:r>
      <w:bookmarkStart w:id="3" w:name="_Toc32909997"/>
    </w:p>
    <w:p>
      <w:pPr>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szCs w:val="24"/>
        </w:rPr>
        <w:t xml:space="preserve">Az igazságügyi szakembereknek </w:t>
      </w:r>
      <w:r>
        <w:rPr>
          <w:rFonts w:ascii="Times New Roman" w:hAnsi="Times New Roman"/>
          <w:b/>
          <w:bCs/>
          <w:noProof/>
          <w:color w:val="000000" w:themeColor="text1"/>
          <w:sz w:val="24"/>
          <w:szCs w:val="24"/>
        </w:rPr>
        <w:t>többféle tanulási formára</w:t>
      </w:r>
      <w:r>
        <w:rPr>
          <w:rFonts w:ascii="Times New Roman" w:hAnsi="Times New Roman"/>
          <w:noProof/>
          <w:color w:val="000000" w:themeColor="text1"/>
          <w:sz w:val="24"/>
          <w:szCs w:val="24"/>
        </w:rPr>
        <w:t xml:space="preserve"> van szükségük: reflektív, valamint fogalomalkotáson, kísérletezésen és konkrét tapasztalaton alapuló tanulásra. A képzésüknek tartalmaznia kell </w:t>
      </w:r>
      <w:r>
        <w:rPr>
          <w:rFonts w:ascii="Times New Roman" w:hAnsi="Times New Roman"/>
          <w:b/>
          <w:bCs/>
          <w:noProof/>
          <w:color w:val="000000" w:themeColor="text1"/>
          <w:sz w:val="24"/>
          <w:szCs w:val="24"/>
        </w:rPr>
        <w:t>személyes jelenléten alapuló</w:t>
      </w:r>
      <w:r>
        <w:rPr>
          <w:rFonts w:ascii="Times New Roman" w:hAnsi="Times New Roman"/>
          <w:noProof/>
          <w:color w:val="000000" w:themeColor="text1"/>
          <w:sz w:val="24"/>
          <w:szCs w:val="24"/>
        </w:rPr>
        <w:t xml:space="preserve"> tevékenységeket, </w:t>
      </w:r>
      <w:r>
        <w:rPr>
          <w:rFonts w:ascii="Times New Roman" w:hAnsi="Times New Roman"/>
          <w:b/>
          <w:bCs/>
          <w:noProof/>
          <w:color w:val="000000" w:themeColor="text1"/>
          <w:sz w:val="24"/>
          <w:szCs w:val="24"/>
        </w:rPr>
        <w:t>e-tanulási</w:t>
      </w:r>
      <w:r>
        <w:rPr>
          <w:rFonts w:ascii="Times New Roman" w:hAnsi="Times New Roman"/>
          <w:noProof/>
          <w:color w:val="000000" w:themeColor="text1"/>
          <w:sz w:val="24"/>
          <w:szCs w:val="24"/>
        </w:rPr>
        <w:t xml:space="preserve"> eszközöket és </w:t>
      </w:r>
      <w:r>
        <w:rPr>
          <w:rFonts w:ascii="Times New Roman" w:hAnsi="Times New Roman"/>
          <w:b/>
          <w:bCs/>
          <w:noProof/>
          <w:color w:val="000000" w:themeColor="text1"/>
          <w:sz w:val="24"/>
          <w:szCs w:val="24"/>
        </w:rPr>
        <w:t>munkahelyi</w:t>
      </w:r>
      <w:r>
        <w:rPr>
          <w:rFonts w:ascii="Times New Roman" w:hAnsi="Times New Roman"/>
          <w:noProof/>
          <w:color w:val="000000" w:themeColor="text1"/>
          <w:sz w:val="24"/>
          <w:szCs w:val="24"/>
        </w:rPr>
        <w:t xml:space="preserve"> képzést. </w:t>
      </w:r>
      <w:r>
        <w:rPr>
          <w:rFonts w:ascii="Times New Roman" w:hAnsi="Times New Roman"/>
          <w:noProof/>
          <w:sz w:val="24"/>
          <w:szCs w:val="24"/>
        </w:rPr>
        <w:t>A személyes jelenléten alapuló képzési tevékenységek (a határon átnyúló tevékenységeket is beleértve) alapvető fontosságúak a készségek fejlesztésében és az attitűdformálásban, és erősítik a kölcsönös bizalmat azáltal, hogy lehetővé teszik az egymás iránti bizalmon és tiszteleten alapuló kötetlen vitákat.</w:t>
      </w:r>
      <w:r>
        <w:rPr>
          <w:rFonts w:ascii="Times New Roman" w:hAnsi="Times New Roman"/>
          <w:noProof/>
          <w:color w:val="000000" w:themeColor="text1"/>
          <w:sz w:val="24"/>
          <w:szCs w:val="24"/>
        </w:rPr>
        <w:t xml:space="preserve"> E tevékenységeket haladéktalanul újra kell indítani, amint az egészségügyi helyzet ezt lehetővé teszi. Az uniós szintű képzésnek segítenie kell az új megközelítések kipróbálását is, mint például a </w:t>
      </w:r>
      <w:r>
        <w:rPr>
          <w:rFonts w:ascii="Times New Roman" w:hAnsi="Times New Roman"/>
          <w:b/>
          <w:bCs/>
          <w:noProof/>
          <w:color w:val="000000" w:themeColor="text1"/>
          <w:sz w:val="24"/>
          <w:szCs w:val="24"/>
        </w:rPr>
        <w:t>hibrid</w:t>
      </w:r>
      <w:r>
        <w:rPr>
          <w:rFonts w:ascii="Times New Roman" w:hAnsi="Times New Roman"/>
          <w:noProof/>
          <w:color w:val="000000" w:themeColor="text1"/>
          <w:sz w:val="24"/>
          <w:szCs w:val="24"/>
        </w:rPr>
        <w:t xml:space="preserve"> formák (a jelenléti és az online oktatás kombinációja), valamint a </w:t>
      </w:r>
      <w:r>
        <w:rPr>
          <w:rFonts w:ascii="Times New Roman" w:hAnsi="Times New Roman"/>
          <w:b/>
          <w:noProof/>
          <w:color w:val="000000" w:themeColor="text1"/>
          <w:sz w:val="24"/>
          <w:szCs w:val="24"/>
        </w:rPr>
        <w:t>több szakmára kiterjedő</w:t>
      </w:r>
      <w:r>
        <w:rPr>
          <w:rFonts w:ascii="Times New Roman" w:hAnsi="Times New Roman"/>
          <w:noProof/>
          <w:color w:val="000000" w:themeColor="text1"/>
          <w:sz w:val="24"/>
          <w:szCs w:val="24"/>
        </w:rPr>
        <w:t xml:space="preserve"> jelenléti oktatás meghatározott releváns témákra vonatkozóan.</w:t>
      </w:r>
    </w:p>
    <w:p>
      <w:pPr>
        <w:jc w:val="both"/>
        <w:rPr>
          <w:rFonts w:ascii="Times New Roman" w:eastAsia="Calibri" w:hAnsi="Times New Roman" w:cs="Times New Roman"/>
          <w:noProof/>
          <w:color w:val="000000" w:themeColor="text1"/>
          <w:sz w:val="24"/>
          <w:szCs w:val="24"/>
        </w:rPr>
      </w:pPr>
      <w:r>
        <w:rPr>
          <w:rFonts w:ascii="Times New Roman" w:hAnsi="Times New Roman"/>
          <w:b/>
          <w:bCs/>
          <w:noProof/>
          <w:color w:val="000000" w:themeColor="text1"/>
          <w:sz w:val="24"/>
          <w:szCs w:val="24"/>
        </w:rPr>
        <w:t>Változatos és könnyen hozzáférhető</w:t>
      </w:r>
      <w:r>
        <w:rPr>
          <w:rFonts w:ascii="Times New Roman" w:hAnsi="Times New Roman"/>
          <w:noProof/>
          <w:color w:val="000000" w:themeColor="text1"/>
          <w:sz w:val="24"/>
          <w:szCs w:val="24"/>
        </w:rPr>
        <w:t xml:space="preserve"> képzési eszközöket és formákat kell alkalmazni, igazodva a résztvevők időbeosztásához és sokféleségéhez. A képzés során jobban ki kell aknázni az </w:t>
      </w:r>
      <w:r>
        <w:rPr>
          <w:rFonts w:ascii="Times New Roman" w:hAnsi="Times New Roman"/>
          <w:b/>
          <w:bCs/>
          <w:noProof/>
          <w:color w:val="000000" w:themeColor="text1"/>
          <w:sz w:val="24"/>
          <w:szCs w:val="24"/>
        </w:rPr>
        <w:t>új technológiákat</w:t>
      </w:r>
      <w:r>
        <w:rPr>
          <w:rStyle w:val="FootnoteReference"/>
          <w:rFonts w:ascii="Times New Roman" w:eastAsia="Calibri" w:hAnsi="Times New Roman" w:cs="Times New Roman"/>
          <w:noProof/>
          <w:color w:val="000000" w:themeColor="text1"/>
          <w:sz w:val="24"/>
          <w:szCs w:val="24"/>
        </w:rPr>
        <w:footnoteReference w:id="36"/>
      </w:r>
      <w:r>
        <w:rPr>
          <w:rFonts w:ascii="Times New Roman" w:hAnsi="Times New Roman"/>
          <w:noProof/>
          <w:color w:val="000000" w:themeColor="text1"/>
          <w:sz w:val="24"/>
          <w:szCs w:val="24"/>
        </w:rPr>
        <w:t xml:space="preserve"> a szélesebb közönség elérése és a képzés színvonalának növelése érdekében. Erre különösen nagy szükség van a jelenlegi járványhelyzetben és amiatt, hogy a jelenléti képzést háttérbe szorítja az online képzés.</w:t>
      </w:r>
    </w:p>
    <w:p>
      <w:pPr>
        <w:jc w:val="both"/>
        <w:rPr>
          <w:rFonts w:ascii="Times New Roman" w:eastAsia="Calibri" w:hAnsi="Times New Roman" w:cs="Times New Roman"/>
          <w:noProof/>
          <w:color w:val="000000" w:themeColor="text1"/>
          <w:sz w:val="24"/>
          <w:szCs w:val="24"/>
        </w:rPr>
      </w:pPr>
      <w:r>
        <w:rPr>
          <w:rFonts w:ascii="Times New Roman" w:hAnsi="Times New Roman"/>
          <w:noProof/>
          <w:sz w:val="24"/>
          <w:szCs w:val="24"/>
        </w:rPr>
        <w:t xml:space="preserve">Az uniós joggal kapcsolatos csúcsminőségű </w:t>
      </w:r>
      <w:r>
        <w:rPr>
          <w:rFonts w:ascii="Times New Roman" w:hAnsi="Times New Roman"/>
          <w:b/>
          <w:bCs/>
          <w:noProof/>
          <w:sz w:val="24"/>
          <w:szCs w:val="24"/>
        </w:rPr>
        <w:t>e-tanulás</w:t>
      </w:r>
      <w:r>
        <w:rPr>
          <w:rFonts w:ascii="Times New Roman" w:hAnsi="Times New Roman"/>
          <w:noProof/>
          <w:sz w:val="24"/>
          <w:szCs w:val="24"/>
        </w:rPr>
        <w:t xml:space="preserve"> és az </w:t>
      </w:r>
      <w:r>
        <w:rPr>
          <w:rFonts w:ascii="Times New Roman" w:hAnsi="Times New Roman"/>
          <w:b/>
          <w:bCs/>
          <w:noProof/>
          <w:sz w:val="24"/>
          <w:szCs w:val="24"/>
        </w:rPr>
        <w:t>e-forrásokhoz</w:t>
      </w:r>
      <w:r>
        <w:rPr>
          <w:rFonts w:ascii="Times New Roman" w:hAnsi="Times New Roman"/>
          <w:noProof/>
          <w:sz w:val="24"/>
          <w:szCs w:val="24"/>
        </w:rPr>
        <w:t xml:space="preserve"> való hozzáférés minden szakmabeli számára valósággá kell, hogy váljon. Az </w:t>
      </w:r>
      <w:r>
        <w:rPr>
          <w:rFonts w:ascii="Times New Roman" w:hAnsi="Times New Roman"/>
          <w:noProof/>
          <w:color w:val="000000" w:themeColor="text1"/>
          <w:sz w:val="24"/>
          <w:szCs w:val="24"/>
        </w:rPr>
        <w:t>e-tanulás és az e-források ki kell, hogy egészítsék a jelenléti tevékenységeket naprakész anyagokkal és önálló tanulást lehetővé tevő eszközökkel, megsokszorozva a jelenléti tevékenységek hatását, hogy ezáltal a lehető legjobban kiaknázzuk az e-igazságügy előnyeit.</w:t>
      </w:r>
      <w:bookmarkStart w:id="4" w:name="_Toc32910002"/>
      <w:bookmarkEnd w:id="3"/>
    </w:p>
    <w:p>
      <w:pPr>
        <w:jc w:val="both"/>
        <w:rPr>
          <w:rFonts w:ascii="Times New Roman" w:hAnsi="Times New Roman" w:cs="Times New Roman"/>
          <w:noProof/>
        </w:rPr>
      </w:pPr>
      <w:r>
        <w:rPr>
          <w:rFonts w:ascii="Times New Roman" w:hAnsi="Times New Roman"/>
          <w:noProof/>
          <w:sz w:val="24"/>
          <w:szCs w:val="24"/>
        </w:rPr>
        <w:t>A nemzeti szintű tevékenységeknek nem tud ugyanolyan a hatásuk lenni, mint a</w:t>
      </w:r>
      <w:r>
        <w:rPr>
          <w:rFonts w:ascii="Times New Roman" w:hAnsi="Times New Roman"/>
          <w:b/>
          <w:bCs/>
          <w:noProof/>
          <w:sz w:val="24"/>
          <w:szCs w:val="24"/>
        </w:rPr>
        <w:t xml:space="preserve"> határon átnyúló tevékenységeknek</w:t>
      </w:r>
      <w:r>
        <w:rPr>
          <w:rFonts w:ascii="Times New Roman" w:hAnsi="Times New Roman"/>
          <w:noProof/>
          <w:sz w:val="24"/>
          <w:szCs w:val="24"/>
        </w:rPr>
        <w:t>.</w:t>
      </w:r>
      <w:r>
        <w:rPr>
          <w:rFonts w:ascii="Times New Roman" w:hAnsi="Times New Roman"/>
          <w:noProof/>
          <w:color w:val="000000" w:themeColor="text1"/>
          <w:sz w:val="24"/>
          <w:szCs w:val="24"/>
        </w:rPr>
        <w:t xml:space="preserve"> </w:t>
      </w:r>
      <w:r>
        <w:rPr>
          <w:rFonts w:ascii="Times New Roman" w:hAnsi="Times New Roman"/>
          <w:noProof/>
          <w:sz w:val="24"/>
          <w:szCs w:val="24"/>
        </w:rPr>
        <w:t>A bírák, ügyészek és bírósági elnökök tagállamok közötti általános és szakterülethez kapcsolódó cseréje továbbra is prioritást jelent.</w:t>
      </w:r>
      <w:r>
        <w:rPr>
          <w:rFonts w:ascii="Times New Roman" w:hAnsi="Times New Roman"/>
          <w:noProof/>
          <w:color w:val="000000" w:themeColor="text1"/>
          <w:sz w:val="24"/>
          <w:szCs w:val="24"/>
        </w:rPr>
        <w:t xml:space="preserve"> Az ilyen cserék gazdagítják a közös európai igazságügyi kultúrát, erősítik a bizalmat, és elősegítik az uniós jog egységes alkalmazását. A cseréknek kézzelfogható hozzáadott értéket kell jelenteniük a résztvevők számára, és multiplikátorhatást kell kifejteniük a szakmai környezetben.</w:t>
      </w:r>
    </w:p>
    <w:p>
      <w:pPr>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szCs w:val="24"/>
        </w:rPr>
        <w:t xml:space="preserve">Az összes képzés esetében be kell mutatni, hogy a képzés elérte a kitűzött célokat. Az </w:t>
      </w:r>
      <w:r>
        <w:rPr>
          <w:rFonts w:ascii="Times New Roman" w:hAnsi="Times New Roman"/>
          <w:b/>
          <w:bCs/>
          <w:noProof/>
          <w:color w:val="000000" w:themeColor="text1"/>
          <w:sz w:val="24"/>
          <w:szCs w:val="24"/>
        </w:rPr>
        <w:t>értékelés</w:t>
      </w:r>
      <w:r>
        <w:rPr>
          <w:rFonts w:ascii="Times New Roman" w:hAnsi="Times New Roman"/>
          <w:noProof/>
          <w:color w:val="000000" w:themeColor="text1"/>
          <w:sz w:val="24"/>
          <w:szCs w:val="24"/>
        </w:rPr>
        <w:t xml:space="preserve"> során a képzésben résztvevők elégedettségi szintje mellett fel kell mérni a megszerzett ismereteket és készségeket, az attitűdbeli változásokat és a képzésnek a szakmai teljesítményre gyakorolt hatását</w:t>
      </w:r>
      <w:r>
        <w:rPr>
          <w:rStyle w:val="FootnoteReference"/>
          <w:rFonts w:ascii="Times New Roman" w:eastAsia="Calibri" w:hAnsi="Times New Roman" w:cs="Times New Roman"/>
          <w:noProof/>
          <w:color w:val="000000" w:themeColor="text1"/>
          <w:sz w:val="24"/>
          <w:szCs w:val="24"/>
        </w:rPr>
        <w:footnoteReference w:id="37"/>
      </w:r>
      <w:r>
        <w:rPr>
          <w:rFonts w:ascii="Times New Roman" w:hAnsi="Times New Roman"/>
          <w:noProof/>
          <w:color w:val="000000" w:themeColor="text1"/>
          <w:sz w:val="24"/>
          <w:szCs w:val="24"/>
        </w:rPr>
        <w:t>.</w:t>
      </w:r>
    </w:p>
    <w:bookmarkEnd w:id="4"/>
    <w:p>
      <w:pPr>
        <w:pBdr>
          <w:top w:val="single" w:sz="4" w:space="1" w:color="auto"/>
          <w:left w:val="single" w:sz="4" w:space="4" w:color="auto"/>
          <w:bottom w:val="single" w:sz="4" w:space="11" w:color="auto"/>
          <w:right w:val="single" w:sz="4" w:space="4" w:color="auto"/>
        </w:pBdr>
        <w:spacing w:after="120"/>
        <w:jc w:val="both"/>
        <w:rPr>
          <w:rFonts w:ascii="Times New Roman" w:hAnsi="Times New Roman" w:cs="Times New Roman"/>
          <w:noProof/>
          <w:sz w:val="24"/>
          <w:szCs w:val="24"/>
        </w:rPr>
      </w:pPr>
      <w:r>
        <w:rPr>
          <w:rFonts w:ascii="Times New Roman" w:hAnsi="Times New Roman"/>
          <w:b/>
          <w:bCs/>
          <w:i/>
          <w:iCs/>
          <w:noProof/>
          <w:sz w:val="24"/>
          <w:szCs w:val="24"/>
        </w:rPr>
        <w:t>A képzésszolgáltatók feladatai:</w:t>
      </w:r>
    </w:p>
    <w:p>
      <w:pPr>
        <w:pStyle w:val="ListBullet2"/>
        <w:pBdr>
          <w:top w:val="single" w:sz="4" w:space="1" w:color="auto"/>
          <w:left w:val="single" w:sz="4" w:space="4" w:color="auto"/>
          <w:bottom w:val="single" w:sz="4" w:space="11" w:color="auto"/>
          <w:right w:val="single" w:sz="4" w:space="4" w:color="auto"/>
        </w:pBdr>
        <w:spacing w:after="120" w:line="276" w:lineRule="auto"/>
        <w:rPr>
          <w:noProof/>
        </w:rPr>
      </w:pPr>
      <w:r>
        <w:rPr>
          <w:noProof/>
        </w:rPr>
        <w:t xml:space="preserve">Pontosabban kell követni az </w:t>
      </w:r>
      <w:r>
        <w:rPr>
          <w:i/>
          <w:iCs/>
          <w:noProof/>
        </w:rPr>
        <w:t>Advice for training providers</w:t>
      </w:r>
      <w:r>
        <w:rPr>
          <w:noProof/>
        </w:rPr>
        <w:t xml:space="preserve"> (Tanácsok képzésszolgáltatóknak) c. dokumentumban</w:t>
      </w:r>
      <w:r>
        <w:rPr>
          <w:rStyle w:val="FootnoteReference"/>
          <w:noProof/>
        </w:rPr>
        <w:footnoteReference w:id="38"/>
      </w:r>
      <w:r>
        <w:rPr>
          <w:noProof/>
        </w:rPr>
        <w:t xml:space="preserve"> és az EJTN </w:t>
      </w:r>
      <w:r>
        <w:rPr>
          <w:i/>
          <w:iCs/>
          <w:noProof/>
        </w:rPr>
        <w:t>Handbook on judicial training methodology in Europe</w:t>
      </w:r>
      <w:r>
        <w:rPr>
          <w:noProof/>
        </w:rPr>
        <w:t xml:space="preserve"> (Kézikönyv az európai igazságügyi képzések módszertanáról) c. dokumentumában</w:t>
      </w:r>
      <w:r>
        <w:rPr>
          <w:rStyle w:val="FootnoteReference"/>
          <w:rFonts w:eastAsia="Calibri"/>
          <w:noProof/>
          <w:color w:val="000000" w:themeColor="text1"/>
        </w:rPr>
        <w:footnoteReference w:id="39"/>
      </w:r>
      <w:r>
        <w:rPr>
          <w:noProof/>
        </w:rPr>
        <w:t xml:space="preserve"> foglalt </w:t>
      </w:r>
      <w:r>
        <w:rPr>
          <w:b/>
          <w:bCs/>
          <w:noProof/>
        </w:rPr>
        <w:t>ajánlásokat</w:t>
      </w:r>
      <w:r>
        <w:rPr>
          <w:noProof/>
        </w:rPr>
        <w:t>;</w:t>
      </w:r>
    </w:p>
    <w:p>
      <w:pPr>
        <w:pStyle w:val="ListBullet2"/>
        <w:pBdr>
          <w:top w:val="single" w:sz="4" w:space="1" w:color="auto"/>
          <w:left w:val="single" w:sz="4" w:space="4" w:color="auto"/>
          <w:bottom w:val="single" w:sz="4" w:space="11" w:color="auto"/>
          <w:right w:val="single" w:sz="4" w:space="4" w:color="auto"/>
        </w:pBdr>
        <w:spacing w:after="120" w:line="276" w:lineRule="auto"/>
        <w:rPr>
          <w:rFonts w:eastAsia="Calibri"/>
          <w:noProof/>
        </w:rPr>
      </w:pPr>
      <w:r>
        <w:rPr>
          <w:noProof/>
        </w:rPr>
        <w:t xml:space="preserve">Minden évben az összes bíró és ügyész legalább 5 %-a számára </w:t>
      </w:r>
      <w:r>
        <w:rPr>
          <w:b/>
          <w:bCs/>
          <w:noProof/>
        </w:rPr>
        <w:t>határokon átnyúló képzési tevékenységeket</w:t>
      </w:r>
      <w:r>
        <w:rPr>
          <w:noProof/>
        </w:rPr>
        <w:t xml:space="preserve"> kell szervezni; ösztönözni kell az új résztvevők bekapcsolódását;</w:t>
      </w:r>
    </w:p>
    <w:p>
      <w:pPr>
        <w:pStyle w:val="ListBullet2"/>
        <w:pBdr>
          <w:top w:val="single" w:sz="4" w:space="1" w:color="auto"/>
          <w:left w:val="single" w:sz="4" w:space="4" w:color="auto"/>
          <w:bottom w:val="single" w:sz="4" w:space="11" w:color="auto"/>
          <w:right w:val="single" w:sz="4" w:space="4" w:color="auto"/>
        </w:pBdr>
        <w:spacing w:after="120" w:line="276" w:lineRule="auto"/>
        <w:rPr>
          <w:rFonts w:eastAsia="Calibri"/>
          <w:noProof/>
          <w:color w:val="000000" w:themeColor="text1"/>
        </w:rPr>
      </w:pPr>
      <w:r>
        <w:rPr>
          <w:noProof/>
          <w:color w:val="000000" w:themeColor="text1"/>
        </w:rPr>
        <w:t xml:space="preserve">Interaktív, praktikus és minden résztvevő számára hozzáférhető </w:t>
      </w:r>
      <w:r>
        <w:rPr>
          <w:b/>
          <w:bCs/>
          <w:noProof/>
          <w:color w:val="000000" w:themeColor="text1"/>
        </w:rPr>
        <w:t>e-tanulási lehetőséget</w:t>
      </w:r>
      <w:r>
        <w:rPr>
          <w:noProof/>
          <w:color w:val="000000" w:themeColor="text1"/>
        </w:rPr>
        <w:t xml:space="preserve"> kell biztosítani, amely pontosan illeszkedik a képzési célokhoz;</w:t>
      </w:r>
    </w:p>
    <w:p>
      <w:pPr>
        <w:pStyle w:val="ListBullet2"/>
        <w:pBdr>
          <w:top w:val="single" w:sz="4" w:space="1" w:color="auto"/>
          <w:left w:val="single" w:sz="4" w:space="4" w:color="auto"/>
          <w:bottom w:val="single" w:sz="4" w:space="11" w:color="auto"/>
          <w:right w:val="single" w:sz="4" w:space="4" w:color="auto"/>
        </w:pBdr>
        <w:spacing w:after="120" w:line="276" w:lineRule="auto"/>
        <w:rPr>
          <w:rFonts w:eastAsia="Calibri"/>
          <w:noProof/>
          <w:color w:val="000000" w:themeColor="text1"/>
        </w:rPr>
      </w:pPr>
      <w:r>
        <w:rPr>
          <w:noProof/>
          <w:color w:val="000000" w:themeColor="text1"/>
        </w:rPr>
        <w:t>Jobban fel kell tárni a</w:t>
      </w:r>
      <w:r>
        <w:rPr>
          <w:b/>
          <w:bCs/>
          <w:noProof/>
          <w:color w:val="000000" w:themeColor="text1"/>
        </w:rPr>
        <w:t xml:space="preserve"> modern technológiákban</w:t>
      </w:r>
      <w:r>
        <w:rPr>
          <w:noProof/>
          <w:color w:val="000000" w:themeColor="text1"/>
        </w:rPr>
        <w:t xml:space="preserve"> rejlő lehetőségeket, mint például a virtuális jelenléti képzés és a kiterjesztett valósággal kapcsolatos megoldások;</w:t>
      </w:r>
    </w:p>
    <w:p>
      <w:pPr>
        <w:pStyle w:val="ListBullet2"/>
        <w:pBdr>
          <w:top w:val="single" w:sz="4" w:space="1" w:color="auto"/>
          <w:left w:val="single" w:sz="4" w:space="4" w:color="auto"/>
          <w:bottom w:val="single" w:sz="4" w:space="11" w:color="auto"/>
          <w:right w:val="single" w:sz="4" w:space="4" w:color="auto"/>
        </w:pBdr>
        <w:spacing w:after="120" w:line="276" w:lineRule="auto"/>
        <w:rPr>
          <w:rFonts w:eastAsia="Calibri"/>
          <w:noProof/>
        </w:rPr>
      </w:pPr>
      <w:r>
        <w:rPr>
          <w:noProof/>
          <w:color w:val="000000" w:themeColor="text1"/>
        </w:rPr>
        <w:t xml:space="preserve">Jobban ki kell aknázni a </w:t>
      </w:r>
      <w:r>
        <w:rPr>
          <w:b/>
          <w:bCs/>
          <w:noProof/>
          <w:color w:val="000000" w:themeColor="text1"/>
        </w:rPr>
        <w:t>„kapszulaszemléletű”</w:t>
      </w:r>
      <w:r>
        <w:rPr>
          <w:noProof/>
          <w:color w:val="000000" w:themeColor="text1"/>
        </w:rPr>
        <w:t xml:space="preserve"> (rövid, naprakész, az adott célra fókuszáló)</w:t>
      </w:r>
      <w:r>
        <w:rPr>
          <w:b/>
          <w:bCs/>
          <w:noProof/>
          <w:color w:val="000000" w:themeColor="text1"/>
        </w:rPr>
        <w:t xml:space="preserve"> e-képzést</w:t>
      </w:r>
      <w:r>
        <w:rPr>
          <w:noProof/>
          <w:color w:val="000000" w:themeColor="text1"/>
        </w:rPr>
        <w:t>, amely az igazságügyi szakemberek egy konkrét ügy kapcsán felmerülő azonnali igényeire koncentrál;</w:t>
      </w:r>
    </w:p>
    <w:p>
      <w:pPr>
        <w:pStyle w:val="ListBullet2"/>
        <w:pBdr>
          <w:top w:val="single" w:sz="4" w:space="1" w:color="auto"/>
          <w:left w:val="single" w:sz="4" w:space="4" w:color="auto"/>
          <w:bottom w:val="single" w:sz="4" w:space="11" w:color="auto"/>
          <w:right w:val="single" w:sz="4" w:space="4" w:color="auto"/>
        </w:pBdr>
        <w:spacing w:after="120" w:line="276" w:lineRule="auto"/>
        <w:rPr>
          <w:rFonts w:eastAsia="Calibri"/>
          <w:noProof/>
        </w:rPr>
      </w:pPr>
      <w:r>
        <w:rPr>
          <w:noProof/>
          <w:color w:val="000000" w:themeColor="text1"/>
        </w:rPr>
        <w:t xml:space="preserve">Gondoskodni kell az </w:t>
      </w:r>
      <w:r>
        <w:rPr>
          <w:b/>
          <w:bCs/>
          <w:noProof/>
          <w:color w:val="000000" w:themeColor="text1"/>
        </w:rPr>
        <w:t>oktatók képzéséről</w:t>
      </w:r>
      <w:r>
        <w:rPr>
          <w:noProof/>
          <w:color w:val="000000" w:themeColor="text1"/>
        </w:rPr>
        <w:t xml:space="preserve"> is, teljes mértékben kiaknázva az e-tanulási módszerekben rejlő lehetőségeket;</w:t>
      </w:r>
    </w:p>
    <w:p>
      <w:pPr>
        <w:pStyle w:val="ListBullet2"/>
        <w:pBdr>
          <w:top w:val="single" w:sz="4" w:space="1" w:color="auto"/>
          <w:left w:val="single" w:sz="4" w:space="4" w:color="auto"/>
          <w:bottom w:val="single" w:sz="4" w:space="11" w:color="auto"/>
          <w:right w:val="single" w:sz="4" w:space="4" w:color="auto"/>
        </w:pBdr>
        <w:spacing w:after="120" w:line="276" w:lineRule="auto"/>
        <w:rPr>
          <w:rFonts w:eastAsia="Calibri"/>
          <w:noProof/>
        </w:rPr>
      </w:pPr>
      <w:r>
        <w:rPr>
          <w:b/>
          <w:bCs/>
          <w:noProof/>
        </w:rPr>
        <w:t>Értékelni</w:t>
      </w:r>
      <w:r>
        <w:rPr>
          <w:noProof/>
        </w:rPr>
        <w:t xml:space="preserve"> kell minden egyes képzési tevékenységet a résztvevők elégedettsége, kompetenciaszintjének növekedése és adott esetben a képzésnek a teljesítményükre gyakorolt hatása alapján.</w:t>
      </w:r>
    </w:p>
    <w:p>
      <w:pPr>
        <w:pBdr>
          <w:top w:val="single" w:sz="4" w:space="1" w:color="auto"/>
          <w:left w:val="single" w:sz="4" w:space="4" w:color="auto"/>
          <w:bottom w:val="single" w:sz="4" w:space="11" w:color="auto"/>
          <w:right w:val="single" w:sz="4" w:space="4" w:color="auto"/>
        </w:pBdr>
        <w:spacing w:after="120"/>
        <w:jc w:val="both"/>
        <w:rPr>
          <w:rFonts w:ascii="Times New Roman" w:hAnsi="Times New Roman" w:cs="Times New Roman"/>
          <w:noProof/>
          <w:sz w:val="24"/>
          <w:szCs w:val="24"/>
        </w:rPr>
      </w:pPr>
      <w:r>
        <w:rPr>
          <w:rFonts w:ascii="Times New Roman" w:hAnsi="Times New Roman"/>
          <w:b/>
          <w:bCs/>
          <w:i/>
          <w:iCs/>
          <w:noProof/>
          <w:sz w:val="24"/>
          <w:szCs w:val="24"/>
        </w:rPr>
        <w:t>A Bizottság feladatai:</w:t>
      </w:r>
    </w:p>
    <w:p>
      <w:pPr>
        <w:pStyle w:val="ListBullet2"/>
        <w:pBdr>
          <w:top w:val="single" w:sz="4" w:space="1" w:color="auto"/>
          <w:left w:val="single" w:sz="4" w:space="4" w:color="auto"/>
          <w:bottom w:val="single" w:sz="4" w:space="11" w:color="auto"/>
          <w:right w:val="single" w:sz="4" w:space="4" w:color="auto"/>
        </w:pBdr>
        <w:spacing w:after="120" w:line="276" w:lineRule="auto"/>
        <w:rPr>
          <w:rFonts w:eastAsia="Calibri"/>
          <w:noProof/>
        </w:rPr>
      </w:pPr>
      <w:r>
        <w:rPr>
          <w:noProof/>
          <w:color w:val="000000" w:themeColor="text1"/>
        </w:rPr>
        <w:t xml:space="preserve">Adott esetben </w:t>
      </w:r>
      <w:r>
        <w:rPr>
          <w:b/>
          <w:bCs/>
          <w:noProof/>
          <w:color w:val="000000" w:themeColor="text1"/>
        </w:rPr>
        <w:t>közös értékelési formanyomtatványt</w:t>
      </w:r>
      <w:r>
        <w:rPr>
          <w:noProof/>
          <w:color w:val="000000" w:themeColor="text1"/>
        </w:rPr>
        <w:t xml:space="preserve"> kell használni az EU által támogatott tevékenységek esetében;</w:t>
      </w:r>
    </w:p>
    <w:p>
      <w:pPr>
        <w:pStyle w:val="ListBullet2"/>
        <w:pBdr>
          <w:top w:val="single" w:sz="4" w:space="1" w:color="auto"/>
          <w:left w:val="single" w:sz="4" w:space="4" w:color="auto"/>
          <w:bottom w:val="single" w:sz="4" w:space="11" w:color="auto"/>
          <w:right w:val="single" w:sz="4" w:space="4" w:color="auto"/>
        </w:pBdr>
        <w:spacing w:after="120" w:line="276" w:lineRule="auto"/>
        <w:rPr>
          <w:rFonts w:eastAsia="Calibri"/>
          <w:noProof/>
        </w:rPr>
      </w:pPr>
      <w:r>
        <w:rPr>
          <w:noProof/>
        </w:rPr>
        <w:t>Az európai igazságügyi portált</w:t>
      </w:r>
      <w:r>
        <w:rPr>
          <w:rStyle w:val="FootnoteReference"/>
          <w:rFonts w:eastAsia="Calibri"/>
          <w:noProof/>
          <w:color w:val="000000" w:themeColor="text1"/>
        </w:rPr>
        <w:footnoteReference w:id="40"/>
      </w:r>
      <w:r>
        <w:rPr>
          <w:noProof/>
        </w:rPr>
        <w:t xml:space="preserve"> ki kell egészíteni egy </w:t>
      </w:r>
      <w:r>
        <w:rPr>
          <w:b/>
          <w:bCs/>
          <w:noProof/>
        </w:rPr>
        <w:t>európai képzési platformmal</w:t>
      </w:r>
      <w:r>
        <w:rPr>
          <w:noProof/>
        </w:rPr>
        <w:t>, amely az igazságügyi szakembereknek nyújtott képzésekkel kapcsolatos központi információforrásként szolgálna, és hozzáférést biztosítana az uniós joggal kapcsolatos összes, önálló tanuláshoz használható anyaghoz.</w:t>
      </w:r>
    </w:p>
    <w:p>
      <w:pPr>
        <w:pStyle w:val="Heading1"/>
        <w:numPr>
          <w:ilvl w:val="0"/>
          <w:numId w:val="69"/>
        </w:numPr>
        <w:spacing w:before="200" w:after="200"/>
        <w:rPr>
          <w:noProof/>
        </w:rPr>
      </w:pPr>
      <w:bookmarkStart w:id="5" w:name="_Toc32910004"/>
      <w:r>
        <w:rPr>
          <w:noProof/>
        </w:rPr>
        <w:t>A fiatal jogászok igazságügyi képzésének elmélyítése</w:t>
      </w:r>
    </w:p>
    <w:p>
      <w:pPr>
        <w:jc w:val="both"/>
        <w:rPr>
          <w:rFonts w:ascii="Times New Roman" w:hAnsi="Times New Roman" w:cs="Times New Roman"/>
          <w:noProof/>
        </w:rPr>
      </w:pPr>
      <w:r>
        <w:rPr>
          <w:rFonts w:ascii="Times New Roman" w:hAnsi="Times New Roman"/>
          <w:noProof/>
          <w:sz w:val="24"/>
          <w:szCs w:val="24"/>
        </w:rPr>
        <w:t>A pályakezdő igazságügyi szakembereket a szakmai alapképzésük</w:t>
      </w:r>
      <w:r>
        <w:rPr>
          <w:rStyle w:val="FootnoteReference"/>
          <w:rFonts w:ascii="Times New Roman" w:hAnsi="Times New Roman" w:cs="Times New Roman"/>
          <w:smallCaps/>
          <w:noProof/>
          <w:sz w:val="24"/>
          <w:szCs w:val="24"/>
        </w:rPr>
        <w:footnoteReference w:id="41"/>
      </w:r>
      <w:r>
        <w:rPr>
          <w:rFonts w:ascii="Times New Roman" w:hAnsi="Times New Roman"/>
          <w:noProof/>
          <w:sz w:val="24"/>
          <w:szCs w:val="24"/>
        </w:rPr>
        <w:t xml:space="preserve"> keretében meg kell ismertetni </w:t>
      </w:r>
      <w:r>
        <w:rPr>
          <w:rFonts w:ascii="Times New Roman" w:hAnsi="Times New Roman"/>
          <w:b/>
          <w:bCs/>
          <w:noProof/>
          <w:sz w:val="24"/>
          <w:szCs w:val="24"/>
        </w:rPr>
        <w:t>az uniós jogrendszer és jogi kultúra alapjaival</w:t>
      </w:r>
      <w:r>
        <w:rPr>
          <w:rFonts w:ascii="Times New Roman" w:hAnsi="Times New Roman"/>
          <w:noProof/>
          <w:sz w:val="24"/>
          <w:szCs w:val="24"/>
        </w:rPr>
        <w:t>. Ez segít abban, hogy a gyakorlatban is átlássák, mi a szerepe az uniós jognak a nemzeti jogrendszerekben, mit jelentenek a jogállamisági vívmányok, és hogy ők maguk európai gyakorló jogászként milyen szerepet töltenek be. Az alapképzésben (amennyiben van ilyen) ezért elegendő időt kell szánni az uniós jogra, az alapvető jogokra, a jogállamiságra, a „bírói mesterség” elsajátítására és a nyelvtudás fejlesztésére irányuló színvonalas képzésre. Az uniós jog rendszerszintű elemeire</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xml:space="preserve"> vonatkozó képzésnek általánosnak kell lennie.</w:t>
      </w:r>
    </w:p>
    <w:p>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rPr>
      </w:pPr>
      <w:r>
        <w:rPr>
          <w:rFonts w:ascii="Times New Roman" w:hAnsi="Times New Roman"/>
          <w:b/>
          <w:bCs/>
          <w:i/>
          <w:iCs/>
          <w:noProof/>
          <w:sz w:val="24"/>
          <w:szCs w:val="24"/>
        </w:rPr>
        <w:t>A képzésszolgáltatók feladatai:</w:t>
      </w:r>
    </w:p>
    <w:p>
      <w:pPr>
        <w:pStyle w:val="ListBullet2"/>
        <w:pBdr>
          <w:top w:val="single" w:sz="4" w:space="1" w:color="auto"/>
          <w:left w:val="single" w:sz="4" w:space="4" w:color="auto"/>
          <w:bottom w:val="single" w:sz="4" w:space="1" w:color="auto"/>
          <w:right w:val="single" w:sz="4" w:space="4" w:color="auto"/>
        </w:pBdr>
        <w:spacing w:after="120" w:line="276" w:lineRule="auto"/>
        <w:rPr>
          <w:noProof/>
        </w:rPr>
      </w:pPr>
      <w:r>
        <w:rPr>
          <w:noProof/>
        </w:rPr>
        <w:t xml:space="preserve">Biztosítani kell, hogy minden </w:t>
      </w:r>
      <w:r>
        <w:rPr>
          <w:b/>
          <w:bCs/>
          <w:noProof/>
        </w:rPr>
        <w:t>alapképzési tanterv</w:t>
      </w:r>
      <w:r>
        <w:rPr>
          <w:noProof/>
        </w:rPr>
        <w:t xml:space="preserve"> tartalmazzon az uniós jogra vonatkozó modulokat, amelyek vagy a nemzeti jogi képzésbe vannak ágyazva, vagy adott esetben különállóak;</w:t>
      </w:r>
    </w:p>
    <w:p>
      <w:pPr>
        <w:pStyle w:val="ListBullet2"/>
        <w:pBdr>
          <w:top w:val="single" w:sz="4" w:space="1" w:color="auto"/>
          <w:left w:val="single" w:sz="4" w:space="4" w:color="auto"/>
          <w:bottom w:val="single" w:sz="4" w:space="1" w:color="auto"/>
          <w:right w:val="single" w:sz="4" w:space="4" w:color="auto"/>
        </w:pBdr>
        <w:spacing w:after="120" w:line="276" w:lineRule="auto"/>
        <w:rPr>
          <w:noProof/>
        </w:rPr>
      </w:pPr>
      <w:r>
        <w:rPr>
          <w:noProof/>
        </w:rPr>
        <w:t xml:space="preserve">A </w:t>
      </w:r>
      <w:r>
        <w:rPr>
          <w:b/>
          <w:bCs/>
          <w:noProof/>
        </w:rPr>
        <w:t>jogállamisággal és az Alapjogi Chartával kapcsolatos uniós vívmányokat</w:t>
      </w:r>
      <w:r>
        <w:rPr>
          <w:noProof/>
        </w:rPr>
        <w:t>, valamint a „</w:t>
      </w:r>
      <w:r>
        <w:rPr>
          <w:b/>
          <w:bCs/>
          <w:noProof/>
        </w:rPr>
        <w:t>bírói mesterség” elsajátítását</w:t>
      </w:r>
      <w:r>
        <w:rPr>
          <w:noProof/>
        </w:rPr>
        <w:t xml:space="preserve"> a jogi alapképzés standard elemévé kell tenni;</w:t>
      </w:r>
    </w:p>
    <w:p>
      <w:pPr>
        <w:pStyle w:val="ListBullet2"/>
        <w:pBdr>
          <w:top w:val="single" w:sz="4" w:space="1" w:color="auto"/>
          <w:left w:val="single" w:sz="4" w:space="4" w:color="auto"/>
          <w:bottom w:val="single" w:sz="4" w:space="1" w:color="auto"/>
          <w:right w:val="single" w:sz="4" w:space="4" w:color="auto"/>
        </w:pBdr>
        <w:spacing w:after="120" w:line="276" w:lineRule="auto"/>
        <w:rPr>
          <w:rFonts w:eastAsia="Calibri"/>
          <w:noProof/>
        </w:rPr>
      </w:pPr>
      <w:r>
        <w:rPr>
          <w:noProof/>
        </w:rPr>
        <w:t xml:space="preserve">Biztosítani kell, hogy minden leendő vagy újonnan kinevezett bíró és ügyész részt vehessen az alapképzés során </w:t>
      </w:r>
      <w:r>
        <w:rPr>
          <w:b/>
          <w:bCs/>
          <w:noProof/>
        </w:rPr>
        <w:t>határon átnyúló csereprogramban</w:t>
      </w:r>
      <w:r>
        <w:rPr>
          <w:noProof/>
        </w:rPr>
        <w:t>;</w:t>
      </w:r>
    </w:p>
    <w:p>
      <w:pPr>
        <w:pStyle w:val="ListBullet2"/>
        <w:pBdr>
          <w:top w:val="single" w:sz="4" w:space="1" w:color="auto"/>
          <w:left w:val="single" w:sz="4" w:space="4" w:color="auto"/>
          <w:bottom w:val="single" w:sz="4" w:space="1" w:color="auto"/>
          <w:right w:val="single" w:sz="4" w:space="4" w:color="auto"/>
        </w:pBdr>
        <w:spacing w:after="120" w:line="276" w:lineRule="auto"/>
        <w:rPr>
          <w:noProof/>
        </w:rPr>
      </w:pPr>
      <w:r>
        <w:rPr>
          <w:noProof/>
        </w:rPr>
        <w:t xml:space="preserve">Az EJTN AIAKOS elnevezésű, a </w:t>
      </w:r>
      <w:r>
        <w:rPr>
          <w:b/>
          <w:bCs/>
          <w:noProof/>
        </w:rPr>
        <w:t>leendő és újonnan kinevezett bírák és ügyészek számára biztosított csereprogramját</w:t>
      </w:r>
      <w:r>
        <w:rPr>
          <w:rStyle w:val="FootnoteReference"/>
          <w:rFonts w:eastAsia="Calibri"/>
          <w:noProof/>
        </w:rPr>
        <w:footnoteReference w:id="43"/>
      </w:r>
      <w:r>
        <w:rPr>
          <w:noProof/>
        </w:rPr>
        <w:t xml:space="preserve"> az alapképzés standard elemévé kell tenni. A nemzeti igazságügyi képzést biztosító szerveknek segíteniük kell e cserék megszervezését;</w:t>
      </w:r>
    </w:p>
    <w:p>
      <w:pPr>
        <w:pStyle w:val="ListBullet2"/>
        <w:pBdr>
          <w:top w:val="single" w:sz="4" w:space="1" w:color="auto"/>
          <w:left w:val="single" w:sz="4" w:space="4" w:color="auto"/>
          <w:bottom w:val="single" w:sz="4" w:space="1" w:color="auto"/>
          <w:right w:val="single" w:sz="4" w:space="4" w:color="auto"/>
        </w:pBdr>
        <w:spacing w:after="120" w:line="276" w:lineRule="auto"/>
        <w:rPr>
          <w:noProof/>
        </w:rPr>
      </w:pPr>
      <w:r>
        <w:rPr>
          <w:noProof/>
        </w:rPr>
        <w:t xml:space="preserve">A </w:t>
      </w:r>
      <w:r>
        <w:rPr>
          <w:b/>
          <w:bCs/>
          <w:noProof/>
        </w:rPr>
        <w:t>jogi szaknyelvi kurzusokat</w:t>
      </w:r>
      <w:r>
        <w:rPr>
          <w:noProof/>
        </w:rPr>
        <w:t xml:space="preserve"> az alapképzés standard elemévé kell tenni.</w:t>
      </w:r>
    </w:p>
    <w:p>
      <w:pPr>
        <w:pStyle w:val="Heading1"/>
        <w:numPr>
          <w:ilvl w:val="0"/>
          <w:numId w:val="69"/>
        </w:numPr>
        <w:spacing w:before="200" w:after="200"/>
        <w:rPr>
          <w:noProof/>
        </w:rPr>
      </w:pPr>
      <w:r>
        <w:rPr>
          <w:noProof/>
        </w:rPr>
        <w:t>A felelősség nagyobb mértékű megosztása</w:t>
      </w:r>
    </w:p>
    <w:p>
      <w:pPr>
        <w:jc w:val="both"/>
        <w:rPr>
          <w:rFonts w:ascii="Times New Roman" w:hAnsi="Times New Roman" w:cs="Times New Roman"/>
          <w:noProof/>
        </w:rPr>
      </w:pPr>
      <w:r>
        <w:rPr>
          <w:rFonts w:ascii="Times New Roman" w:hAnsi="Times New Roman"/>
          <w:noProof/>
          <w:sz w:val="24"/>
          <w:szCs w:val="24"/>
        </w:rPr>
        <w:t xml:space="preserve">Az igazságügyi képzéssel kapcsolatos felelősség megoszlik a tagállamok, a képzésszolgáltatók, a nemzeti és európai igazságügyi szakmai szervezetek és az EU között. </w:t>
      </w:r>
      <w:r>
        <w:rPr>
          <w:rFonts w:ascii="Times New Roman" w:hAnsi="Times New Roman"/>
          <w:b/>
          <w:bCs/>
          <w:noProof/>
          <w:sz w:val="24"/>
          <w:szCs w:val="24"/>
        </w:rPr>
        <w:t>Ezen szereplők mindegyikének nagyobb elkötelezettséget kell mutatnia.</w:t>
      </w:r>
    </w:p>
    <w:p>
      <w:pPr>
        <w:pStyle w:val="Heading2"/>
        <w:tabs>
          <w:tab w:val="clear" w:pos="1077"/>
        </w:tabs>
        <w:ind w:left="0" w:firstLine="0"/>
        <w:rPr>
          <w:b w:val="0"/>
          <w:noProof/>
          <w:color w:val="000000" w:themeColor="text1"/>
        </w:rPr>
      </w:pPr>
      <w:r>
        <w:rPr>
          <w:noProof/>
          <w:color w:val="000000" w:themeColor="text1"/>
        </w:rPr>
        <w:t>Az elsődleges felelősség a nemzeti érdekelt feleké</w:t>
      </w:r>
    </w:p>
    <w:p>
      <w:pPr>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szCs w:val="24"/>
        </w:rPr>
        <w:t xml:space="preserve">A nemzeti képzésszolgáltatók, az igazságügyi minisztériumok, a bírói és ügyészi tanácsok, valamint a szabályozott szakmák hatóságai mind kulcsszerepet játszanak annak biztosításában, hogy a kínált képzések megfeleljenek a </w:t>
      </w:r>
      <w:r>
        <w:rPr>
          <w:rFonts w:ascii="Times New Roman" w:hAnsi="Times New Roman"/>
          <w:b/>
          <w:bCs/>
          <w:noProof/>
          <w:color w:val="000000" w:themeColor="text1"/>
          <w:sz w:val="24"/>
          <w:szCs w:val="24"/>
        </w:rPr>
        <w:t>gyakorló jogászok igényeinek</w:t>
      </w:r>
      <w:r>
        <w:rPr>
          <w:rFonts w:ascii="Times New Roman" w:hAnsi="Times New Roman"/>
          <w:noProof/>
          <w:color w:val="000000" w:themeColor="text1"/>
          <w:sz w:val="24"/>
          <w:szCs w:val="24"/>
        </w:rPr>
        <w:t xml:space="preserve">. Gondoskodni kell a megfelelő </w:t>
      </w:r>
      <w:r>
        <w:rPr>
          <w:rFonts w:ascii="Times New Roman" w:hAnsi="Times New Roman"/>
          <w:b/>
          <w:bCs/>
          <w:noProof/>
          <w:color w:val="000000" w:themeColor="text1"/>
          <w:sz w:val="24"/>
          <w:szCs w:val="24"/>
        </w:rPr>
        <w:t>erőforrásokról</w:t>
      </w:r>
      <w:r>
        <w:rPr>
          <w:rFonts w:ascii="Times New Roman" w:hAnsi="Times New Roman"/>
          <w:noProof/>
          <w:color w:val="000000" w:themeColor="text1"/>
          <w:sz w:val="24"/>
          <w:szCs w:val="24"/>
        </w:rPr>
        <w:t xml:space="preserve">, ideértve a költségvetést, a képzést szervező személyzetet és azt is, hogy az igazságügyi szakembereknek legyen elegendő idejük a képzéseken való részvételre. A kötelező képzési kvóták előírásával biztosítható, hogy a képzésen való részvétel beleszámítson a munkaidőbe. A nemzeti és uniós szintű képzési lehetőségekre vonatkozó </w:t>
      </w:r>
      <w:r>
        <w:rPr>
          <w:rFonts w:ascii="Times New Roman" w:hAnsi="Times New Roman"/>
          <w:b/>
          <w:bCs/>
          <w:noProof/>
          <w:color w:val="000000" w:themeColor="text1"/>
          <w:sz w:val="24"/>
          <w:szCs w:val="24"/>
        </w:rPr>
        <w:t>tájékoztatást</w:t>
      </w:r>
      <w:r>
        <w:rPr>
          <w:rFonts w:ascii="Times New Roman" w:hAnsi="Times New Roman"/>
          <w:noProof/>
          <w:color w:val="000000" w:themeColor="text1"/>
          <w:sz w:val="24"/>
          <w:szCs w:val="24"/>
        </w:rPr>
        <w:t xml:space="preserve"> proaktív módon terjeszteni kell, és a részvételt támogatni kell.</w:t>
      </w:r>
    </w:p>
    <w:p>
      <w:pPr>
        <w:jc w:val="both"/>
        <w:rPr>
          <w:rFonts w:ascii="Times New Roman" w:hAnsi="Times New Roman" w:cs="Times New Roman"/>
          <w:noProof/>
          <w:color w:val="000000" w:themeColor="text1"/>
          <w:sz w:val="24"/>
          <w:szCs w:val="24"/>
        </w:rPr>
      </w:pPr>
      <w:r>
        <w:rPr>
          <w:rFonts w:ascii="Times New Roman" w:hAnsi="Times New Roman"/>
          <w:b/>
          <w:bCs/>
          <w:noProof/>
          <w:color w:val="000000" w:themeColor="text1"/>
          <w:sz w:val="24"/>
          <w:szCs w:val="24"/>
        </w:rPr>
        <w:t>A jogi szakmai szervezetek vezetőit és rangidős tagjait</w:t>
      </w:r>
      <w:r>
        <w:rPr>
          <w:rFonts w:ascii="Times New Roman" w:hAnsi="Times New Roman"/>
          <w:noProof/>
          <w:color w:val="000000" w:themeColor="text1"/>
          <w:sz w:val="24"/>
          <w:szCs w:val="24"/>
        </w:rPr>
        <w:t xml:space="preserve"> be kell vonni a valódi képzési kultúra megteremtésébe. Szemléletváltásra van szükség, hogy az igazságügyi és szakmai szervezetek </w:t>
      </w:r>
      <w:r>
        <w:rPr>
          <w:rFonts w:ascii="Times New Roman" w:hAnsi="Times New Roman"/>
          <w:b/>
          <w:bCs/>
          <w:noProof/>
          <w:color w:val="000000" w:themeColor="text1"/>
          <w:sz w:val="24"/>
          <w:szCs w:val="24"/>
        </w:rPr>
        <w:t>tanuló szervezetekké</w:t>
      </w:r>
      <w:r>
        <w:rPr>
          <w:rFonts w:ascii="Times New Roman" w:hAnsi="Times New Roman"/>
          <w:noProof/>
          <w:color w:val="000000" w:themeColor="text1"/>
          <w:sz w:val="24"/>
          <w:szCs w:val="24"/>
        </w:rPr>
        <w:t xml:space="preserve"> váljanak, melyekben a képzésre befektetésként tekintenek, és nem olyan tényezőként, amely elveszi az időt a napi munkától.</w:t>
      </w:r>
    </w:p>
    <w:p>
      <w:pPr>
        <w:pStyle w:val="Heading2"/>
        <w:tabs>
          <w:tab w:val="clear" w:pos="1077"/>
        </w:tabs>
        <w:ind w:left="0" w:firstLine="0"/>
        <w:rPr>
          <w:noProof/>
          <w:color w:val="000000" w:themeColor="text1"/>
        </w:rPr>
      </w:pPr>
      <w:r>
        <w:rPr>
          <w:noProof/>
          <w:color w:val="000000" w:themeColor="text1"/>
        </w:rPr>
        <w:t>Uniós jogi szakértők hálózata</w:t>
      </w: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Az igazságügyi szakembereknek nem kell tisztában lenniük az uniós jog minden apró részletével, de ha szükséges, az uniós jognak megfelelően kell eljárniuk. Ezért szükségük van egy olyan </w:t>
      </w:r>
      <w:r>
        <w:rPr>
          <w:rFonts w:ascii="Times New Roman" w:hAnsi="Times New Roman"/>
          <w:b/>
          <w:bCs/>
          <w:noProof/>
          <w:color w:val="000000" w:themeColor="text1"/>
          <w:sz w:val="24"/>
          <w:szCs w:val="24"/>
        </w:rPr>
        <w:t>szakmabelire</w:t>
      </w:r>
      <w:r>
        <w:rPr>
          <w:rFonts w:ascii="Times New Roman" w:hAnsi="Times New Roman"/>
          <w:noProof/>
          <w:color w:val="000000" w:themeColor="text1"/>
          <w:sz w:val="24"/>
          <w:szCs w:val="24"/>
        </w:rPr>
        <w:t xml:space="preserve">, aki </w:t>
      </w:r>
      <w:r>
        <w:rPr>
          <w:rFonts w:ascii="Times New Roman" w:hAnsi="Times New Roman"/>
          <w:b/>
          <w:bCs/>
          <w:noProof/>
          <w:color w:val="000000" w:themeColor="text1"/>
          <w:sz w:val="24"/>
          <w:szCs w:val="24"/>
        </w:rPr>
        <w:t>szakértői véleményt és segítséget tud nyújtani az uniós jog terén</w:t>
      </w:r>
      <w:r>
        <w:rPr>
          <w:rFonts w:ascii="Times New Roman" w:hAnsi="Times New Roman"/>
          <w:noProof/>
          <w:color w:val="000000" w:themeColor="text1"/>
          <w:sz w:val="24"/>
          <w:szCs w:val="24"/>
        </w:rPr>
        <w:t>, teljes bírói függetlenségben jár el, és egy e célra létrehozott nemzeti szintű hálózathoz tartozik. Ez az uniós joggal foglalkozó bírósági koordinátorok nemzeti hálózatainak elismert hozzáadott értéke.</w:t>
      </w:r>
    </w:p>
    <w:p>
      <w:pPr>
        <w:pStyle w:val="Heading2"/>
        <w:tabs>
          <w:tab w:val="clear" w:pos="1077"/>
        </w:tabs>
        <w:ind w:left="709" w:hanging="709"/>
        <w:rPr>
          <w:noProof/>
        </w:rPr>
      </w:pPr>
      <w:r>
        <w:rPr>
          <w:noProof/>
        </w:rPr>
        <w:t>Az Európai Igazságügyi Képzési Hálózat egyedi szerepe</w:t>
      </w: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Az EJTN a legalkalmasabb arra, hogy tagjai révén koordinálja az uniós joggal kapcsolatos képzési tevékenységeket, és határon átnyúló képzéseket fejlesszen ki a bírák és az ügyészek számára, a csereprogramokat is beleértve</w:t>
      </w:r>
      <w:r>
        <w:rPr>
          <w:rStyle w:val="FootnoteReference"/>
          <w:rFonts w:ascii="Times New Roman" w:hAnsi="Times New Roman" w:cs="Times New Roman"/>
          <w:noProof/>
          <w:color w:val="000000" w:themeColor="text1"/>
          <w:sz w:val="24"/>
          <w:szCs w:val="24"/>
          <w:lang w:eastAsia="fr-BE"/>
        </w:rPr>
        <w:footnoteReference w:id="44"/>
      </w:r>
      <w:r>
        <w:rPr>
          <w:rFonts w:ascii="Times New Roman" w:hAnsi="Times New Roman"/>
          <w:noProof/>
          <w:color w:val="000000" w:themeColor="text1"/>
          <w:sz w:val="24"/>
          <w:szCs w:val="24"/>
        </w:rPr>
        <w:t>. Az igazságügyi képzésre vonatkozó kilenc alapelve</w:t>
      </w:r>
      <w:r>
        <w:rPr>
          <w:rStyle w:val="FootnoteReference"/>
          <w:rFonts w:ascii="Times New Roman" w:hAnsi="Times New Roman" w:cs="Times New Roman"/>
          <w:noProof/>
          <w:color w:val="000000" w:themeColor="text1"/>
          <w:sz w:val="24"/>
          <w:szCs w:val="24"/>
          <w:lang w:eastAsia="fr-BE"/>
        </w:rPr>
        <w:footnoteReference w:id="45"/>
      </w:r>
      <w:r>
        <w:rPr>
          <w:rFonts w:ascii="Times New Roman" w:hAnsi="Times New Roman"/>
          <w:noProof/>
          <w:color w:val="000000" w:themeColor="text1"/>
          <w:sz w:val="24"/>
          <w:szCs w:val="24"/>
        </w:rPr>
        <w:t xml:space="preserve"> lassacskán világszerte viszonyítási ponttá válik a színvonalas igazságügyi képzések számára. Az EJTN-nek stabil és megfelelő finanszírozásra van szüksége.</w:t>
      </w:r>
    </w:p>
    <w:p>
      <w:pPr>
        <w:pStyle w:val="Heading2"/>
        <w:tabs>
          <w:tab w:val="clear" w:pos="1077"/>
        </w:tabs>
        <w:ind w:left="709" w:hanging="709"/>
        <w:rPr>
          <w:noProof/>
        </w:rPr>
      </w:pPr>
      <w:r>
        <w:rPr>
          <w:noProof/>
        </w:rPr>
        <w:t>Az uniós szintű szereplők kulcsfontosságú multiplikátorok</w:t>
      </w: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Az </w:t>
      </w:r>
      <w:r>
        <w:rPr>
          <w:rFonts w:ascii="Times New Roman" w:hAnsi="Times New Roman"/>
          <w:b/>
          <w:bCs/>
          <w:noProof/>
          <w:color w:val="000000" w:themeColor="text1"/>
          <w:sz w:val="24"/>
          <w:szCs w:val="24"/>
        </w:rPr>
        <w:t>Európai Jogi Akadémia (ERA)</w:t>
      </w:r>
      <w:r>
        <w:rPr>
          <w:rFonts w:ascii="Times New Roman" w:hAnsi="Times New Roman"/>
          <w:noProof/>
          <w:color w:val="000000" w:themeColor="text1"/>
          <w:sz w:val="24"/>
          <w:szCs w:val="24"/>
        </w:rPr>
        <w:t xml:space="preserve"> és az </w:t>
      </w:r>
      <w:r>
        <w:rPr>
          <w:rFonts w:ascii="Times New Roman" w:hAnsi="Times New Roman"/>
          <w:b/>
          <w:bCs/>
          <w:noProof/>
          <w:color w:val="000000" w:themeColor="text1"/>
          <w:sz w:val="24"/>
          <w:szCs w:val="24"/>
        </w:rPr>
        <w:t>Európai Közigazgatási Intézet (EIPA)</w:t>
      </w:r>
      <w:r>
        <w:rPr>
          <w:rFonts w:ascii="Times New Roman" w:hAnsi="Times New Roman"/>
          <w:noProof/>
          <w:color w:val="000000" w:themeColor="text1"/>
          <w:sz w:val="24"/>
          <w:szCs w:val="24"/>
        </w:rPr>
        <w:t xml:space="preserve"> segítenek az uniós jogi ismeretek megszilárdításában. A képzési kínálatukat tovább kell fejleszteniük, gondoskodniuk kell tevékenységeik megfelelő színvonaláról, és elő kell segíteniük az eredményeik átültethetőségét.</w:t>
      </w:r>
    </w:p>
    <w:p>
      <w:pPr>
        <w:jc w:val="both"/>
        <w:rPr>
          <w:rFonts w:ascii="Times New Roman" w:eastAsia="Calibri" w:hAnsi="Times New Roman" w:cs="Times New Roman"/>
          <w:noProof/>
          <w:sz w:val="24"/>
          <w:szCs w:val="24"/>
        </w:rPr>
      </w:pPr>
      <w:r>
        <w:rPr>
          <w:rFonts w:ascii="Times New Roman" w:hAnsi="Times New Roman"/>
          <w:noProof/>
          <w:color w:val="000000" w:themeColor="text1"/>
          <w:sz w:val="24"/>
          <w:szCs w:val="24"/>
        </w:rPr>
        <w:t xml:space="preserve">Az </w:t>
      </w:r>
      <w:r>
        <w:rPr>
          <w:rFonts w:ascii="Times New Roman" w:hAnsi="Times New Roman"/>
          <w:b/>
          <w:bCs/>
          <w:noProof/>
          <w:color w:val="000000" w:themeColor="text1"/>
          <w:sz w:val="24"/>
          <w:szCs w:val="24"/>
        </w:rPr>
        <w:t>igazságügyi szakemberek hálózatai,</w:t>
      </w:r>
      <w:r>
        <w:rPr>
          <w:rFonts w:ascii="Times New Roman" w:hAnsi="Times New Roman"/>
          <w:noProof/>
          <w:color w:val="000000" w:themeColor="text1"/>
          <w:sz w:val="24"/>
          <w:szCs w:val="24"/>
        </w:rPr>
        <w:t xml:space="preserve"> mint az ügyvédek esetében az </w:t>
      </w:r>
      <w:r>
        <w:rPr>
          <w:rFonts w:ascii="Times New Roman" w:hAnsi="Times New Roman"/>
          <w:b/>
          <w:bCs/>
          <w:noProof/>
          <w:color w:val="000000" w:themeColor="text1"/>
          <w:sz w:val="24"/>
          <w:szCs w:val="24"/>
        </w:rPr>
        <w:t>Európai Ügyvédi Kamarák Tanácsa (CCBE)</w:t>
      </w:r>
      <w:r>
        <w:rPr>
          <w:rFonts w:ascii="Times New Roman" w:hAnsi="Times New Roman"/>
          <w:noProof/>
          <w:color w:val="000000" w:themeColor="text1"/>
          <w:sz w:val="24"/>
          <w:szCs w:val="24"/>
        </w:rPr>
        <w:t xml:space="preserve">, a közjegyzők esetében az </w:t>
      </w:r>
      <w:r>
        <w:rPr>
          <w:rFonts w:ascii="Times New Roman" w:hAnsi="Times New Roman"/>
          <w:b/>
          <w:bCs/>
          <w:noProof/>
          <w:color w:val="000000" w:themeColor="text1"/>
          <w:sz w:val="24"/>
          <w:szCs w:val="24"/>
        </w:rPr>
        <w:t>Európai Unió Közjegyzőségeinek Tanácsa (CNUE)</w:t>
      </w:r>
      <w:r>
        <w:rPr>
          <w:rFonts w:ascii="Times New Roman" w:hAnsi="Times New Roman"/>
          <w:noProof/>
          <w:color w:val="000000" w:themeColor="text1"/>
          <w:sz w:val="24"/>
          <w:szCs w:val="24"/>
        </w:rPr>
        <w:t xml:space="preserve">, a bírósági végrehajtók esetében pedig a </w:t>
      </w:r>
      <w:r>
        <w:rPr>
          <w:rFonts w:ascii="Times New Roman" w:hAnsi="Times New Roman"/>
          <w:b/>
          <w:bCs/>
          <w:noProof/>
          <w:color w:val="000000" w:themeColor="text1"/>
          <w:sz w:val="24"/>
          <w:szCs w:val="24"/>
        </w:rPr>
        <w:t>Bírósági Végrehajtók Európai Uniója (UEHJ)</w:t>
      </w:r>
      <w:r>
        <w:rPr>
          <w:rFonts w:ascii="Times New Roman" w:hAnsi="Times New Roman"/>
          <w:noProof/>
          <w:color w:val="000000" w:themeColor="text1"/>
          <w:sz w:val="24"/>
          <w:szCs w:val="24"/>
        </w:rPr>
        <w:t xml:space="preserve">, szintén kulcsszerepet játszanak az uniós joggal kapcsolatos képzés fejlesztésében. Alapvetően fontosak e stratégia teljes körű végrehajtása szempontjából is, mivel biztosítják, hogy a létrehozott anyagok terjedjenek és többször felhasználásra kerüljenek a tagjaik között, és előmozdítják a képzési tevékenységek nemzeti bevezetését is. </w:t>
      </w:r>
      <w:r>
        <w:rPr>
          <w:rFonts w:ascii="Times New Roman" w:hAnsi="Times New Roman"/>
          <w:noProof/>
          <w:sz w:val="24"/>
          <w:szCs w:val="24"/>
        </w:rPr>
        <w:t>A különböző tagállamok képzésszolgáltatói közötti tapasztalatcsere révén a képzésszolgáltatók fel tudják mérni a képzési kínálatuk esetleges hiányosságait, innovatív megoldásokat vezethetnek be és építhetnek a bizonyítottan eredményes gyakorlatokra.</w:t>
      </w: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Az </w:t>
      </w:r>
      <w:r>
        <w:rPr>
          <w:rFonts w:ascii="Times New Roman" w:hAnsi="Times New Roman"/>
          <w:b/>
          <w:bCs/>
          <w:noProof/>
          <w:color w:val="000000" w:themeColor="text1"/>
          <w:sz w:val="24"/>
          <w:szCs w:val="24"/>
        </w:rPr>
        <w:t>igazságügyi szakembereknek</w:t>
      </w:r>
      <w:r>
        <w:rPr>
          <w:rFonts w:ascii="Times New Roman" w:hAnsi="Times New Roman"/>
          <w:noProof/>
          <w:color w:val="000000" w:themeColor="text1"/>
          <w:sz w:val="24"/>
          <w:szCs w:val="24"/>
        </w:rPr>
        <w:t xml:space="preserve"> az uniós jog egyes területeire fókuszáló </w:t>
      </w:r>
      <w:r>
        <w:rPr>
          <w:rFonts w:ascii="Times New Roman" w:hAnsi="Times New Roman"/>
          <w:b/>
          <w:bCs/>
          <w:noProof/>
          <w:color w:val="000000" w:themeColor="text1"/>
          <w:sz w:val="24"/>
          <w:szCs w:val="24"/>
        </w:rPr>
        <w:t>európai hálózatai</w:t>
      </w:r>
      <w:r>
        <w:rPr>
          <w:rFonts w:ascii="Times New Roman" w:hAnsi="Times New Roman"/>
          <w:noProof/>
          <w:color w:val="000000" w:themeColor="text1"/>
          <w:sz w:val="24"/>
          <w:szCs w:val="24"/>
        </w:rPr>
        <w:t xml:space="preserve"> multiplikátorként is fontos szerepet játszanak.</w:t>
      </w:r>
    </w:p>
    <w:p>
      <w:pPr>
        <w:pStyle w:val="Heading2"/>
        <w:tabs>
          <w:tab w:val="clear" w:pos="1077"/>
        </w:tabs>
        <w:ind w:left="709" w:hanging="709"/>
        <w:rPr>
          <w:noProof/>
        </w:rPr>
      </w:pPr>
      <w:r>
        <w:rPr>
          <w:noProof/>
        </w:rPr>
        <w:t>A Bizottság támogatása</w:t>
      </w:r>
    </w:p>
    <w:p>
      <w:pPr>
        <w:jc w:val="both"/>
        <w:rPr>
          <w:rFonts w:ascii="Times New Roman" w:hAnsi="Times New Roman" w:cs="Times New Roman"/>
          <w:noProof/>
          <w:sz w:val="24"/>
          <w:szCs w:val="24"/>
        </w:rPr>
      </w:pPr>
      <w:r>
        <w:rPr>
          <w:rFonts w:ascii="Times New Roman" w:hAnsi="Times New Roman"/>
          <w:noProof/>
          <w:sz w:val="24"/>
          <w:szCs w:val="24"/>
        </w:rPr>
        <w:t xml:space="preserve">A Bizottság támogatni fogja </w:t>
      </w:r>
      <w:r>
        <w:rPr>
          <w:rFonts w:ascii="Times New Roman" w:hAnsi="Times New Roman"/>
          <w:b/>
          <w:bCs/>
          <w:noProof/>
          <w:sz w:val="24"/>
          <w:szCs w:val="24"/>
        </w:rPr>
        <w:t>az európai dimenzióval rendelkező, magas színvonalú képzési projekteket</w:t>
      </w:r>
      <w:r>
        <w:rPr>
          <w:rFonts w:ascii="Times New Roman" w:hAnsi="Times New Roman"/>
          <w:noProof/>
          <w:sz w:val="24"/>
          <w:szCs w:val="24"/>
        </w:rPr>
        <w:t xml:space="preserve"> a Jogérvényesülés program és más releváns finanszírozási programok révén</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Támogatni fogja a multiplikátorok, többek között az oktatók képzését is, és előmozdítja a képzésszolgáltatók határon átnyúló konzorciumainak létrehozását. Továbbra is támogatni fogja az e területen működő hálózatok munkáját, ösztönzi a konferenciák révén történő együttműködésüket, és fellendíti a modern technológiák és az európai igazságügyi portál használatát.</w:t>
      </w: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 Bizottság támogatni fogja az </w:t>
      </w:r>
      <w:r>
        <w:rPr>
          <w:rFonts w:ascii="Times New Roman" w:hAnsi="Times New Roman"/>
          <w:b/>
          <w:bCs/>
          <w:noProof/>
          <w:color w:val="000000" w:themeColor="text1"/>
          <w:sz w:val="24"/>
          <w:szCs w:val="24"/>
        </w:rPr>
        <w:t>uniós prioritási területekkel foglalkozó projekteket</w:t>
      </w:r>
      <w:r>
        <w:rPr>
          <w:rFonts w:ascii="Times New Roman" w:hAnsi="Times New Roman"/>
          <w:noProof/>
          <w:color w:val="000000" w:themeColor="text1"/>
          <w:sz w:val="24"/>
          <w:szCs w:val="24"/>
        </w:rPr>
        <w:t xml:space="preserve">, amelyek új ötleteket próbálnak ki és konkrét </w:t>
      </w:r>
      <w:r>
        <w:rPr>
          <w:rFonts w:ascii="Times New Roman" w:hAnsi="Times New Roman"/>
          <w:i/>
          <w:iCs/>
          <w:noProof/>
          <w:color w:val="000000" w:themeColor="text1"/>
          <w:sz w:val="24"/>
          <w:szCs w:val="24"/>
        </w:rPr>
        <w:t>ad hoc</w:t>
      </w:r>
      <w:r>
        <w:rPr>
          <w:rFonts w:ascii="Times New Roman" w:hAnsi="Times New Roman"/>
          <w:noProof/>
          <w:color w:val="000000" w:themeColor="text1"/>
          <w:sz w:val="24"/>
          <w:szCs w:val="24"/>
        </w:rPr>
        <w:t xml:space="preserve"> igényeket próbálnak kielégíteni. </w:t>
      </w:r>
      <w:r>
        <w:rPr>
          <w:rFonts w:ascii="Times New Roman" w:hAnsi="Times New Roman"/>
          <w:noProof/>
          <w:sz w:val="24"/>
          <w:szCs w:val="24"/>
        </w:rPr>
        <w:t>Szorosan figyelemmel fogja kísérni a képzési igények felmérését és az eredmények fenntarthatóságát.</w:t>
      </w:r>
      <w:r>
        <w:rPr>
          <w:rFonts w:ascii="Times New Roman" w:hAnsi="Times New Roman"/>
          <w:noProof/>
          <w:color w:val="000000" w:themeColor="text1"/>
          <w:sz w:val="24"/>
          <w:szCs w:val="24"/>
        </w:rPr>
        <w:t xml:space="preserve"> Az uniós társfinanszírozásban részesülő képzésszolgáltatókat arra fogja kötelezni, hogy törekedjenek jobban a képzés és a többi eredmény fenntarthatóságára. A költségvetési rendelet keretében rendelkezésre álló összes eszközt fel fogja használni az uniós finanszírozás igénybevételének egyszerűsítésére, a pályázat- és támogatáskezelési folyamatokat is beleértve</w:t>
      </w:r>
      <w:r>
        <w:rPr>
          <w:rStyle w:val="FootnoteReference"/>
          <w:rFonts w:ascii="Times New Roman" w:hAnsi="Times New Roman" w:cs="Times New Roman"/>
          <w:noProof/>
          <w:color w:val="000000" w:themeColor="text1"/>
          <w:sz w:val="24"/>
          <w:szCs w:val="24"/>
          <w:lang w:eastAsia="fr-BE"/>
        </w:rPr>
        <w:footnoteReference w:id="47"/>
      </w:r>
      <w:r>
        <w:rPr>
          <w:rFonts w:ascii="Times New Roman" w:hAnsi="Times New Roman"/>
          <w:noProof/>
          <w:color w:val="000000" w:themeColor="text1"/>
          <w:sz w:val="24"/>
          <w:szCs w:val="24"/>
        </w:rPr>
        <w:t>.</w:t>
      </w:r>
    </w:p>
    <w:p>
      <w:pPr>
        <w:pStyle w:val="Heading2"/>
        <w:tabs>
          <w:tab w:val="clear" w:pos="1077"/>
        </w:tabs>
        <w:ind w:left="709" w:hanging="709"/>
        <w:rPr>
          <w:noProof/>
        </w:rPr>
      </w:pPr>
      <w:r>
        <w:rPr>
          <w:noProof/>
        </w:rPr>
        <w:t>Képzések a nem uniós országok igazságügyi szakemberei számára</w:t>
      </w:r>
    </w:p>
    <w:p>
      <w:pPr>
        <w:jc w:val="both"/>
        <w:rPr>
          <w:rFonts w:ascii="Times New Roman" w:eastAsia="Calibri" w:hAnsi="Times New Roman" w:cs="Times New Roman"/>
          <w:noProof/>
          <w:color w:val="000000" w:themeColor="text1"/>
          <w:sz w:val="24"/>
          <w:szCs w:val="24"/>
        </w:rPr>
      </w:pPr>
      <w:r>
        <w:rPr>
          <w:rFonts w:ascii="Times New Roman" w:hAnsi="Times New Roman"/>
          <w:noProof/>
          <w:sz w:val="24"/>
          <w:szCs w:val="24"/>
        </w:rPr>
        <w:t xml:space="preserve">Az európai igazságügyi képzések az uniós országok igazságügyi szakembereire fókuszálnak. Az évek során azonban az együttműködést kiterjesztettük a </w:t>
      </w:r>
      <w:r>
        <w:rPr>
          <w:rFonts w:ascii="Times New Roman" w:hAnsi="Times New Roman"/>
          <w:b/>
          <w:bCs/>
          <w:noProof/>
          <w:sz w:val="24"/>
          <w:szCs w:val="24"/>
        </w:rPr>
        <w:t>tagjelölt és a potenciális tagjelölt országokra</w:t>
      </w:r>
      <w:r>
        <w:rPr>
          <w:rFonts w:ascii="Times New Roman" w:hAnsi="Times New Roman"/>
          <w:noProof/>
          <w:sz w:val="24"/>
          <w:szCs w:val="24"/>
        </w:rPr>
        <w:t xml:space="preserve"> és más olyan országokra is, amelyek jelezték, hogy az igazságszolgáltatási rendszerük működésének javítása érdekében szeretnék alaposabban megismerni az EU igazságügyi kultúráját</w:t>
      </w:r>
      <w:r>
        <w:rPr>
          <w:rStyle w:val="FootnoteReference"/>
          <w:rFonts w:ascii="Times New Roman" w:eastAsia="Calibri" w:hAnsi="Times New Roman" w:cs="Times New Roman"/>
          <w:noProof/>
          <w:color w:val="000000" w:themeColor="text1"/>
          <w:sz w:val="24"/>
          <w:szCs w:val="24"/>
          <w:lang w:eastAsia="en-GB"/>
        </w:rPr>
        <w:footnoteReference w:id="48"/>
      </w:r>
      <w:r>
        <w:rPr>
          <w:rFonts w:ascii="Times New Roman" w:hAnsi="Times New Roman"/>
          <w:noProof/>
          <w:sz w:val="24"/>
          <w:szCs w:val="24"/>
        </w:rPr>
        <w:t>. Különösen a jogállamisági vívmányok terén van szükség képzésre a tagjelölt és potenciális tagjelölt országokban</w:t>
      </w:r>
      <w:r>
        <w:rPr>
          <w:rStyle w:val="FootnoteReference"/>
          <w:rFonts w:ascii="Times New Roman" w:eastAsia="Calibri" w:hAnsi="Times New Roman" w:cs="Times New Roman"/>
          <w:noProof/>
          <w:color w:val="000000" w:themeColor="text1"/>
          <w:sz w:val="24"/>
          <w:szCs w:val="24"/>
          <w:lang w:eastAsia="en-GB"/>
        </w:rPr>
        <w:footnoteReference w:id="49"/>
      </w:r>
      <w:r>
        <w:rPr>
          <w:rFonts w:ascii="Times New Roman" w:hAnsi="Times New Roman"/>
          <w:noProof/>
          <w:sz w:val="24"/>
          <w:szCs w:val="24"/>
        </w:rPr>
        <w:t>, mivel az uniós csatlakozásra való felkészülés keretében prioritásként kell kezelniük a demokráciának, a jogállamiságnak és az alapvető jogok tiszteletének az előmozdítását</w:t>
      </w:r>
      <w:r>
        <w:rPr>
          <w:rStyle w:val="FootnoteReference"/>
          <w:rFonts w:ascii="Times New Roman" w:eastAsia="Calibri" w:hAnsi="Times New Roman" w:cs="Times New Roman"/>
          <w:noProof/>
          <w:color w:val="000000" w:themeColor="text1"/>
          <w:sz w:val="24"/>
          <w:szCs w:val="24"/>
          <w:lang w:eastAsia="en-GB"/>
        </w:rPr>
        <w:footnoteReference w:id="50"/>
      </w:r>
      <w:r>
        <w:rPr>
          <w:rFonts w:ascii="Times New Roman" w:hAnsi="Times New Roman"/>
          <w:noProof/>
          <w:sz w:val="24"/>
          <w:szCs w:val="24"/>
        </w:rPr>
        <w:t>.</w:t>
      </w:r>
    </w:p>
    <w:p>
      <w:pPr>
        <w:jc w:val="both"/>
        <w:rPr>
          <w:rFonts w:ascii="Times New Roman" w:eastAsia="Calibri" w:hAnsi="Times New Roman" w:cs="Times New Roman"/>
          <w:noProof/>
          <w:sz w:val="24"/>
          <w:szCs w:val="24"/>
        </w:rPr>
      </w:pPr>
      <w:r>
        <w:rPr>
          <w:rFonts w:ascii="Times New Roman" w:hAnsi="Times New Roman"/>
          <w:noProof/>
          <w:sz w:val="24"/>
          <w:szCs w:val="24"/>
        </w:rPr>
        <w:t xml:space="preserve">A Bizottság különösen ösztönzi a </w:t>
      </w:r>
      <w:r>
        <w:rPr>
          <w:rFonts w:ascii="Times New Roman" w:hAnsi="Times New Roman"/>
          <w:b/>
          <w:bCs/>
          <w:noProof/>
          <w:sz w:val="24"/>
          <w:szCs w:val="24"/>
        </w:rPr>
        <w:t>nyugat-balkáni</w:t>
      </w:r>
      <w:r>
        <w:rPr>
          <w:rFonts w:ascii="Times New Roman" w:hAnsi="Times New Roman"/>
          <w:noProof/>
          <w:sz w:val="24"/>
          <w:szCs w:val="24"/>
        </w:rPr>
        <w:t xml:space="preserve"> igazságügyi szakemberek részvételét a határokon átnyúló igazságügyi képzésben. A régiónak nyújtott uniós támogatás célja a koherencia és a fenntarthatóság biztosítása, valamint a kihívások kezelése a képzési igények megbízható felmérése és egy problémaorientált (és nem adományozóvezérelt) megközelítés révén. A nyugat-balkáni igazságügyi képzésszolgáltatók regionális szintű és EU-val folytatott strukturális együttműködését tovább kell erősíteni. Adott esetben ez az EJTN szerepének megszilárdítását is magában kell, hogy foglalja, mivel az EJTN egy szakértői központ, amely képes támogatni a kapacitásépítést és a módszertani fejlesztéseket.</w:t>
      </w:r>
    </w:p>
    <w:p>
      <w:pPr>
        <w:jc w:val="both"/>
        <w:rPr>
          <w:rFonts w:ascii="Times New Roman" w:eastAsia="Calibri" w:hAnsi="Times New Roman" w:cs="Times New Roman"/>
          <w:noProof/>
          <w:color w:val="000000" w:themeColor="text1"/>
          <w:sz w:val="28"/>
          <w:szCs w:val="28"/>
        </w:rPr>
      </w:pPr>
      <w:r>
        <w:rPr>
          <w:rFonts w:ascii="Times New Roman" w:hAnsi="Times New Roman"/>
          <w:noProof/>
          <w:color w:val="000000" w:themeColor="text1"/>
          <w:sz w:val="24"/>
          <w:szCs w:val="24"/>
        </w:rPr>
        <w:t>További szinergiákat lehetne kialakítani a</w:t>
      </w:r>
      <w:r>
        <w:rPr>
          <w:rFonts w:ascii="Times New Roman" w:hAnsi="Times New Roman"/>
          <w:b/>
          <w:bCs/>
          <w:noProof/>
          <w:color w:val="000000" w:themeColor="text1"/>
          <w:sz w:val="24"/>
          <w:szCs w:val="24"/>
        </w:rPr>
        <w:t xml:space="preserve"> más nem uniós országokban</w:t>
      </w:r>
      <w:r>
        <w:rPr>
          <w:rFonts w:ascii="Times New Roman" w:hAnsi="Times New Roman"/>
          <w:noProof/>
          <w:color w:val="000000" w:themeColor="text1"/>
          <w:sz w:val="24"/>
          <w:szCs w:val="24"/>
        </w:rPr>
        <w:t>, különösen Afrikában és Latin-Amerikában indított uniós finanszírozású igazságügyi képzési kezdeményezésekkel, hozzájárulva ezzel a demokrácia, az emberi jogok és a jogállamiság megszilárdításához</w:t>
      </w:r>
      <w:r>
        <w:rPr>
          <w:rStyle w:val="FootnoteReference"/>
          <w:rFonts w:ascii="Times New Roman" w:hAnsi="Times New Roman" w:cs="Times New Roman"/>
          <w:noProof/>
          <w:color w:val="000000" w:themeColor="text1"/>
          <w:sz w:val="24"/>
          <w:szCs w:val="24"/>
        </w:rPr>
        <w:footnoteReference w:id="51"/>
      </w:r>
      <w:r>
        <w:rPr>
          <w:rFonts w:ascii="Times New Roman" w:hAnsi="Times New Roman"/>
          <w:noProof/>
          <w:color w:val="000000" w:themeColor="text1"/>
          <w:sz w:val="24"/>
          <w:szCs w:val="24"/>
        </w:rPr>
        <w:t>.</w:t>
      </w:r>
    </w:p>
    <w:p>
      <w:pPr>
        <w:pStyle w:val="Heading2"/>
        <w:tabs>
          <w:tab w:val="clear" w:pos="1077"/>
        </w:tabs>
        <w:ind w:left="709" w:hanging="709"/>
        <w:rPr>
          <w:noProof/>
        </w:rPr>
      </w:pPr>
      <w:r>
        <w:rPr>
          <w:noProof/>
        </w:rPr>
        <w:t>Fenntarthatóság</w:t>
      </w:r>
    </w:p>
    <w:p>
      <w:pPr>
        <w:jc w:val="both"/>
        <w:rPr>
          <w:rFonts w:ascii="Times New Roman" w:eastAsia="Calibri" w:hAnsi="Times New Roman" w:cs="Times New Roman"/>
          <w:noProof/>
          <w:sz w:val="24"/>
          <w:szCs w:val="24"/>
        </w:rPr>
      </w:pPr>
      <w:r>
        <w:rPr>
          <w:rFonts w:ascii="Times New Roman" w:hAnsi="Times New Roman"/>
          <w:noProof/>
          <w:sz w:val="24"/>
          <w:szCs w:val="24"/>
        </w:rPr>
        <w:t xml:space="preserve">Határozottan ösztönözni kell az uniós támogatással készült és a nemzeti és uniós szintű képzésszolgáltatók által is használt </w:t>
      </w:r>
      <w:r>
        <w:rPr>
          <w:rFonts w:ascii="Times New Roman" w:hAnsi="Times New Roman"/>
          <w:b/>
          <w:bCs/>
          <w:noProof/>
          <w:sz w:val="24"/>
          <w:szCs w:val="24"/>
        </w:rPr>
        <w:t>képzési modulok, csomagok és kiadványok</w:t>
      </w:r>
      <w:r>
        <w:rPr>
          <w:rFonts w:ascii="Times New Roman" w:hAnsi="Times New Roman"/>
          <w:noProof/>
          <w:sz w:val="24"/>
          <w:szCs w:val="24"/>
        </w:rPr>
        <w:t xml:space="preserve"> – például kézikönyvek és útmutatók</w:t>
      </w:r>
      <w:r>
        <w:rPr>
          <w:rStyle w:val="FootnoteReference"/>
          <w:rFonts w:ascii="Times New Roman" w:eastAsia="Calibri" w:hAnsi="Times New Roman" w:cs="Times New Roman"/>
          <w:noProof/>
          <w:sz w:val="24"/>
          <w:szCs w:val="24"/>
          <w:lang w:eastAsia="en-GB"/>
        </w:rPr>
        <w:footnoteReference w:id="52"/>
      </w:r>
      <w:r>
        <w:rPr>
          <w:rFonts w:ascii="Times New Roman" w:hAnsi="Times New Roman"/>
          <w:noProof/>
          <w:sz w:val="24"/>
          <w:szCs w:val="24"/>
        </w:rPr>
        <w:t xml:space="preserve"> – terjesztését, megvalósítását, újbóli felhasználását, aktualizálását és a nemzeti viszonyokhoz igazítását, valamint a multiplikátorokat, például az oktatókat célzó képzéseket.</w:t>
      </w:r>
    </w:p>
    <w:p>
      <w:pPr>
        <w:pStyle w:val="Heading2"/>
        <w:tabs>
          <w:tab w:val="clear" w:pos="1077"/>
        </w:tabs>
        <w:ind w:left="709" w:hanging="709"/>
        <w:rPr>
          <w:noProof/>
        </w:rPr>
      </w:pPr>
      <w:r>
        <w:rPr>
          <w:noProof/>
        </w:rPr>
        <w:t>Nyomon követés</w:t>
      </w: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 Bizottság továbbra is </w:t>
      </w:r>
      <w:r>
        <w:rPr>
          <w:rFonts w:ascii="Times New Roman" w:hAnsi="Times New Roman"/>
          <w:b/>
          <w:bCs/>
          <w:noProof/>
          <w:color w:val="000000" w:themeColor="text1"/>
          <w:sz w:val="24"/>
          <w:szCs w:val="24"/>
        </w:rPr>
        <w:t>jelentést</w:t>
      </w:r>
      <w:r>
        <w:rPr>
          <w:rFonts w:ascii="Times New Roman" w:hAnsi="Times New Roman"/>
          <w:noProof/>
          <w:color w:val="000000" w:themeColor="text1"/>
          <w:sz w:val="24"/>
          <w:szCs w:val="24"/>
        </w:rPr>
        <w:t xml:space="preserve"> nyújt be az igazságügyi szakembereknek biztosított uniós jogi képzés terén elért eredményekről. Az érdekelt felekkel együtt megvizsgálja, hogyan lehetne javítani az adatgyűjtést és -elemzést.</w:t>
      </w:r>
      <w:bookmarkEnd w:id="5"/>
    </w:p>
    <w:p>
      <w:pPr>
        <w:spacing w:after="160" w:line="259" w:lineRule="auto"/>
        <w:rPr>
          <w:rFonts w:ascii="Times New Roman" w:hAnsi="Times New Roman" w:cs="Times New Roman"/>
          <w:b/>
          <w:bCs/>
          <w:i/>
          <w:iCs/>
          <w:noProof/>
          <w:sz w:val="24"/>
          <w:szCs w:val="24"/>
        </w:rPr>
      </w:pPr>
      <w:r>
        <w:rPr>
          <w:noProof/>
        </w:rPr>
        <w:br w:type="page"/>
      </w:r>
    </w:p>
    <w:p>
      <w:pPr>
        <w:pBdr>
          <w:top w:val="single" w:sz="4" w:space="1" w:color="auto"/>
          <w:left w:val="single" w:sz="4" w:space="4" w:color="auto"/>
          <w:bottom w:val="single" w:sz="4" w:space="15" w:color="auto"/>
          <w:right w:val="single" w:sz="4" w:space="4" w:color="auto"/>
        </w:pBdr>
        <w:spacing w:after="120"/>
        <w:jc w:val="both"/>
        <w:rPr>
          <w:rFonts w:ascii="Times New Roman" w:hAnsi="Times New Roman" w:cs="Times New Roman"/>
          <w:b/>
          <w:bCs/>
          <w:i/>
          <w:iCs/>
          <w:noProof/>
          <w:sz w:val="24"/>
          <w:szCs w:val="24"/>
        </w:rPr>
      </w:pPr>
      <w:r>
        <w:rPr>
          <w:rFonts w:ascii="Times New Roman" w:hAnsi="Times New Roman"/>
          <w:b/>
          <w:bCs/>
          <w:i/>
          <w:iCs/>
          <w:noProof/>
          <w:sz w:val="24"/>
          <w:szCs w:val="24"/>
        </w:rPr>
        <w:t>Ajánlások:</w:t>
      </w:r>
    </w:p>
    <w:p>
      <w:pPr>
        <w:pStyle w:val="ListBullet2"/>
        <w:pBdr>
          <w:top w:val="single" w:sz="4" w:space="1" w:color="auto"/>
          <w:left w:val="single" w:sz="4" w:space="4" w:color="auto"/>
          <w:bottom w:val="single" w:sz="4" w:space="15" w:color="auto"/>
          <w:right w:val="single" w:sz="4" w:space="4" w:color="auto"/>
        </w:pBdr>
        <w:spacing w:after="120" w:line="276" w:lineRule="auto"/>
        <w:rPr>
          <w:rFonts w:eastAsia="Calibri"/>
          <w:noProof/>
        </w:rPr>
      </w:pPr>
      <w:r>
        <w:rPr>
          <w:noProof/>
        </w:rPr>
        <w:t xml:space="preserve">Az összes tagállam – az </w:t>
      </w:r>
      <w:r>
        <w:rPr>
          <w:b/>
          <w:bCs/>
          <w:noProof/>
        </w:rPr>
        <w:t>uniós jogi koordinátorok nemzeti hálózatának</w:t>
      </w:r>
      <w:r>
        <w:rPr>
          <w:noProof/>
        </w:rPr>
        <w:t xml:space="preserve"> létrehozása bírák és ügyészek számára; a határokon átnyúló együttműködés előmozdítása ezen hálózatok között;</w:t>
      </w:r>
    </w:p>
    <w:p>
      <w:pPr>
        <w:pStyle w:val="ListBullet2"/>
        <w:pBdr>
          <w:top w:val="single" w:sz="4" w:space="1" w:color="auto"/>
          <w:left w:val="single" w:sz="4" w:space="4" w:color="auto"/>
          <w:bottom w:val="single" w:sz="4" w:space="15" w:color="auto"/>
          <w:right w:val="single" w:sz="4" w:space="4" w:color="auto"/>
        </w:pBdr>
        <w:spacing w:after="120" w:line="276" w:lineRule="auto"/>
        <w:rPr>
          <w:rFonts w:eastAsia="Calibri"/>
          <w:noProof/>
        </w:rPr>
      </w:pPr>
      <w:r>
        <w:rPr>
          <w:b/>
          <w:bCs/>
          <w:noProof/>
        </w:rPr>
        <w:t>Egyéb igazságügyi szakmák</w:t>
      </w:r>
      <w:r>
        <w:rPr>
          <w:noProof/>
        </w:rPr>
        <w:t xml:space="preserve"> – hasonló pozíciók létrehozása a társaktól való tanulás formájában megvalósuló munkahelyi képzés támogatására.</w:t>
      </w:r>
    </w:p>
    <w:p>
      <w:pPr>
        <w:pBdr>
          <w:top w:val="single" w:sz="4" w:space="1" w:color="auto"/>
          <w:left w:val="single" w:sz="4" w:space="4" w:color="auto"/>
          <w:bottom w:val="single" w:sz="4" w:space="15" w:color="auto"/>
          <w:right w:val="single" w:sz="4" w:space="4" w:color="auto"/>
        </w:pBdr>
        <w:spacing w:after="120"/>
        <w:jc w:val="both"/>
        <w:rPr>
          <w:rFonts w:ascii="Times New Roman" w:hAnsi="Times New Roman" w:cs="Times New Roman"/>
          <w:noProof/>
          <w:color w:val="000000" w:themeColor="text1"/>
          <w:sz w:val="24"/>
          <w:szCs w:val="24"/>
        </w:rPr>
      </w:pPr>
      <w:r>
        <w:rPr>
          <w:rFonts w:ascii="Times New Roman" w:hAnsi="Times New Roman"/>
          <w:b/>
          <w:bCs/>
          <w:i/>
          <w:iCs/>
          <w:noProof/>
          <w:sz w:val="24"/>
          <w:szCs w:val="24"/>
        </w:rPr>
        <w:t>Az érdekelt felek feladatai:</w:t>
      </w:r>
    </w:p>
    <w:p>
      <w:pPr>
        <w:pStyle w:val="ListBullet2"/>
        <w:pBdr>
          <w:top w:val="single" w:sz="4" w:space="1" w:color="auto"/>
          <w:left w:val="single" w:sz="4" w:space="4" w:color="auto"/>
          <w:bottom w:val="single" w:sz="4" w:space="15" w:color="auto"/>
          <w:right w:val="single" w:sz="4" w:space="4" w:color="auto"/>
        </w:pBdr>
        <w:spacing w:after="120" w:line="276" w:lineRule="auto"/>
        <w:rPr>
          <w:noProof/>
        </w:rPr>
      </w:pPr>
      <w:r>
        <w:rPr>
          <w:b/>
          <w:bCs/>
          <w:noProof/>
        </w:rPr>
        <w:t>EJTN</w:t>
      </w:r>
      <w:r>
        <w:rPr>
          <w:noProof/>
        </w:rPr>
        <w:t xml:space="preserve"> – </w:t>
      </w:r>
      <w:r>
        <w:rPr>
          <w:b/>
          <w:bCs/>
          <w:noProof/>
        </w:rPr>
        <w:t>színvonalas képzés</w:t>
      </w:r>
      <w:r>
        <w:rPr>
          <w:noProof/>
        </w:rPr>
        <w:t xml:space="preserve"> biztosítása – többek között e-learning formájában – a bírák és az ügyészek számára, a bírósági alkalmazottak igényeinek felmérése és az uniós szintű feladatok és eredmények multiplikátorhatásának növelése a tagjai által nyújtott uniós jogi képzések fejlesztésével;</w:t>
      </w:r>
    </w:p>
    <w:p>
      <w:pPr>
        <w:pStyle w:val="ListBullet2"/>
        <w:pBdr>
          <w:top w:val="single" w:sz="4" w:space="1" w:color="auto"/>
          <w:left w:val="single" w:sz="4" w:space="4" w:color="auto"/>
          <w:bottom w:val="single" w:sz="4" w:space="15" w:color="auto"/>
          <w:right w:val="single" w:sz="4" w:space="4" w:color="auto"/>
        </w:pBdr>
        <w:spacing w:after="120" w:line="276" w:lineRule="auto"/>
        <w:rPr>
          <w:noProof/>
          <w:color w:val="000000" w:themeColor="text1"/>
        </w:rPr>
      </w:pPr>
      <w:r>
        <w:rPr>
          <w:b/>
          <w:bCs/>
          <w:noProof/>
        </w:rPr>
        <w:t>Uniós szintű hálózatok, képzésszolgáltatók és igazságügyi szakmai szervezetek</w:t>
      </w:r>
      <w:r>
        <w:rPr>
          <w:noProof/>
        </w:rPr>
        <w:t xml:space="preserve"> – a </w:t>
      </w:r>
      <w:r>
        <w:rPr>
          <w:b/>
          <w:bCs/>
          <w:noProof/>
        </w:rPr>
        <w:t>határokon átnyúló képzési tevékenységek</w:t>
      </w:r>
      <w:r>
        <w:rPr>
          <w:noProof/>
        </w:rPr>
        <w:t>, többek között interaktív online képzések további előmozdítása, koordinálása és/vagy szervezése, a képzés hatásainak megsokszorozásával.</w:t>
      </w:r>
    </w:p>
    <w:p>
      <w:pPr>
        <w:pBdr>
          <w:top w:val="single" w:sz="4" w:space="1" w:color="auto"/>
          <w:left w:val="single" w:sz="4" w:space="4" w:color="auto"/>
          <w:bottom w:val="single" w:sz="4" w:space="15" w:color="auto"/>
          <w:right w:val="single" w:sz="4" w:space="4" w:color="auto"/>
        </w:pBdr>
        <w:spacing w:after="120"/>
        <w:jc w:val="both"/>
        <w:rPr>
          <w:rFonts w:ascii="Times New Roman" w:hAnsi="Times New Roman" w:cs="Times New Roman"/>
          <w:noProof/>
          <w:color w:val="000000" w:themeColor="text1"/>
          <w:sz w:val="24"/>
          <w:szCs w:val="24"/>
        </w:rPr>
      </w:pPr>
      <w:r>
        <w:rPr>
          <w:rFonts w:ascii="Times New Roman" w:hAnsi="Times New Roman"/>
          <w:b/>
          <w:bCs/>
          <w:i/>
          <w:iCs/>
          <w:noProof/>
          <w:sz w:val="24"/>
          <w:szCs w:val="24"/>
        </w:rPr>
        <w:t>A Bizottság feladatai:</w:t>
      </w:r>
    </w:p>
    <w:p>
      <w:pPr>
        <w:pStyle w:val="ListBullet2"/>
        <w:pBdr>
          <w:top w:val="single" w:sz="4" w:space="1" w:color="auto"/>
          <w:left w:val="single" w:sz="4" w:space="4" w:color="auto"/>
          <w:bottom w:val="single" w:sz="4" w:space="15" w:color="auto"/>
          <w:right w:val="single" w:sz="4" w:space="4" w:color="auto"/>
        </w:pBdr>
        <w:spacing w:after="120" w:line="276" w:lineRule="auto"/>
        <w:rPr>
          <w:noProof/>
        </w:rPr>
      </w:pPr>
      <w:r>
        <w:rPr>
          <w:noProof/>
        </w:rPr>
        <w:t xml:space="preserve">Az </w:t>
      </w:r>
      <w:r>
        <w:rPr>
          <w:b/>
          <w:bCs/>
          <w:noProof/>
        </w:rPr>
        <w:t>érdekelt felek közötti együttműködés</w:t>
      </w:r>
      <w:r>
        <w:rPr>
          <w:noProof/>
        </w:rPr>
        <w:t xml:space="preserve"> támogatása ezen stratégia céljainak elérése érdekében;</w:t>
      </w:r>
    </w:p>
    <w:p>
      <w:pPr>
        <w:pStyle w:val="ListBullet2"/>
        <w:pBdr>
          <w:top w:val="single" w:sz="4" w:space="1" w:color="auto"/>
          <w:left w:val="single" w:sz="4" w:space="4" w:color="auto"/>
          <w:bottom w:val="single" w:sz="4" w:space="15" w:color="auto"/>
          <w:right w:val="single" w:sz="4" w:space="4" w:color="auto"/>
        </w:pBdr>
        <w:spacing w:after="120" w:line="276" w:lineRule="auto"/>
        <w:rPr>
          <w:noProof/>
        </w:rPr>
      </w:pPr>
      <w:r>
        <w:rPr>
          <w:noProof/>
        </w:rPr>
        <w:t xml:space="preserve">Uniós pénzügyi támogatás nyújtása egyrészt azoknak a </w:t>
      </w:r>
      <w:r>
        <w:rPr>
          <w:b/>
          <w:bCs/>
          <w:noProof/>
        </w:rPr>
        <w:t>magas színvonalú projekteknek</w:t>
      </w:r>
      <w:r>
        <w:rPr>
          <w:noProof/>
        </w:rPr>
        <w:t xml:space="preserve">, amelyek konkrét képzési igényeket elégítenek ki </w:t>
      </w:r>
      <w:r>
        <w:rPr>
          <w:b/>
          <w:bCs/>
          <w:noProof/>
        </w:rPr>
        <w:t>fenntartható</w:t>
      </w:r>
      <w:r>
        <w:rPr>
          <w:noProof/>
        </w:rPr>
        <w:t xml:space="preserve"> módon, másrészt az EJTN-nek a Jogérvényesülés programon keresztül;</w:t>
      </w:r>
    </w:p>
    <w:p>
      <w:pPr>
        <w:pStyle w:val="ListBullet2"/>
        <w:pBdr>
          <w:top w:val="single" w:sz="4" w:space="1" w:color="auto"/>
          <w:left w:val="single" w:sz="4" w:space="4" w:color="auto"/>
          <w:bottom w:val="single" w:sz="4" w:space="15" w:color="auto"/>
          <w:right w:val="single" w:sz="4" w:space="4" w:color="auto"/>
        </w:pBdr>
        <w:spacing w:after="200" w:line="276" w:lineRule="auto"/>
        <w:rPr>
          <w:noProof/>
        </w:rPr>
      </w:pPr>
      <w:r>
        <w:rPr>
          <w:noProof/>
        </w:rPr>
        <w:t xml:space="preserve">Az érdekelt felekkel együttműködésben fejlettebb </w:t>
      </w:r>
      <w:r>
        <w:rPr>
          <w:b/>
          <w:bCs/>
          <w:noProof/>
        </w:rPr>
        <w:t>nyomon követési</w:t>
      </w:r>
      <w:r>
        <w:rPr>
          <w:noProof/>
        </w:rPr>
        <w:t xml:space="preserve"> rendszer kialakítása.</w:t>
      </w:r>
    </w:p>
    <w:p>
      <w:pPr>
        <w:pStyle w:val="Heading1"/>
        <w:numPr>
          <w:ilvl w:val="0"/>
          <w:numId w:val="69"/>
        </w:numPr>
        <w:spacing w:before="200" w:after="200"/>
        <w:rPr>
          <w:noProof/>
        </w:rPr>
      </w:pPr>
      <w:r>
        <w:rPr>
          <w:noProof/>
        </w:rPr>
        <w:t>Következtetés</w:t>
      </w:r>
    </w:p>
    <w:p>
      <w:pPr>
        <w:jc w:val="both"/>
        <w:rPr>
          <w:rFonts w:ascii="Times New Roman" w:hAnsi="Times New Roman" w:cs="Times New Roman"/>
          <w:noProof/>
          <w:sz w:val="24"/>
          <w:szCs w:val="24"/>
        </w:rPr>
      </w:pPr>
      <w:r>
        <w:rPr>
          <w:rFonts w:ascii="Times New Roman" w:hAnsi="Times New Roman"/>
          <w:noProof/>
          <w:sz w:val="24"/>
          <w:szCs w:val="24"/>
        </w:rPr>
        <w:t>Ez a 2021 és 2024 közötti időszakra szóló európai igazságügyi képzési stratégia meghatározza az uniós jog helyes és eredményes alkalmazását célzó, ambiciózus kiemelt intézkedéseknek a keretét. Célja a jogállamiságon, az alapvető jogokon és a kölcsönös bizalmon alapuló közös európai igazságügyi kultúra megszilárdítása.</w:t>
      </w:r>
    </w:p>
    <w:p>
      <w:pPr>
        <w:jc w:val="both"/>
        <w:rPr>
          <w:rFonts w:ascii="Times New Roman" w:hAnsi="Times New Roman" w:cs="Times New Roman"/>
          <w:noProof/>
          <w:sz w:val="24"/>
          <w:szCs w:val="24"/>
        </w:rPr>
      </w:pPr>
      <w:r>
        <w:rPr>
          <w:rFonts w:ascii="Times New Roman" w:hAnsi="Times New Roman"/>
          <w:noProof/>
          <w:sz w:val="24"/>
          <w:szCs w:val="24"/>
        </w:rPr>
        <w:t>A stratégia sikerének biztosítása érdekében a Bizottság felhívja az érdekelt feleket – az igazságügyi minisztériumokat, bírói és ügyészi tanácsokat, az önszabályozó szakmák vezető testületeit, az igazságügyi szakemberek európai szövetségeit, a nemzeti és uniós szintű képzésszolgáltatókat, az uniós intézményeket és szerveket –, hogy kötelezzék el magukat a stratégia mennyiségi és minőségi célkitűzéseinek elérése mellett.</w:t>
      </w:r>
    </w:p>
    <w:p>
      <w:pPr>
        <w:jc w:val="both"/>
        <w:rPr>
          <w:rFonts w:ascii="Times New Roman" w:hAnsi="Times New Roman" w:cs="Times New Roman"/>
          <w:noProof/>
          <w:sz w:val="24"/>
          <w:szCs w:val="24"/>
        </w:rPr>
      </w:pPr>
      <w:r>
        <w:rPr>
          <w:rFonts w:ascii="Times New Roman" w:hAnsi="Times New Roman"/>
          <w:noProof/>
          <w:sz w:val="24"/>
          <w:szCs w:val="24"/>
        </w:rPr>
        <w:t>A Bizottság rendszeresen nyomon követi a stratégia végrehajtását, és együttműködik más uniós intézményekkel annak érdekében, hogy a célkitűzések megvalósításához biztosítva legyen a szükséges politikai támogatás.</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84847"/>
      <w:docPartObj>
        <w:docPartGallery w:val="Page Numbers (Bottom of Page)"/>
        <w:docPartUnique/>
      </w:docPartObj>
    </w:sdtPr>
    <w:sdtEndPr>
      <w:rPr>
        <w:rFonts w:ascii="Times New Roman" w:hAnsi="Times New Roman" w:cs="Times New Roman"/>
        <w:sz w:val="24"/>
        <w:szCs w:val="24"/>
      </w:rPr>
    </w:sdtEndPr>
    <w:sdtContent>
      <w:p>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Az Európai Unió működéséről szóló szerződés 81. cikke (2) bekezdésének h) pontja és 82. cikke (1) bekezdésének c) pontja.</w:t>
      </w:r>
    </w:p>
  </w:footnote>
  <w:footnote w:id="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COM(2011) 551 végleges.</w:t>
      </w:r>
    </w:p>
  </w:footnote>
  <w:footnote w:id="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i/>
          <w:iCs/>
        </w:rPr>
        <w:t>Judicial training in the EU Member States</w:t>
      </w:r>
      <w:r>
        <w:rPr>
          <w:rFonts w:ascii="Times New Roman" w:hAnsi="Times New Roman"/>
        </w:rPr>
        <w:t xml:space="preserve"> (Igazságügyi képzés az uniós tagállamokban), az Európai Parlament tanulmánya, (IPOL–JURI–ET(2011)453.198).</w:t>
      </w:r>
    </w:p>
  </w:footnote>
  <w:footnote w:id="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i/>
          <w:iCs/>
        </w:rPr>
        <w:t>Evaluation of the 2011–2020 European judicial training strategy</w:t>
      </w:r>
      <w:r>
        <w:rPr>
          <w:rFonts w:ascii="Times New Roman" w:hAnsi="Times New Roman"/>
        </w:rPr>
        <w:t xml:space="preserve"> (A 2011 és 2020 közötti időszakra szóló európai igazságügyi képzési stratégia értékelése), bizottsági szolgálati munkadokumentum (SWD(2019) 380).</w:t>
      </w:r>
    </w:p>
  </w:footnote>
  <w:footnote w:id="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 Bizottság Jogérvényesülési és Fogyasztópolitikai Főigazgatóságának jelentései.</w:t>
      </w:r>
    </w:p>
  </w:footnote>
  <w:footnote w:id="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1" w:history="1">
        <w:r>
          <w:rPr>
            <w:rStyle w:val="Hyperlink"/>
            <w:rFonts w:ascii="Times New Roman" w:hAnsi="Times New Roman"/>
          </w:rPr>
          <w:t>https://ec.europa.eu/info/consultations/training-justice-professionals-eu-law-evaluation_hu</w:t>
        </w:r>
      </w:hyperlink>
    </w:p>
  </w:footnote>
  <w:footnote w:id="8">
    <w:p>
      <w:pPr>
        <w:pStyle w:val="FootnoteText"/>
        <w:ind w:left="284" w:hanging="284"/>
        <w:jc w:val="both"/>
        <w:rPr>
          <w:rFonts w:ascii="Times New Roman" w:eastAsia="Times New Roman" w:hAnsi="Times New Roman" w:cs="Times New Roman"/>
        </w:rPr>
      </w:pPr>
      <w:r>
        <w:rPr>
          <w:rStyle w:val="FootnoteReference"/>
          <w:rFonts w:ascii="Times New Roman" w:hAnsi="Times New Roman" w:cs="Times New Roman"/>
        </w:rPr>
        <w:footnoteRef/>
      </w:r>
      <w:r>
        <w:tab/>
      </w:r>
      <w:r>
        <w:rPr>
          <w:rFonts w:ascii="Times New Roman" w:hAnsi="Times New Roman"/>
        </w:rPr>
        <w:t>A Bizottság közleményei: „</w:t>
      </w:r>
      <w:r>
        <w:rPr>
          <w:rFonts w:ascii="Times New Roman" w:hAnsi="Times New Roman"/>
          <w:i/>
          <w:iCs/>
        </w:rPr>
        <w:t>Az Unión belüli jogállamiság megerősítése – Intézkedési terv</w:t>
      </w:r>
      <w:r>
        <w:rPr>
          <w:rFonts w:ascii="Times New Roman" w:hAnsi="Times New Roman"/>
        </w:rPr>
        <w:t>” (COM(2019) 343 final) és „</w:t>
      </w:r>
      <w:r>
        <w:rPr>
          <w:rFonts w:ascii="Times New Roman" w:hAnsi="Times New Roman"/>
          <w:i/>
          <w:iCs/>
        </w:rPr>
        <w:t>2020. évi jogállamisági jelentés – A jogállamiság helyzete az Európai Unióban</w:t>
      </w:r>
      <w:r>
        <w:rPr>
          <w:rFonts w:ascii="Times New Roman" w:hAnsi="Times New Roman"/>
        </w:rPr>
        <w:t>” (COM(2020) 580 final).</w:t>
      </w:r>
    </w:p>
  </w:footnote>
  <w:footnote w:id="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Lásd az általános adatvédelmi rendeletet, a bűnüldözésben érvényesítendő adatvédelemről szóló irányelvet és az EUB közelmúltbeli ítélkezési gyakorlatát, pl. a C‑293/12. és C‑594/12. sz. </w:t>
      </w:r>
      <w:r>
        <w:rPr>
          <w:rFonts w:ascii="Times New Roman" w:hAnsi="Times New Roman"/>
          <w:i/>
          <w:iCs/>
        </w:rPr>
        <w:t>Digital Rights</w:t>
      </w:r>
      <w:r>
        <w:rPr>
          <w:rFonts w:ascii="Times New Roman" w:hAnsi="Times New Roman"/>
        </w:rPr>
        <w:t xml:space="preserve"> egyesített ügyekben 2014. április 8-án hozott ítéletet; és a C-203/15. sz. </w:t>
      </w:r>
      <w:r>
        <w:rPr>
          <w:rFonts w:ascii="Times New Roman" w:hAnsi="Times New Roman"/>
          <w:i/>
          <w:iCs/>
        </w:rPr>
        <w:t xml:space="preserve">Tele2 Sverige </w:t>
      </w:r>
      <w:r>
        <w:rPr>
          <w:rFonts w:ascii="Times New Roman" w:hAnsi="Times New Roman"/>
        </w:rPr>
        <w:t>ügyben 2016. december 21-én hozott ítéletet.</w:t>
      </w:r>
    </w:p>
  </w:footnote>
  <w:footnote w:id="10">
    <w:p>
      <w:pPr>
        <w:pStyle w:val="FootnoteText"/>
        <w:ind w:left="284" w:hanging="284"/>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tab/>
      </w:r>
      <w:r>
        <w:rPr>
          <w:rFonts w:ascii="Times New Roman" w:hAnsi="Times New Roman"/>
          <w:color w:val="000000" w:themeColor="text1"/>
        </w:rPr>
        <w:t>A Bizottság</w:t>
      </w:r>
      <w:r>
        <w:rPr>
          <w:rFonts w:ascii="Times New Roman" w:hAnsi="Times New Roman"/>
        </w:rPr>
        <w:t xml:space="preserve"> közleménye:</w:t>
      </w:r>
      <w:r>
        <w:rPr>
          <w:rFonts w:ascii="Times New Roman" w:hAnsi="Times New Roman"/>
          <w:color w:val="000000" w:themeColor="text1"/>
        </w:rPr>
        <w:t xml:space="preserve"> „</w:t>
      </w:r>
      <w:r>
        <w:rPr>
          <w:rFonts w:ascii="Times New Roman" w:hAnsi="Times New Roman"/>
          <w:i/>
          <w:iCs/>
          <w:color w:val="000000" w:themeColor="text1"/>
        </w:rPr>
        <w:t xml:space="preserve">Strategy </w:t>
      </w:r>
      <w:r>
        <w:rPr>
          <w:rFonts w:ascii="Times New Roman" w:hAnsi="Times New Roman"/>
          <w:i/>
          <w:iCs/>
        </w:rPr>
        <w:t xml:space="preserve">to reinforce </w:t>
      </w:r>
      <w:r>
        <w:rPr>
          <w:rFonts w:ascii="Times New Roman" w:hAnsi="Times New Roman"/>
          <w:i/>
          <w:iCs/>
          <w:color w:val="000000" w:themeColor="text1"/>
        </w:rPr>
        <w:t>the application of the Charter of Fundamental Rights in the EU” (Az Alapjogi Charta Európai Unión belüli alkalmazásának megerősítéséről szóló stratégia)</w:t>
      </w:r>
      <w:r>
        <w:rPr>
          <w:rFonts w:ascii="Times New Roman" w:hAnsi="Times New Roman"/>
          <w:color w:val="000000" w:themeColor="text1"/>
        </w:rPr>
        <w:t xml:space="preserve"> (</w:t>
      </w:r>
      <w:r>
        <w:rPr>
          <w:rFonts w:ascii="Times New Roman" w:hAnsi="Times New Roman"/>
        </w:rPr>
        <w:t>COM(2020) 711 final)</w:t>
      </w:r>
      <w:r>
        <w:rPr>
          <w:rFonts w:ascii="Times New Roman" w:hAnsi="Times New Roman"/>
          <w:color w:val="000000" w:themeColor="text1"/>
        </w:rPr>
        <w:t>.</w:t>
      </w:r>
    </w:p>
  </w:footnote>
  <w:footnote w:id="1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Összhangban a „</w:t>
      </w:r>
      <w:r>
        <w:rPr>
          <w:rFonts w:ascii="Times New Roman" w:hAnsi="Times New Roman"/>
          <w:i/>
          <w:iCs/>
        </w:rPr>
        <w:t>Digitalisation of justice in the EU</w:t>
      </w:r>
      <w:r>
        <w:rPr>
          <w:rFonts w:ascii="Times New Roman" w:hAnsi="Times New Roman"/>
        </w:rPr>
        <w:t xml:space="preserve">” (Az igazságügy digitalizációja az EU-ban) c. bizottsági közleménnyel </w:t>
      </w:r>
      <w:r>
        <w:rPr>
          <w:rFonts w:ascii="Times New Roman" w:hAnsi="Times New Roman"/>
          <w:color w:val="000000" w:themeColor="text1"/>
        </w:rPr>
        <w:t>(</w:t>
      </w:r>
      <w:r>
        <w:rPr>
          <w:rFonts w:ascii="Times New Roman" w:hAnsi="Times New Roman"/>
        </w:rPr>
        <w:t>COM(2020) 710 final).</w:t>
      </w:r>
    </w:p>
  </w:footnote>
  <w:footnote w:id="1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 Tanács következtetései: „</w:t>
      </w:r>
      <w:r>
        <w:rPr>
          <w:rFonts w:ascii="Times New Roman" w:hAnsi="Times New Roman"/>
          <w:i/>
          <w:iCs/>
        </w:rPr>
        <w:t>Az igazságszolgáltatáshoz való jog – A digitalizáció lehetőségeinek kiaknázása</w:t>
      </w:r>
      <w:r>
        <w:rPr>
          <w:rFonts w:ascii="Times New Roman" w:hAnsi="Times New Roman"/>
        </w:rPr>
        <w:t>” (2020/C 342 I/01).</w:t>
      </w:r>
    </w:p>
  </w:footnote>
  <w:footnote w:id="1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 Bizottság közleménye: „</w:t>
      </w:r>
      <w:r>
        <w:rPr>
          <w:rFonts w:ascii="Times New Roman" w:hAnsi="Times New Roman"/>
          <w:i/>
          <w:iCs/>
        </w:rPr>
        <w:t>Az áldozatok jogairól szóló uniós stratégia (2020–2025)</w:t>
      </w:r>
      <w:r>
        <w:rPr>
          <w:rFonts w:ascii="Times New Roman" w:hAnsi="Times New Roman"/>
        </w:rPr>
        <w:t>” (COM(2020) 258 final).</w:t>
      </w:r>
    </w:p>
  </w:footnote>
  <w:footnote w:id="14">
    <w:p>
      <w:pPr>
        <w:pStyle w:val="FootnoteText"/>
        <w:ind w:left="284" w:hanging="284"/>
        <w:jc w:val="both"/>
        <w:rPr>
          <w:rFonts w:ascii="Times New Roman" w:hAnsi="Times New Roman" w:cs="Times New Roman"/>
          <w:color w:val="000000" w:themeColor="text1"/>
        </w:rPr>
      </w:pPr>
      <w:r>
        <w:rPr>
          <w:rStyle w:val="FootnoteReference"/>
          <w:rFonts w:ascii="Times New Roman" w:hAnsi="Times New Roman" w:cs="Times New Roman"/>
        </w:rPr>
        <w:footnoteRef/>
      </w:r>
      <w:r>
        <w:tab/>
      </w:r>
      <w:r>
        <w:rPr>
          <w:rFonts w:ascii="Times New Roman" w:hAnsi="Times New Roman"/>
          <w:i/>
          <w:iCs/>
          <w:color w:val="000000" w:themeColor="text1"/>
        </w:rPr>
        <w:t>A gyermek jogairól szóló közeljövőbeli uniós stratégia</w:t>
      </w:r>
      <w:r>
        <w:rPr>
          <w:rFonts w:ascii="Times New Roman" w:hAnsi="Times New Roman"/>
          <w:color w:val="000000" w:themeColor="text1"/>
        </w:rPr>
        <w:t xml:space="preserve"> (elfogadás várható időpontja: 2021).</w:t>
      </w:r>
    </w:p>
  </w:footnote>
  <w:footnote w:id="1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Lásd a Nemzetközi Jogászbizottság </w:t>
      </w:r>
      <w:r>
        <w:rPr>
          <w:rFonts w:ascii="Times New Roman" w:hAnsi="Times New Roman"/>
          <w:i/>
          <w:iCs/>
        </w:rPr>
        <w:t>Women’s access to justice for gender-based violence</w:t>
      </w:r>
      <w:r>
        <w:rPr>
          <w:rFonts w:ascii="Times New Roman" w:hAnsi="Times New Roman"/>
        </w:rPr>
        <w:t xml:space="preserve"> (A nemi alapú erőszakot elszenvedett nők igazságszolgáltatáshoz való joga) c. kiadványát: </w:t>
      </w:r>
      <w:hyperlink r:id="rId2" w:history="1">
        <w:r>
          <w:rPr>
            <w:rStyle w:val="Hyperlink"/>
            <w:rFonts w:ascii="Times New Roman" w:hAnsi="Times New Roman"/>
          </w:rPr>
          <w:t>http://www.icj.org/wp-content/uploads/2016/03/Universal-Womens-accesss-to-justice-Publications-Practitioners-Guide-Series-2016-ENG.pdf</w:t>
        </w:r>
      </w:hyperlink>
    </w:p>
  </w:footnote>
  <w:footnote w:id="1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Egész életen át tartó szakmai képzés.</w:t>
      </w:r>
    </w:p>
  </w:footnote>
  <w:footnote w:id="1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Ide </w:t>
      </w:r>
      <w:r>
        <w:rPr>
          <w:rFonts w:ascii="Times New Roman" w:hAnsi="Times New Roman"/>
          <w:color w:val="000000" w:themeColor="text1"/>
        </w:rPr>
        <w:t>tartozik az egyedi végrehajtási együttműködési mechanizmusokkal kapcsolatos képzés, pl. a fogyasztóvédelmi együttműködésről szóló rendeletben (az (EU) 2017/2394 rendelet) előírtak szerint.</w:t>
      </w:r>
    </w:p>
  </w:footnote>
  <w:footnote w:id="1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color w:val="000000"/>
        </w:rPr>
        <w:t>Pl.</w:t>
      </w:r>
      <w:r>
        <w:rPr>
          <w:rFonts w:ascii="Times New Roman" w:hAnsi="Times New Roman"/>
        </w:rPr>
        <w:t xml:space="preserve"> tisztességtelen kereskedelmi gyakorlatokhoz folyamodó tisztességtelen kereskedők, nagyszámú repülőjárat törlése a fogyasztók visszatérítéshez való jogának tiszteletben tartása nélkül.</w:t>
      </w:r>
    </w:p>
  </w:footnote>
  <w:footnote w:id="19">
    <w:p>
      <w:pPr>
        <w:pStyle w:val="FootnoteText"/>
        <w:ind w:left="284" w:hanging="284"/>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tab/>
      </w:r>
      <w:r>
        <w:rPr>
          <w:rFonts w:ascii="Times New Roman" w:hAnsi="Times New Roman"/>
        </w:rPr>
        <w:t>A Bizottsági közleménye: „</w:t>
      </w:r>
      <w:r>
        <w:rPr>
          <w:rFonts w:ascii="Times New Roman" w:hAnsi="Times New Roman"/>
          <w:i/>
          <w:iCs/>
          <w:color w:val="000000" w:themeColor="text1"/>
        </w:rPr>
        <w:t>Az egységes piaci szabályok végrehajtásának és érvényesítésének javítására vonatkozó hosszú távú cselekvési terv</w:t>
      </w:r>
      <w:r>
        <w:rPr>
          <w:rFonts w:ascii="Times New Roman" w:hAnsi="Times New Roman"/>
          <w:color w:val="000000" w:themeColor="text1"/>
        </w:rPr>
        <w:t>”, (COM(2020) 94 final).</w:t>
      </w:r>
    </w:p>
  </w:footnote>
  <w:footnote w:id="20">
    <w:p>
      <w:pPr>
        <w:pStyle w:val="NormalWeb"/>
        <w:spacing w:before="0" w:beforeAutospacing="0" w:after="0" w:afterAutospacing="0"/>
        <w:ind w:left="284" w:hanging="284"/>
        <w:rPr>
          <w:sz w:val="20"/>
          <w:szCs w:val="20"/>
        </w:rPr>
      </w:pPr>
      <w:r>
        <w:rPr>
          <w:rStyle w:val="FootnoteReference"/>
          <w:sz w:val="20"/>
          <w:szCs w:val="20"/>
        </w:rPr>
        <w:footnoteRef/>
      </w:r>
      <w:r>
        <w:rPr>
          <w:sz w:val="20"/>
          <w:szCs w:val="20"/>
        </w:rPr>
        <w:tab/>
        <w:t>A Bizottság közleménye: „</w:t>
      </w:r>
      <w:r>
        <w:rPr>
          <w:i/>
          <w:iCs/>
          <w:sz w:val="20"/>
          <w:szCs w:val="20"/>
        </w:rPr>
        <w:t>Az EU-n belüli beruházások védelme</w:t>
      </w:r>
      <w:r>
        <w:rPr>
          <w:sz w:val="20"/>
          <w:szCs w:val="20"/>
        </w:rPr>
        <w:t>” (COM(2018) 547 final).</w:t>
      </w:r>
    </w:p>
  </w:footnote>
  <w:footnote w:id="21">
    <w:p>
      <w:pPr>
        <w:pStyle w:val="FootnoteText"/>
        <w:ind w:left="284" w:hanging="284"/>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tab/>
      </w:r>
      <w:r>
        <w:rPr>
          <w:rFonts w:ascii="Times New Roman" w:hAnsi="Times New Roman"/>
          <w:color w:val="000000" w:themeColor="text1"/>
        </w:rPr>
        <w:t>pl. az egészségügyi területen elkövetett kibertámadások, hamisított egészségügyi termékek, védőfelszereléssel és Covid19-tesztekkel kapcsolatos csalások, valamint higiéniai hulladék illegális ártalmatlanítása.</w:t>
      </w:r>
    </w:p>
  </w:footnote>
  <w:footnote w:id="2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3" w:history="1">
        <w:r>
          <w:rPr>
            <w:rStyle w:val="Hyperlink"/>
            <w:rFonts w:ascii="Times New Roman" w:hAnsi="Times New Roman"/>
          </w:rPr>
          <w:t>https://www.cepol.europa.eu/media/news/cepol-issues-fast-track-needs-analysis-impact-covid-19-law-enforcement-training</w:t>
        </w:r>
      </w:hyperlink>
    </w:p>
  </w:footnote>
  <w:footnote w:id="2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azaz a bírói hivatáshoz szükséges szakmai készségek és attitűd.</w:t>
      </w:r>
    </w:p>
  </w:footnote>
  <w:footnote w:id="2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color w:val="000000" w:themeColor="text1"/>
        </w:rPr>
        <w:t xml:space="preserve">Lásd az 5. lábjegyzetet és a </w:t>
      </w:r>
      <w:r>
        <w:rPr>
          <w:rFonts w:ascii="Times New Roman" w:hAnsi="Times New Roman"/>
        </w:rPr>
        <w:t xml:space="preserve">2020. évi jelentést; </w:t>
      </w:r>
      <w:hyperlink r:id="rId4" w:history="1">
        <w:r>
          <w:rPr>
            <w:rStyle w:val="Hyperlink"/>
            <w:rFonts w:ascii="Times New Roman" w:hAnsi="Times New Roman"/>
          </w:rPr>
          <w:t>https://ec.europa.eu/info/law/cross-border-cases/training-legal-practitioners-and-training-practices_hu</w:t>
        </w:r>
      </w:hyperlink>
    </w:p>
  </w:footnote>
  <w:footnote w:id="2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Az összes joghatóság érintett, a közigazgatási bíróságokat is beleértve.</w:t>
      </w:r>
    </w:p>
  </w:footnote>
  <w:footnote w:id="2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Lásd a Bizottság (COM(2013)172) közleményét.</w:t>
      </w:r>
    </w:p>
  </w:footnote>
  <w:footnote w:id="2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Lásd a C-404/15. és a C-659/15. PPU. sz. </w:t>
      </w:r>
      <w:r>
        <w:rPr>
          <w:rFonts w:ascii="Times New Roman" w:hAnsi="Times New Roman"/>
          <w:i/>
          <w:iCs/>
        </w:rPr>
        <w:t>Aranyosi és Căldăraru</w:t>
      </w:r>
      <w:r>
        <w:rPr>
          <w:rFonts w:ascii="Times New Roman" w:hAnsi="Times New Roman"/>
        </w:rPr>
        <w:t xml:space="preserve"> egyesített ügyekben 2016. április 5-én hozott ítéletet, a C-220/18. PPU. sz. </w:t>
      </w:r>
      <w:r>
        <w:rPr>
          <w:rFonts w:ascii="Times New Roman" w:hAnsi="Times New Roman"/>
          <w:i/>
          <w:iCs/>
        </w:rPr>
        <w:t>ML</w:t>
      </w:r>
      <w:r>
        <w:rPr>
          <w:rFonts w:ascii="Times New Roman" w:hAnsi="Times New Roman"/>
        </w:rPr>
        <w:t xml:space="preserve"> ügyben 2018. július 25-én hozott ítéletet és a C-128/18. sz. </w:t>
      </w:r>
      <w:r>
        <w:rPr>
          <w:rFonts w:ascii="Times New Roman" w:hAnsi="Times New Roman"/>
          <w:i/>
          <w:iCs/>
        </w:rPr>
        <w:t>Dorobantu</w:t>
      </w:r>
      <w:r>
        <w:rPr>
          <w:rFonts w:ascii="Times New Roman" w:hAnsi="Times New Roman"/>
        </w:rPr>
        <w:t xml:space="preserve"> ügyben 2019. október 15-én hozott ítéletet.</w:t>
      </w:r>
    </w:p>
  </w:footnote>
  <w:footnote w:id="28">
    <w:p>
      <w:pPr>
        <w:pStyle w:val="FootnoteText"/>
        <w:ind w:left="284" w:hanging="284"/>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tab/>
      </w:r>
      <w:r>
        <w:rPr>
          <w:rFonts w:ascii="Times New Roman" w:hAnsi="Times New Roman"/>
          <w:i/>
          <w:iCs/>
          <w:color w:val="000000" w:themeColor="text1"/>
        </w:rPr>
        <w:t>Az EU 2021–2025 közötti időszakra szóló kábítószer elleni programja és cselekvési terve</w:t>
      </w:r>
      <w:r>
        <w:rPr>
          <w:rFonts w:ascii="Times New Roman" w:hAnsi="Times New Roman"/>
          <w:color w:val="000000" w:themeColor="text1"/>
        </w:rPr>
        <w:t xml:space="preserve"> (COM(2020) 606).</w:t>
      </w:r>
    </w:p>
  </w:footnote>
  <w:footnote w:id="2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Az Európai Parlament és a Tanács 2008/52/EK irányelve (2008. május 21.) a polgári és kereskedelmi ügyekben végzett közvetítés egyes szempontjairól (HL L 136., 2008.5.24., 3. o.).</w:t>
      </w:r>
    </w:p>
  </w:footnote>
  <w:footnote w:id="3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A Tanács következtetései és cselekvési terv </w:t>
      </w:r>
      <w:r>
        <w:rPr>
          <w:rFonts w:ascii="Times New Roman" w:hAnsi="Times New Roman"/>
          <w:i/>
          <w:iCs/>
        </w:rPr>
        <w:t>az európai igazságügyi szakértői együttműködési térség létrehozására irányuló további lépésekről</w:t>
      </w:r>
      <w:r>
        <w:rPr>
          <w:rFonts w:ascii="Times New Roman" w:hAnsi="Times New Roman"/>
        </w:rPr>
        <w:t xml:space="preserve"> (10128/16).</w:t>
      </w:r>
    </w:p>
  </w:footnote>
  <w:footnote w:id="3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shd w:val="clear" w:color="auto" w:fill="FFFFFF"/>
        </w:rPr>
        <w:t>Az Európai Parlament és a Tanács (EU) 2015/848 rendelete (2015. május 20.) a fizetésképtelenségi eljárásról</w:t>
      </w:r>
      <w:r>
        <w:rPr>
          <w:rFonts w:ascii="Times New Roman" w:hAnsi="Times New Roman"/>
        </w:rPr>
        <w:t xml:space="preserve"> (</w:t>
      </w:r>
      <w:r>
        <w:rPr>
          <w:rFonts w:ascii="Times New Roman" w:hAnsi="Times New Roman"/>
          <w:color w:val="000000" w:themeColor="text1"/>
          <w:shd w:val="clear" w:color="auto" w:fill="FFFFFF"/>
        </w:rPr>
        <w:t>HL L 141., 2015.6.5., 19. o.) és</w:t>
      </w:r>
      <w:r>
        <w:rPr>
          <w:rFonts w:ascii="Times New Roman" w:hAnsi="Times New Roman"/>
        </w:rPr>
        <w:t xml:space="preserve"> az Európai Parlament és a Tanács (EU) 2019/1023 irányelve (2019. június 20.) a megelőző szerkezetátalakítási keretekről, az adósság alóli mentesítésről és az eltiltásokról, valamint a szerkezetátalakítási, fizetésképtelenségi és adósság alóli mentesítési eljárások hatékonyságának növelését célzó intézkedésekről, és az (EU) 2017/1132 irányelv módosításáról (Szerkezetátalakítási és fizetésképtelenségi irányelv) (HL L 172., 2019.6.26., 18. o.).</w:t>
      </w:r>
    </w:p>
  </w:footnote>
  <w:footnote w:id="3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Az Európai Parlament és a Tanács 2010. október 20-i, 2010/64/EU irányelve a büntetőeljárás során igénybe vehető tolmácsoláshoz és fordításhoz való jogról (HL L 280., 2010.10.26., 1. o.).</w:t>
      </w:r>
    </w:p>
  </w:footnote>
  <w:footnote w:id="3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Az ügyvédek képzésének nyomon követése során figyelembe fogják venni az adatgyűjtési nehézségeket.</w:t>
      </w:r>
    </w:p>
  </w:footnote>
  <w:footnote w:id="3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 Bizottság üdvözli az EJTN azon döntését, hogy képzéseit kiterjeszti a bírósági és ügyészségi alkalmazottakra is.</w:t>
      </w:r>
    </w:p>
  </w:footnote>
  <w:footnote w:id="3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Jelenlegi uniós tagok: Ausztria, Belgium, Bulgária, Csehország, Németország, Észtország, Spanyolország, Finnország, Franciaország, Horvátország, Írország, Olaszország, Luxemburg, Lettország, Hollandia, Lengyelország, Portugália, Szlovénia és Svédország.</w:t>
      </w:r>
    </w:p>
  </w:footnote>
  <w:footnote w:id="36">
    <w:p>
      <w:pPr>
        <w:pStyle w:val="FootnoteText"/>
        <w:ind w:left="284" w:hanging="284"/>
        <w:jc w:val="both"/>
      </w:pPr>
      <w:r>
        <w:rPr>
          <w:rStyle w:val="FootnoteReference"/>
          <w:rFonts w:ascii="Times New Roman" w:hAnsi="Times New Roman" w:cs="Times New Roman"/>
        </w:rPr>
        <w:footnoteRef/>
      </w:r>
      <w:r>
        <w:tab/>
      </w:r>
      <w:r>
        <w:rPr>
          <w:rFonts w:ascii="Times New Roman" w:hAnsi="Times New Roman"/>
        </w:rPr>
        <w:t>Mint pl. a virtuális jelenlétet biztosító technológiák: interaktív virtuális osztályterem; virtuális valóság: virtuális képzési környezet, melyhez digitális eszközökkel lehet hozzáférni; kiterjesztett valóság: számítógép által generált érzékelési információk segítségével kiterjesztett valóságos környezet; vegyes valóság: a valóság kibővítése virtuális elemekkel.</w:t>
      </w:r>
    </w:p>
  </w:footnote>
  <w:footnote w:id="3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Lásd az EJTN </w:t>
      </w:r>
      <w:r>
        <w:rPr>
          <w:rFonts w:ascii="Times New Roman" w:hAnsi="Times New Roman"/>
          <w:i/>
          <w:iCs/>
        </w:rPr>
        <w:t>Guidelines for the evaluation of judicial training practices</w:t>
      </w:r>
      <w:r>
        <w:rPr>
          <w:rFonts w:ascii="Times New Roman" w:hAnsi="Times New Roman"/>
        </w:rPr>
        <w:t xml:space="preserve"> (Útmutató az igazságügyi képzési gyakorlatok értékeléséhez) c. dokumentumát; </w:t>
      </w:r>
      <w:hyperlink r:id="rId5" w:history="1">
        <w:r>
          <w:rPr>
            <w:rStyle w:val="Hyperlink"/>
            <w:rFonts w:ascii="Times New Roman" w:hAnsi="Times New Roman"/>
          </w:rPr>
          <w:t>https://bit.ly/2UDmqtX</w:t>
        </w:r>
      </w:hyperlink>
    </w:p>
  </w:footnote>
  <w:footnote w:id="3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6" w:history="1">
        <w:r>
          <w:rPr>
            <w:rStyle w:val="Hyperlink"/>
            <w:rFonts w:ascii="Times New Roman" w:hAnsi="Times New Roman"/>
          </w:rPr>
          <w:t>https://e-justice.europa.eu/fileDownload.do?id=9f252d82-8ef4-4f6e-b562-372f9fa50096</w:t>
        </w:r>
      </w:hyperlink>
    </w:p>
  </w:footnote>
  <w:footnote w:id="3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7" w:history="1">
        <w:r>
          <w:rPr>
            <w:rStyle w:val="Hyperlink"/>
            <w:rFonts w:ascii="Times New Roman" w:hAnsi="Times New Roman"/>
          </w:rPr>
          <w:t>http://www.ejtn.eu/Methodologies--Resources/Training-Methods</w:t>
        </w:r>
      </w:hyperlink>
    </w:p>
  </w:footnote>
  <w:footnote w:id="4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8" w:history="1">
        <w:r>
          <w:rPr>
            <w:rStyle w:val="Hyperlink"/>
            <w:rFonts w:ascii="Times New Roman" w:hAnsi="Times New Roman"/>
          </w:rPr>
          <w:t>https://e-justice.europa.eu/content_european_training_platform-37158-en.do</w:t>
        </w:r>
      </w:hyperlink>
    </w:p>
  </w:footnote>
  <w:footnote w:id="4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 leendő vagy újonnan kinevezett gyakorló jogászoknak nyújtott képzés.</w:t>
      </w:r>
    </w:p>
  </w:footnote>
  <w:footnote w:id="4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Az uniós jog és jogorvoslati lehetőségek általános elvei, az EUB szerepe, hogyan működik az igazságügyi együttműködés, hol találhatóak meg a releváns információk és formanyomtatványok stb.</w:t>
      </w:r>
    </w:p>
  </w:footnote>
  <w:footnote w:id="43">
    <w:p>
      <w:pPr>
        <w:pStyle w:val="FootnoteText"/>
        <w:ind w:left="284" w:hanging="284"/>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tab/>
      </w:r>
      <w:r>
        <w:rPr>
          <w:rFonts w:ascii="Times New Roman" w:hAnsi="Times New Roman"/>
          <w:color w:val="000000" w:themeColor="text1"/>
        </w:rPr>
        <w:t>Az AIAKOS program keretében a különböző tagállamok leendő vagy újonnan kinevezett bírái közös képzési programokon vesznek részt egy igazságügyi képzési intézményben vagy bíróságokon/ügyészi hivatalokban, előmozdítva ezzel a különböző európai igazságügyi kultúrák és rendszerek kölcsönös megértését, és tudatosítva a résztvevőkben a (leendő) munkájuk európai dimenzióját.</w:t>
      </w:r>
    </w:p>
  </w:footnote>
  <w:footnote w:id="4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A Tanács következtetései: </w:t>
      </w:r>
      <w:r>
        <w:rPr>
          <w:rFonts w:ascii="Times New Roman" w:hAnsi="Times New Roman"/>
          <w:i/>
          <w:iCs/>
        </w:rPr>
        <w:t>„Jogi szakemberek képzése: az uniós vívmányok megszilárdításának egyik elengedhetetlen eszköze”</w:t>
      </w:r>
      <w:r>
        <w:rPr>
          <w:rFonts w:ascii="Times New Roman" w:hAnsi="Times New Roman"/>
        </w:rPr>
        <w:t xml:space="preserve"> (2014/C 443/04).</w:t>
      </w:r>
    </w:p>
  </w:footnote>
  <w:footnote w:id="4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9" w:history="1">
        <w:r>
          <w:rPr>
            <w:rStyle w:val="Hyperlink"/>
            <w:rFonts w:ascii="Times New Roman" w:hAnsi="Times New Roman"/>
          </w:rPr>
          <w:t>http://www.ejtn.eu/PageFiles/15756/Judicial%20Training%20Principles_EN.pdf</w:t>
        </w:r>
      </w:hyperlink>
      <w:r>
        <w:rPr>
          <w:rFonts w:ascii="Times New Roman" w:hAnsi="Times New Roman"/>
        </w:rPr>
        <w:t xml:space="preserve"> </w:t>
      </w:r>
    </w:p>
  </w:footnote>
  <w:footnote w:id="4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Ide tartozik az Európai Szociális Alap Pluszról (ESZA+) szóló európai parlamenti és tanácsi rendeletre irányuló bizottsági javaslat (COM(2018) 382), az „Erasmus” elnevezésű uniós oktatási, képzési, ifjúsági és sportprogram létrehozásáról szóló európai parlamenti és tanácsi rendeletre irányuló bizottsági javaslat (COM(2018) 367), a (2021–2027-es) Jogok és értékek program létrehozásáról szóló európai parlamenti és tanácsi rendeletre irányuló bizottsági javaslat (COM(2018) 383), a környezetvédelmi és éghajlat-politikai program (LIFE) létrehozásáról szóló európai parlamenti és tanácsi rendeletre irányuló bizottsági javaslat (COM(2018) 385), a csalás elleni uniós program létrehozásáról szóló európai parlamenti és tanácsi rendeletre irányuló bizottsági javaslat (COM(2018) 386) és az Előcsatlakozási Támogatási Eszköz (IPA III) létrehozásáról szóló európai parlamenti és tanácsi rendeletre irányuló bizottsági javaslat (COM(2018) 465).</w:t>
      </w:r>
    </w:p>
  </w:footnote>
  <w:footnote w:id="4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Lásd a 4. lábjegyzetet (44. oldal).</w:t>
      </w:r>
    </w:p>
  </w:footnote>
  <w:footnote w:id="48">
    <w:p>
      <w:pPr>
        <w:pStyle w:val="FootnoteText"/>
        <w:ind w:left="284" w:hanging="284"/>
        <w:jc w:val="both"/>
        <w:rPr>
          <w:rStyle w:val="FootnoteReference"/>
          <w:rFonts w:ascii="Times New Roman" w:hAnsi="Times New Roman" w:cs="Times New Roman"/>
          <w:sz w:val="22"/>
          <w:szCs w:val="22"/>
          <w:vertAlign w:val="baseline"/>
        </w:rPr>
      </w:pPr>
      <w:r>
        <w:rPr>
          <w:rStyle w:val="FootnoteReference"/>
          <w:rFonts w:ascii="Times New Roman" w:hAnsi="Times New Roman" w:cs="Times New Roman"/>
        </w:rPr>
        <w:footnoteRef/>
      </w:r>
      <w:r>
        <w:tab/>
      </w:r>
      <w:r>
        <w:rPr>
          <w:rFonts w:ascii="Times New Roman" w:hAnsi="Times New Roman"/>
        </w:rPr>
        <w:t>Közös közlemény: „</w:t>
      </w:r>
      <w:r>
        <w:rPr>
          <w:rFonts w:ascii="Times New Roman" w:hAnsi="Times New Roman"/>
          <w:i/>
          <w:iCs/>
        </w:rPr>
        <w:t>Az európai szomszédságpolitika felülvizsgálata</w:t>
      </w:r>
      <w:r>
        <w:rPr>
          <w:rFonts w:ascii="Times New Roman" w:hAnsi="Times New Roman"/>
        </w:rPr>
        <w:t>” (JOIN(2015) 50 final); „</w:t>
      </w:r>
      <w:r>
        <w:rPr>
          <w:rFonts w:ascii="Times New Roman" w:hAnsi="Times New Roman"/>
          <w:i/>
          <w:iCs/>
        </w:rPr>
        <w:t>A keleti partnerségre vonatkozó szakpolitika 2020 után: A reziliencia erősítése – a mindenki számára előnyös keleti partnerség</w:t>
      </w:r>
      <w:r>
        <w:rPr>
          <w:rFonts w:ascii="Times New Roman" w:hAnsi="Times New Roman"/>
        </w:rPr>
        <w:t>” (JOIN(2020) 7 final).</w:t>
      </w:r>
    </w:p>
  </w:footnote>
  <w:footnote w:id="4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 Bizottság közleménye: „</w:t>
      </w:r>
      <w:r>
        <w:rPr>
          <w:rFonts w:ascii="Times New Roman" w:hAnsi="Times New Roman"/>
          <w:i/>
          <w:iCs/>
        </w:rPr>
        <w:t>A csatlakozási folyamat javítása – hiteles uniós perspektíva a Nyugat-Balkán számára</w:t>
      </w:r>
      <w:r>
        <w:rPr>
          <w:rFonts w:ascii="Times New Roman" w:hAnsi="Times New Roman"/>
        </w:rPr>
        <w:t>” (COM(2020) 57 final).</w:t>
      </w:r>
    </w:p>
  </w:footnote>
  <w:footnote w:id="5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color w:val="000000"/>
        </w:rPr>
        <w:t>A Tanács következtetései a bővítésről, valamint a stabilizációs és társulási folyamatról (7002/20).</w:t>
      </w:r>
    </w:p>
  </w:footnote>
  <w:footnote w:id="51">
    <w:p>
      <w:pPr>
        <w:pStyle w:val="FootnoteText"/>
        <w:ind w:left="284" w:hanging="284"/>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tab/>
      </w:r>
      <w:r>
        <w:rPr>
          <w:rFonts w:ascii="Times New Roman" w:hAnsi="Times New Roman"/>
          <w:i/>
          <w:iCs/>
          <w:color w:val="000000" w:themeColor="text1"/>
        </w:rPr>
        <w:t>Az Afrikával kapcsolatos átfogó stratégia felé</w:t>
      </w:r>
      <w:r>
        <w:rPr>
          <w:rFonts w:ascii="Times New Roman" w:hAnsi="Times New Roman"/>
          <w:color w:val="000000" w:themeColor="text1"/>
        </w:rPr>
        <w:t xml:space="preserve"> (JOIN(2020) 4 final); </w:t>
      </w:r>
      <w:r>
        <w:rPr>
          <w:rFonts w:ascii="Times New Roman" w:hAnsi="Times New Roman"/>
          <w:i/>
          <w:iCs/>
          <w:color w:val="000000" w:themeColor="text1"/>
        </w:rPr>
        <w:t>Latin-Amerika és a Karib-térség; összefogás a közös jövő érdekében</w:t>
      </w:r>
      <w:r>
        <w:rPr>
          <w:rFonts w:ascii="Times New Roman" w:hAnsi="Times New Roman"/>
          <w:color w:val="000000" w:themeColor="text1"/>
        </w:rPr>
        <w:t xml:space="preserve"> (JOIN(2019) 6 final).</w:t>
      </w:r>
    </w:p>
  </w:footnote>
  <w:footnote w:id="5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Pl. </w:t>
      </w:r>
      <w:r>
        <w:rPr>
          <w:rFonts w:ascii="Times New Roman" w:hAnsi="Times New Roman"/>
          <w:i/>
          <w:iCs/>
        </w:rPr>
        <w:t>Training guide on the rule of law for judges and prosecutors</w:t>
      </w:r>
      <w:r>
        <w:rPr>
          <w:rFonts w:ascii="Times New Roman" w:hAnsi="Times New Roman"/>
        </w:rPr>
        <w:t xml:space="preserve"> (Képzési útmutató a jogállamisággal kapcsolatban bíráknak és ügyészeknek) (</w:t>
      </w:r>
      <w:hyperlink r:id="rId10" w:history="1">
        <w:r>
          <w:rPr>
            <w:rStyle w:val="Hyperlink"/>
            <w:rFonts w:ascii="Times New Roman" w:hAnsi="Times New Roman"/>
          </w:rPr>
          <w:t>http://www.ejtn.eu/PageFiles/16144/2019-056-Training%20guide-v5_FINAL.pdf</w:t>
        </w:r>
      </w:hyperlink>
      <w:r>
        <w:rPr>
          <w:rFonts w:ascii="Times New Roman" w:hAnsi="Times New Roman"/>
        </w:rPr>
        <w:t xml:space="preserve">); </w:t>
      </w:r>
      <w:r>
        <w:rPr>
          <w:rFonts w:ascii="Times New Roman" w:hAnsi="Times New Roman"/>
          <w:i/>
          <w:iCs/>
        </w:rPr>
        <w:t>Rule of law in Europe – perspectives from practitioners and academics</w:t>
      </w:r>
      <w:r>
        <w:rPr>
          <w:rFonts w:ascii="Times New Roman" w:hAnsi="Times New Roman"/>
        </w:rPr>
        <w:t xml:space="preserve"> (Jogállamiság Európában – gyakorló jogászok és jogtudósok szemszögéből) (</w:t>
      </w:r>
      <w:hyperlink r:id="rId11" w:history="1">
        <w:r>
          <w:rPr>
            <w:rStyle w:val="Hyperlink"/>
            <w:rFonts w:ascii="Times New Roman" w:hAnsi="Times New Roman"/>
          </w:rPr>
          <w:t>http://www.ejtn.eu/PageFiles/16144/2019-056-RoL%20Manual-170x240-WEB_FINAL.pdf</w:t>
        </w:r>
      </w:hyperlink>
      <w:r>
        <w:rPr>
          <w:rFonts w:ascii="Times New Roman" w:hAnsi="Times New Roman"/>
        </w:rPr>
        <w:t xml:space="preserve">), </w:t>
      </w:r>
      <w:r>
        <w:rPr>
          <w:rFonts w:ascii="Times New Roman" w:hAnsi="Times New Roman"/>
          <w:i/>
          <w:iCs/>
        </w:rPr>
        <w:t>EU environmental law training package</w:t>
      </w:r>
      <w:r>
        <w:rPr>
          <w:rFonts w:ascii="Times New Roman" w:hAnsi="Times New Roman"/>
        </w:rPr>
        <w:t xml:space="preserve"> (Az EU környezetvédelmi joga – képzési csomag) (</w:t>
      </w:r>
      <w:hyperlink r:id="rId12" w:history="1">
        <w:r>
          <w:rPr>
            <w:rStyle w:val="Hyperlink"/>
            <w:rFonts w:ascii="Times New Roman" w:hAnsi="Times New Roman"/>
          </w:rPr>
          <w:t>https://ec.europa.eu/environment/legal/law/training_package.htm</w:t>
        </w:r>
      </w:hyperlink>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9"/>
    <w:multiLevelType w:val="singleLevel"/>
    <w:tmpl w:val="E1F2BEC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535399"/>
    <w:multiLevelType w:val="hybridMultilevel"/>
    <w:tmpl w:val="420888FE"/>
    <w:lvl w:ilvl="0" w:tplc="B0BA521A">
      <w:start w:val="1"/>
      <w:numFmt w:val="decimal"/>
      <w:lvlText w:val="4.%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nsid w:val="03492CBB"/>
    <w:multiLevelType w:val="hybridMultilevel"/>
    <w:tmpl w:val="087AA2F8"/>
    <w:lvl w:ilvl="0" w:tplc="226CD0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900F7"/>
    <w:multiLevelType w:val="multilevel"/>
    <w:tmpl w:val="49106B6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0E713DC6"/>
    <w:multiLevelType w:val="multilevel"/>
    <w:tmpl w:val="2770806E"/>
    <w:lvl w:ilvl="0">
      <w:start w:val="1"/>
      <w:numFmt w:val="decimal"/>
      <w:lvlText w:val="%1."/>
      <w:lvlJc w:val="left"/>
      <w:pPr>
        <w:ind w:left="720" w:hanging="360"/>
      </w:pPr>
    </w:lvl>
    <w:lvl w:ilvl="1">
      <w:start w:val="1"/>
      <w:numFmt w:val="decimal"/>
      <w:isLgl/>
      <w:lvlText w:val="%1.%2."/>
      <w:lvlJc w:val="left"/>
      <w:pPr>
        <w:ind w:left="780" w:hanging="4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nsid w:val="12F2747C"/>
    <w:multiLevelType w:val="hybridMultilevel"/>
    <w:tmpl w:val="920652E2"/>
    <w:lvl w:ilvl="0" w:tplc="F7A2C6AC">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F0F1B"/>
    <w:multiLevelType w:val="hybridMultilevel"/>
    <w:tmpl w:val="1366A452"/>
    <w:lvl w:ilvl="0" w:tplc="080C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8">
    <w:nsid w:val="1A6F476E"/>
    <w:multiLevelType w:val="hybridMultilevel"/>
    <w:tmpl w:val="1868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53AA8"/>
    <w:multiLevelType w:val="hybridMultilevel"/>
    <w:tmpl w:val="8828E3E8"/>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nsid w:val="212120BD"/>
    <w:multiLevelType w:val="hybridMultilevel"/>
    <w:tmpl w:val="7458D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236B69C9"/>
    <w:multiLevelType w:val="hybridMultilevel"/>
    <w:tmpl w:val="1640D2E4"/>
    <w:lvl w:ilvl="0" w:tplc="92C2ADE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5A96FAA"/>
    <w:multiLevelType w:val="hybridMultilevel"/>
    <w:tmpl w:val="2592A2FE"/>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8DFDF8"/>
    <w:multiLevelType w:val="multilevel"/>
    <w:tmpl w:val="FAE01C1E"/>
    <w:name w:val="ListBullet2Numbering"/>
    <w:lvl w:ilvl="0">
      <w:start w:val="1"/>
      <w:numFmt w:val="bullet"/>
      <w:pStyle w:val="ListBullet2"/>
      <w:lvlText w:val=""/>
      <w:lvlJc w:val="left"/>
      <w:pPr>
        <w:tabs>
          <w:tab w:val="num" w:pos="284"/>
        </w:tabs>
        <w:ind w:left="284" w:hanging="284"/>
      </w:pPr>
      <w:rPr>
        <w:rFonts w:ascii="Symbol" w:hAnsi="Symbol"/>
      </w:rPr>
    </w:lvl>
    <w:lvl w:ilvl="1">
      <w:start w:val="1"/>
      <w:numFmt w:val="bullet"/>
      <w:pStyle w:val="ListBullet2Level2"/>
      <w:lvlText w:val=""/>
      <w:lvlJc w:val="left"/>
      <w:pPr>
        <w:tabs>
          <w:tab w:val="num" w:pos="567"/>
        </w:tabs>
        <w:ind w:left="567" w:hanging="283"/>
      </w:pPr>
      <w:rPr>
        <w:rFonts w:ascii="Symbol" w:hAnsi="Symbol"/>
      </w:rPr>
    </w:lvl>
    <w:lvl w:ilvl="2">
      <w:start w:val="1"/>
      <w:numFmt w:val="bullet"/>
      <w:pStyle w:val="ListBullet2Level3"/>
      <w:lvlText w:val=""/>
      <w:lvlJc w:val="left"/>
      <w:pPr>
        <w:tabs>
          <w:tab w:val="num" w:pos="851"/>
        </w:tabs>
        <w:ind w:left="851" w:hanging="284"/>
      </w:pPr>
      <w:rPr>
        <w:rFonts w:ascii="Symbol" w:hAnsi="Symbol"/>
      </w:rPr>
    </w:lvl>
    <w:lvl w:ilvl="3">
      <w:start w:val="1"/>
      <w:numFmt w:val="bullet"/>
      <w:pStyle w:val="ListBullet2Level4"/>
      <w:lvlText w:val=""/>
      <w:lvlJc w:val="left"/>
      <w:pPr>
        <w:tabs>
          <w:tab w:val="num" w:pos="1134"/>
        </w:tabs>
        <w:ind w:left="1134"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5F66487"/>
    <w:multiLevelType w:val="hybridMultilevel"/>
    <w:tmpl w:val="0D8E7E7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371965CB"/>
    <w:multiLevelType w:val="hybridMultilevel"/>
    <w:tmpl w:val="A926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6C4029"/>
    <w:multiLevelType w:val="hybridMultilevel"/>
    <w:tmpl w:val="2C82CF0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8">
    <w:nsid w:val="3D7C7450"/>
    <w:multiLevelType w:val="hybridMultilevel"/>
    <w:tmpl w:val="877AC158"/>
    <w:lvl w:ilvl="0" w:tplc="DEE81D76">
      <w:start w:val="1"/>
      <w:numFmt w:val="decimal"/>
      <w:lvlText w:val="2.%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nsid w:val="41261B73"/>
    <w:multiLevelType w:val="hybridMultilevel"/>
    <w:tmpl w:val="0F962A12"/>
    <w:lvl w:ilvl="0" w:tplc="A7E81F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nsid w:val="47BF37D6"/>
    <w:multiLevelType w:val="hybridMultilevel"/>
    <w:tmpl w:val="CB88DD9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D95012"/>
    <w:multiLevelType w:val="hybridMultilevel"/>
    <w:tmpl w:val="F0801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027F2A"/>
    <w:multiLevelType w:val="hybridMultilevel"/>
    <w:tmpl w:val="45EE12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0C0345"/>
    <w:multiLevelType w:val="hybridMultilevel"/>
    <w:tmpl w:val="D4D45E7E"/>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6FC2DD0"/>
    <w:multiLevelType w:val="hybridMultilevel"/>
    <w:tmpl w:val="87C6427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E16B36"/>
    <w:multiLevelType w:val="hybridMultilevel"/>
    <w:tmpl w:val="A41A22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75E813EE"/>
    <w:multiLevelType w:val="hybridMultilevel"/>
    <w:tmpl w:val="67CA4EC2"/>
    <w:lvl w:ilvl="0" w:tplc="382674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65145E"/>
    <w:multiLevelType w:val="multilevel"/>
    <w:tmpl w:val="D28CD5D0"/>
    <w:lvl w:ilvl="0">
      <w:start w:val="1"/>
      <w:numFmt w:val="decimal"/>
      <w:lvlText w:val="%1."/>
      <w:lvlJc w:val="left"/>
      <w:pPr>
        <w:tabs>
          <w:tab w:val="num" w:pos="482"/>
        </w:tabs>
        <w:ind w:left="482" w:hanging="482"/>
      </w:pPr>
    </w:lvl>
    <w:lvl w:ilvl="1">
      <w:start w:val="1"/>
      <w:numFmt w:val="decimal"/>
      <w:lvlText w:val="%1.%2."/>
      <w:lvlJc w:val="left"/>
      <w:pPr>
        <w:tabs>
          <w:tab w:val="num" w:pos="1077"/>
        </w:tabs>
        <w:ind w:left="1077" w:hanging="601"/>
      </w:pPr>
    </w:lvl>
    <w:lvl w:ilvl="2">
      <w:start w:val="1"/>
      <w:numFmt w:val="decimal"/>
      <w:lvlText w:val="%1.%2.%3."/>
      <w:lvlJc w:val="left"/>
      <w:pPr>
        <w:tabs>
          <w:tab w:val="num" w:pos="1922"/>
        </w:tabs>
        <w:ind w:left="1922" w:hanging="839"/>
      </w:pPr>
    </w:lvl>
    <w:lvl w:ilvl="3">
      <w:start w:val="1"/>
      <w:numFmt w:val="decimal"/>
      <w:lvlText w:val="%1.%2.%3.%4."/>
      <w:lvlJc w:val="left"/>
      <w:pPr>
        <w:tabs>
          <w:tab w:val="num" w:pos="2880"/>
        </w:tabs>
        <w:ind w:left="2880" w:hanging="958"/>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29">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28"/>
  </w:num>
  <w:num w:numId="2">
    <w:abstractNumId w:val="13"/>
  </w:num>
  <w:num w:numId="3">
    <w:abstractNumId w:val="29"/>
  </w:num>
  <w:num w:numId="4">
    <w:abstractNumId w:val="20"/>
    <w:lvlOverride w:ilvl="0">
      <w:startOverride w:val="1"/>
    </w:lvlOverride>
  </w:num>
  <w:num w:numId="5">
    <w:abstractNumId w:val="1"/>
  </w:num>
  <w:num w:numId="6">
    <w:abstractNumId w:val="0"/>
  </w:num>
  <w:num w:numId="7">
    <w:abstractNumId w:val="15"/>
  </w:num>
  <w:num w:numId="8">
    <w:abstractNumId w:val="26"/>
  </w:num>
  <w:num w:numId="9">
    <w:abstractNumId w:val="8"/>
  </w:num>
  <w:num w:numId="10">
    <w:abstractNumId w:val="16"/>
  </w:num>
  <w:num w:numId="11">
    <w:abstractNumId w:val="14"/>
  </w:num>
  <w:num w:numId="12">
    <w:abstractNumId w:val="12"/>
  </w:num>
  <w:num w:numId="13">
    <w:abstractNumId w:val="5"/>
  </w:num>
  <w:num w:numId="14">
    <w:abstractNumId w:val="7"/>
  </w:num>
  <w:num w:numId="15">
    <w:abstractNumId w:val="24"/>
  </w:num>
  <w:num w:numId="16">
    <w:abstractNumId w:val="10"/>
  </w:num>
  <w:num w:numId="17">
    <w:abstractNumId w:val="19"/>
  </w:num>
  <w:num w:numId="18">
    <w:abstractNumId w:val="21"/>
  </w:num>
  <w:num w:numId="19">
    <w:abstractNumId w:val="28"/>
  </w:num>
  <w:num w:numId="20">
    <w:abstractNumId w:val="13"/>
  </w:num>
  <w:num w:numId="21">
    <w:abstractNumId w:val="13"/>
  </w:num>
  <w:num w:numId="22">
    <w:abstractNumId w:val="13"/>
  </w:num>
  <w:num w:numId="23">
    <w:abstractNumId w:val="28"/>
  </w:num>
  <w:num w:numId="24">
    <w:abstractNumId w:val="13"/>
  </w:num>
  <w:num w:numId="25">
    <w:abstractNumId w:val="13"/>
  </w:num>
  <w:num w:numId="26">
    <w:abstractNumId w:val="13"/>
  </w:num>
  <w:num w:numId="27">
    <w:abstractNumId w:val="13"/>
  </w:num>
  <w:num w:numId="28">
    <w:abstractNumId w:val="28"/>
  </w:num>
  <w:num w:numId="29">
    <w:abstractNumId w:val="28"/>
  </w:num>
  <w:num w:numId="30">
    <w:abstractNumId w:val="28"/>
  </w:num>
  <w:num w:numId="31">
    <w:abstractNumId w:val="28"/>
  </w:num>
  <w:num w:numId="32">
    <w:abstractNumId w:val="28"/>
  </w:num>
  <w:num w:numId="33">
    <w:abstractNumId w:val="28"/>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28"/>
  </w:num>
  <w:num w:numId="41">
    <w:abstractNumId w:val="28"/>
  </w:num>
  <w:num w:numId="42">
    <w:abstractNumId w:val="28"/>
  </w:num>
  <w:num w:numId="43">
    <w:abstractNumId w:val="28"/>
  </w:num>
  <w:num w:numId="44">
    <w:abstractNumId w:val="28"/>
  </w:num>
  <w:num w:numId="45">
    <w:abstractNumId w:val="28"/>
  </w:num>
  <w:num w:numId="46">
    <w:abstractNumId w:val="28"/>
  </w:num>
  <w:num w:numId="47">
    <w:abstractNumId w:val="28"/>
  </w:num>
  <w:num w:numId="48">
    <w:abstractNumId w:val="28"/>
  </w:num>
  <w:num w:numId="49">
    <w:abstractNumId w:val="28"/>
  </w:num>
  <w:num w:numId="50">
    <w:abstractNumId w:val="13"/>
  </w:num>
  <w:num w:numId="51">
    <w:abstractNumId w:val="13"/>
  </w:num>
  <w:num w:numId="52">
    <w:abstractNumId w:val="13"/>
  </w:num>
  <w:num w:numId="53">
    <w:abstractNumId w:val="13"/>
  </w:num>
  <w:num w:numId="54">
    <w:abstractNumId w:val="13"/>
  </w:num>
  <w:num w:numId="55">
    <w:abstractNumId w:val="28"/>
  </w:num>
  <w:num w:numId="56">
    <w:abstractNumId w:val="28"/>
  </w:num>
  <w:num w:numId="57">
    <w:abstractNumId w:val="13"/>
  </w:num>
  <w:num w:numId="58">
    <w:abstractNumId w:val="13"/>
  </w:num>
  <w:num w:numId="59">
    <w:abstractNumId w:val="6"/>
  </w:num>
  <w:num w:numId="60">
    <w:abstractNumId w:val="25"/>
  </w:num>
  <w:num w:numId="61">
    <w:abstractNumId w:val="17"/>
  </w:num>
  <w:num w:numId="62">
    <w:abstractNumId w:val="13"/>
  </w:num>
  <w:num w:numId="63">
    <w:abstractNumId w:val="13"/>
  </w:num>
  <w:num w:numId="64">
    <w:abstractNumId w:val="13"/>
  </w:num>
  <w:num w:numId="65">
    <w:abstractNumId w:val="13"/>
  </w:num>
  <w:num w:numId="66">
    <w:abstractNumId w:val="13"/>
  </w:num>
  <w:num w:numId="67">
    <w:abstractNumId w:val="28"/>
  </w:num>
  <w:num w:numId="68">
    <w:abstractNumId w:val="27"/>
  </w:num>
  <w:num w:numId="69">
    <w:abstractNumId w:val="9"/>
  </w:num>
  <w:num w:numId="70">
    <w:abstractNumId w:val="13"/>
  </w:num>
  <w:num w:numId="71">
    <w:abstractNumId w:val="4"/>
  </w:num>
  <w:num w:numId="72">
    <w:abstractNumId w:val="11"/>
  </w:num>
  <w:num w:numId="73">
    <w:abstractNumId w:val="3"/>
  </w:num>
  <w:num w:numId="74">
    <w:abstractNumId w:val="13"/>
  </w:num>
  <w:num w:numId="75">
    <w:abstractNumId w:val="18"/>
  </w:num>
  <w:num w:numId="76">
    <w:abstractNumId w:val="2"/>
  </w:num>
  <w:num w:numId="77">
    <w:abstractNumId w:val="23"/>
  </w:num>
  <w:num w:numId="78">
    <w:abstractNumId w:val="22"/>
  </w:num>
  <w:num w:numId="79">
    <w:abstractNumId w:val="13"/>
  </w:num>
  <w:num w:numId="80">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1EE9B8B-E29D-46DF-A642-0C7F1CDB78E5"/>
    <w:docVar w:name="LW_COVERPAGE_TYPE" w:val="1"/>
    <w:docVar w:name="LW_CROSSREFERENCE" w:val="&lt;UNUSED&gt;"/>
    <w:docVar w:name="LW_DocType" w:val="NORMAL"/>
    <w:docVar w:name="LW_EMISSION" w:val="2020.12.2."/>
    <w:docVar w:name="LW_EMISSION_ISODATE" w:val="2020-12-02"/>
    <w:docVar w:name="LW_EMISSION_LOCATION" w:val="BRX"/>
    <w:docVar w:name="LW_EMISSION_PREFIX" w:val="Brüsszel, "/>
    <w:docVar w:name="LW_EMISSION_SUFFIX" w:val=" "/>
    <w:docVar w:name="LW_ID_DOCTYPE_NONLW" w:val="CP-014"/>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20) 7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 jogérvényesülés biztosítása az EU-ban \u8211? A 2021 és 2024 közötti id\u337?szakra szóló európai igazságügyi képzési stratégia"/>
    <w:docVar w:name="LW_TYPE.DOC.CP" w:val="A BIZOTTSÁG KÖZLEMÉNYE AZ EURÓPAI PARLAMENTNEK, A TANÁCSNAK, AZ EURÓPAI GAZDASÁGI ÉS SZOCIÁLIS BIZOTTSÁGNAK ÉS A RÉGIÓK BIZOTTSÁGÁNAK"/>
    <w:docVar w:name="LW_TYPE.DOC.CP.USERTEXT" w:val="&lt;EMPTY&gt;"/>
    <w:docVar w:name="Stamp" w:val="\\dossiers.dgt.cec.eu.int\dossiers\JUST\JUST-2020-05374\JUST-2020-05374-00-00-EN-EDT-00.202010131249210753073.DOCX"/>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0" w:unhideWhenUsed="0" w:qFormat="1"/>
    <w:lsdException w:name="heading 2" w:uiPriority="90" w:qFormat="1"/>
    <w:lsdException w:name="heading 3" w:uiPriority="90" w:qFormat="1"/>
    <w:lsdException w:name="heading 4" w:uiPriority="9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Text1"/>
    <w:link w:val="Heading1Char"/>
    <w:uiPriority w:val="90"/>
    <w:qFormat/>
    <w:pPr>
      <w:keepNext/>
      <w:tabs>
        <w:tab w:val="num" w:pos="482"/>
      </w:tabs>
      <w:spacing w:before="240" w:after="240" w:line="240" w:lineRule="auto"/>
      <w:ind w:left="482" w:hanging="482"/>
      <w:jc w:val="both"/>
      <w:outlineLvl w:val="0"/>
    </w:pPr>
    <w:rPr>
      <w:rFonts w:ascii="Times New Roman" w:eastAsia="Times New Roman" w:hAnsi="Times New Roman" w:cs="Times New Roman"/>
      <w:b/>
      <w:smallCaps/>
      <w:sz w:val="24"/>
      <w:szCs w:val="20"/>
      <w:lang w:eastAsia="fr-BE"/>
    </w:rPr>
  </w:style>
  <w:style w:type="paragraph" w:styleId="Heading2">
    <w:name w:val="heading 2"/>
    <w:basedOn w:val="Normal"/>
    <w:next w:val="Normal"/>
    <w:link w:val="Heading2Char"/>
    <w:uiPriority w:val="90"/>
    <w:qFormat/>
    <w:pPr>
      <w:keepNext/>
      <w:tabs>
        <w:tab w:val="num" w:pos="1077"/>
      </w:tabs>
      <w:spacing w:after="240" w:line="240" w:lineRule="auto"/>
      <w:ind w:left="1077" w:hanging="601"/>
      <w:jc w:val="both"/>
      <w:outlineLvl w:val="1"/>
    </w:pPr>
    <w:rPr>
      <w:rFonts w:ascii="Times New Roman" w:eastAsia="Times New Roman" w:hAnsi="Times New Roman" w:cs="Times New Roman"/>
      <w:b/>
      <w:sz w:val="24"/>
      <w:szCs w:val="20"/>
      <w:lang w:eastAsia="fr-BE"/>
    </w:rPr>
  </w:style>
  <w:style w:type="paragraph" w:styleId="Heading3">
    <w:name w:val="heading 3"/>
    <w:basedOn w:val="Normal"/>
    <w:next w:val="Normal"/>
    <w:link w:val="Heading3Char"/>
    <w:uiPriority w:val="90"/>
    <w:qFormat/>
    <w:pPr>
      <w:keepNext/>
      <w:tabs>
        <w:tab w:val="num" w:pos="1922"/>
      </w:tabs>
      <w:spacing w:after="240" w:line="240" w:lineRule="auto"/>
      <w:ind w:left="1922" w:hanging="839"/>
      <w:jc w:val="both"/>
      <w:outlineLvl w:val="2"/>
    </w:pPr>
    <w:rPr>
      <w:rFonts w:ascii="Times New Roman" w:eastAsia="Times New Roman" w:hAnsi="Times New Roman" w:cs="Times New Roman"/>
      <w:i/>
      <w:sz w:val="24"/>
      <w:szCs w:val="20"/>
      <w:lang w:eastAsia="fr-BE"/>
    </w:rPr>
  </w:style>
  <w:style w:type="paragraph" w:styleId="Heading4">
    <w:name w:val="heading 4"/>
    <w:basedOn w:val="Normal"/>
    <w:next w:val="Normal"/>
    <w:link w:val="Heading4Char"/>
    <w:uiPriority w:val="90"/>
    <w:qFormat/>
    <w:pPr>
      <w:keepNext/>
      <w:tabs>
        <w:tab w:val="num" w:pos="2880"/>
      </w:tabs>
      <w:spacing w:after="240" w:line="240" w:lineRule="auto"/>
      <w:ind w:left="2880" w:hanging="958"/>
      <w:jc w:val="both"/>
      <w:outlineLvl w:val="3"/>
    </w:pPr>
    <w:rPr>
      <w:rFonts w:ascii="Times New Roman" w:eastAsia="Times New Roman" w:hAnsi="Times New Roman" w:cs="Times New Roman"/>
      <w:sz w:val="24"/>
      <w:szCs w:val="20"/>
      <w:lang w:eastAsia="fr-BE"/>
    </w:rPr>
  </w:style>
  <w:style w:type="paragraph" w:styleId="Heading5">
    <w:name w:val="heading 5"/>
    <w:basedOn w:val="Normal"/>
    <w:next w:val="Normal"/>
    <w:link w:val="Heading5Char"/>
    <w:semiHidden/>
    <w:pPr>
      <w:keepNext/>
      <w:tabs>
        <w:tab w:val="num" w:pos="2880"/>
      </w:tabs>
      <w:spacing w:after="240" w:line="240" w:lineRule="auto"/>
      <w:ind w:left="3838" w:hanging="958"/>
      <w:jc w:val="both"/>
      <w:outlineLvl w:val="4"/>
    </w:pPr>
    <w:rPr>
      <w:rFonts w:ascii="Times New Roman" w:eastAsia="Times New Roman" w:hAnsi="Times New Roman" w:cs="Times New Roman"/>
      <w:sz w:val="24"/>
      <w:szCs w:val="20"/>
      <w:lang w:eastAsia="fr-BE"/>
    </w:rPr>
  </w:style>
  <w:style w:type="paragraph" w:styleId="Heading6">
    <w:name w:val="heading 6"/>
    <w:basedOn w:val="Normal"/>
    <w:next w:val="Normal"/>
    <w:link w:val="Heading6Char"/>
    <w:semiHidden/>
    <w:pPr>
      <w:keepNext/>
      <w:tabs>
        <w:tab w:val="num" w:pos="2880"/>
      </w:tabs>
      <w:spacing w:after="240" w:line="240" w:lineRule="auto"/>
      <w:ind w:left="3838" w:hanging="958"/>
      <w:jc w:val="both"/>
      <w:outlineLvl w:val="5"/>
    </w:pPr>
    <w:rPr>
      <w:rFonts w:ascii="Times New Roman" w:eastAsia="Times New Roman" w:hAnsi="Times New Roman" w:cs="Times New Roman"/>
      <w:sz w:val="24"/>
      <w:szCs w:val="20"/>
      <w:lang w:eastAsia="fr-BE"/>
    </w:rPr>
  </w:style>
  <w:style w:type="paragraph" w:styleId="Heading7">
    <w:name w:val="heading 7"/>
    <w:basedOn w:val="Normal"/>
    <w:next w:val="Normal"/>
    <w:link w:val="Heading7Char"/>
    <w:semiHidden/>
    <w:pPr>
      <w:keepNext/>
      <w:tabs>
        <w:tab w:val="num" w:pos="2880"/>
      </w:tabs>
      <w:spacing w:after="240" w:line="240" w:lineRule="auto"/>
      <w:ind w:left="3838" w:hanging="958"/>
      <w:jc w:val="both"/>
      <w:outlineLvl w:val="6"/>
    </w:pPr>
    <w:rPr>
      <w:rFonts w:ascii="Times New Roman" w:eastAsia="Times New Roman" w:hAnsi="Times New Roman" w:cs="Times New Roman"/>
      <w:sz w:val="24"/>
      <w:szCs w:val="20"/>
      <w:lang w:eastAsia="fr-BE"/>
    </w:rPr>
  </w:style>
  <w:style w:type="paragraph" w:styleId="Heading8">
    <w:name w:val="heading 8"/>
    <w:basedOn w:val="Normal"/>
    <w:next w:val="Normal"/>
    <w:link w:val="Heading8Char"/>
    <w:semiHidden/>
    <w:pPr>
      <w:keepNext/>
      <w:tabs>
        <w:tab w:val="num" w:pos="2880"/>
      </w:tabs>
      <w:spacing w:after="240" w:line="240" w:lineRule="auto"/>
      <w:ind w:left="3838" w:hanging="958"/>
      <w:jc w:val="both"/>
      <w:outlineLvl w:val="7"/>
    </w:pPr>
    <w:rPr>
      <w:rFonts w:ascii="Times New Roman" w:eastAsia="Times New Roman" w:hAnsi="Times New Roman" w:cs="Times New Roman"/>
      <w:sz w:val="24"/>
      <w:szCs w:val="20"/>
      <w:lang w:eastAsia="fr-BE"/>
    </w:rPr>
  </w:style>
  <w:style w:type="paragraph" w:styleId="Heading9">
    <w:name w:val="heading 9"/>
    <w:basedOn w:val="Normal"/>
    <w:next w:val="Normal"/>
    <w:link w:val="Heading9Char"/>
    <w:semiHidden/>
    <w:pPr>
      <w:keepNext/>
      <w:tabs>
        <w:tab w:val="num" w:pos="2880"/>
      </w:tabs>
      <w:spacing w:after="240" w:line="240" w:lineRule="auto"/>
      <w:ind w:left="3838" w:hanging="958"/>
      <w:jc w:val="both"/>
      <w:outlineLvl w:val="8"/>
    </w:pPr>
    <w:rPr>
      <w:rFonts w:ascii="Times New Roman" w:eastAsia="Times New Roman" w:hAnsi="Times New Roman" w:cs="Times New Roman"/>
      <w:sz w:val="24"/>
      <w:szCs w:val="20"/>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0"/>
    <w:rPr>
      <w:rFonts w:ascii="Times New Roman" w:eastAsia="Times New Roman" w:hAnsi="Times New Roman" w:cs="Times New Roman"/>
      <w:b/>
      <w:smallCaps/>
      <w:sz w:val="24"/>
      <w:szCs w:val="20"/>
      <w:lang w:val="hu-HU" w:eastAsia="fr-BE"/>
    </w:rPr>
  </w:style>
  <w:style w:type="character" w:customStyle="1" w:styleId="Heading2Char">
    <w:name w:val="Heading 2 Char"/>
    <w:basedOn w:val="DefaultParagraphFont"/>
    <w:link w:val="Heading2"/>
    <w:uiPriority w:val="90"/>
    <w:rPr>
      <w:rFonts w:ascii="Times New Roman" w:eastAsia="Times New Roman" w:hAnsi="Times New Roman" w:cs="Times New Roman"/>
      <w:b/>
      <w:sz w:val="24"/>
      <w:szCs w:val="20"/>
      <w:lang w:val="hu-HU" w:eastAsia="fr-BE"/>
    </w:rPr>
  </w:style>
  <w:style w:type="character" w:customStyle="1" w:styleId="Heading3Char">
    <w:name w:val="Heading 3 Char"/>
    <w:basedOn w:val="DefaultParagraphFont"/>
    <w:link w:val="Heading3"/>
    <w:uiPriority w:val="90"/>
    <w:rPr>
      <w:rFonts w:ascii="Times New Roman" w:eastAsia="Times New Roman" w:hAnsi="Times New Roman" w:cs="Times New Roman"/>
      <w:i/>
      <w:sz w:val="24"/>
      <w:szCs w:val="20"/>
      <w:lang w:val="hu-HU" w:eastAsia="fr-BE"/>
    </w:rPr>
  </w:style>
  <w:style w:type="character" w:customStyle="1" w:styleId="Heading4Char">
    <w:name w:val="Heading 4 Char"/>
    <w:basedOn w:val="DefaultParagraphFont"/>
    <w:link w:val="Heading4"/>
    <w:uiPriority w:val="90"/>
    <w:rPr>
      <w:rFonts w:ascii="Times New Roman" w:eastAsia="Times New Roman" w:hAnsi="Times New Roman" w:cs="Times New Roman"/>
      <w:sz w:val="24"/>
      <w:szCs w:val="20"/>
      <w:lang w:val="hu-HU" w:eastAsia="fr-BE"/>
    </w:rPr>
  </w:style>
  <w:style w:type="character" w:customStyle="1" w:styleId="Heading5Char">
    <w:name w:val="Heading 5 Char"/>
    <w:basedOn w:val="DefaultParagraphFont"/>
    <w:link w:val="Heading5"/>
    <w:semiHidden/>
    <w:rPr>
      <w:rFonts w:ascii="Times New Roman" w:eastAsia="Times New Roman" w:hAnsi="Times New Roman" w:cs="Times New Roman"/>
      <w:sz w:val="24"/>
      <w:szCs w:val="20"/>
      <w:lang w:val="hu-HU" w:eastAsia="fr-BE"/>
    </w:rPr>
  </w:style>
  <w:style w:type="character" w:customStyle="1" w:styleId="Heading6Char">
    <w:name w:val="Heading 6 Char"/>
    <w:basedOn w:val="DefaultParagraphFont"/>
    <w:link w:val="Heading6"/>
    <w:semiHidden/>
    <w:rPr>
      <w:rFonts w:ascii="Times New Roman" w:eastAsia="Times New Roman" w:hAnsi="Times New Roman" w:cs="Times New Roman"/>
      <w:sz w:val="24"/>
      <w:szCs w:val="20"/>
      <w:lang w:val="hu-HU" w:eastAsia="fr-BE"/>
    </w:rPr>
  </w:style>
  <w:style w:type="character" w:customStyle="1" w:styleId="Heading7Char">
    <w:name w:val="Heading 7 Char"/>
    <w:basedOn w:val="DefaultParagraphFont"/>
    <w:link w:val="Heading7"/>
    <w:semiHidden/>
    <w:rPr>
      <w:rFonts w:ascii="Times New Roman" w:eastAsia="Times New Roman" w:hAnsi="Times New Roman" w:cs="Times New Roman"/>
      <w:sz w:val="24"/>
      <w:szCs w:val="20"/>
      <w:lang w:val="hu-HU" w:eastAsia="fr-BE"/>
    </w:rPr>
  </w:style>
  <w:style w:type="character" w:customStyle="1" w:styleId="Heading8Char">
    <w:name w:val="Heading 8 Char"/>
    <w:basedOn w:val="DefaultParagraphFont"/>
    <w:link w:val="Heading8"/>
    <w:semiHidden/>
    <w:rPr>
      <w:rFonts w:ascii="Times New Roman" w:eastAsia="Times New Roman" w:hAnsi="Times New Roman" w:cs="Times New Roman"/>
      <w:sz w:val="24"/>
      <w:szCs w:val="20"/>
      <w:lang w:val="hu-HU" w:eastAsia="fr-BE"/>
    </w:rPr>
  </w:style>
  <w:style w:type="character" w:customStyle="1" w:styleId="Heading9Char">
    <w:name w:val="Heading 9 Char"/>
    <w:basedOn w:val="DefaultParagraphFont"/>
    <w:link w:val="Heading9"/>
    <w:semiHidden/>
    <w:rPr>
      <w:rFonts w:ascii="Times New Roman" w:eastAsia="Times New Roman" w:hAnsi="Times New Roman" w:cs="Times New Roman"/>
      <w:sz w:val="24"/>
      <w:szCs w:val="20"/>
      <w:lang w:val="hu-HU" w:eastAsia="fr-B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hu-HU"/>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hu-HU"/>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BodyPlaceholderText">
    <w:name w:val="BodyPlaceholderText"/>
    <w:basedOn w:val="PlaceholderText"/>
    <w:uiPriority w:val="1"/>
    <w:semiHidden/>
    <w:rPr>
      <w:color w:val="3366CC"/>
    </w:rPr>
  </w:style>
  <w:style w:type="paragraph" w:customStyle="1" w:styleId="ListBullet2Level4">
    <w:name w:val="List Bullet 2 (Level 4)"/>
    <w:basedOn w:val="Normal"/>
    <w:semiHidden/>
    <w:unhideWhenUsed/>
    <w:pPr>
      <w:numPr>
        <w:ilvl w:val="3"/>
        <w:numId w:val="2"/>
      </w:numPr>
      <w:spacing w:after="240" w:line="240" w:lineRule="auto"/>
      <w:jc w:val="both"/>
    </w:pPr>
    <w:rPr>
      <w:rFonts w:ascii="Times New Roman" w:eastAsia="Times New Roman" w:hAnsi="Times New Roman" w:cs="Times New Roman"/>
      <w:sz w:val="24"/>
      <w:szCs w:val="20"/>
      <w:lang w:eastAsia="fr-BE"/>
    </w:rPr>
  </w:style>
  <w:style w:type="paragraph" w:customStyle="1" w:styleId="ListBullet2Level3">
    <w:name w:val="List Bullet 2 (Level 3)"/>
    <w:basedOn w:val="Normal"/>
    <w:semiHidden/>
    <w:unhideWhenUsed/>
    <w:pPr>
      <w:numPr>
        <w:ilvl w:val="2"/>
        <w:numId w:val="2"/>
      </w:numPr>
      <w:spacing w:after="240" w:line="240" w:lineRule="auto"/>
      <w:jc w:val="both"/>
    </w:pPr>
    <w:rPr>
      <w:rFonts w:ascii="Times New Roman" w:eastAsia="Times New Roman" w:hAnsi="Times New Roman" w:cs="Times New Roman"/>
      <w:sz w:val="24"/>
      <w:szCs w:val="20"/>
      <w:lang w:eastAsia="fr-BE"/>
    </w:rPr>
  </w:style>
  <w:style w:type="paragraph" w:customStyle="1" w:styleId="ListBullet2Level2">
    <w:name w:val="List Bullet 2 (Level 2)"/>
    <w:basedOn w:val="Normal"/>
    <w:pPr>
      <w:numPr>
        <w:ilvl w:val="1"/>
        <w:numId w:val="2"/>
      </w:numPr>
      <w:spacing w:after="240" w:line="240" w:lineRule="auto"/>
      <w:jc w:val="both"/>
    </w:pPr>
    <w:rPr>
      <w:rFonts w:ascii="Times New Roman" w:eastAsia="Times New Roman" w:hAnsi="Times New Roman" w:cs="Times New Roman"/>
      <w:sz w:val="24"/>
      <w:szCs w:val="20"/>
      <w:lang w:eastAsia="fr-BE"/>
    </w:rPr>
  </w:style>
  <w:style w:type="paragraph" w:styleId="ListBullet2">
    <w:name w:val="List Bullet 2"/>
    <w:basedOn w:val="Normal"/>
    <w:pPr>
      <w:numPr>
        <w:numId w:val="2"/>
      </w:numPr>
      <w:spacing w:after="240" w:line="240" w:lineRule="auto"/>
      <w:jc w:val="both"/>
    </w:pPr>
    <w:rPr>
      <w:rFonts w:ascii="Times New Roman" w:eastAsia="Times New Roman" w:hAnsi="Times New Roman" w:cs="Times New Roman"/>
      <w:sz w:val="24"/>
      <w:szCs w:val="20"/>
      <w:lang w:eastAsia="fr-BE"/>
    </w:rPr>
  </w:style>
  <w:style w:type="paragraph" w:customStyle="1" w:styleId="NumPar2">
    <w:name w:val="NumPar 2"/>
    <w:basedOn w:val="Heading2"/>
    <w:uiPriority w:val="90"/>
    <w:qFormat/>
    <w:pPr>
      <w:keepNext w:val="0"/>
      <w:outlineLvl w:val="9"/>
    </w:pPr>
    <w:rPr>
      <w:b w:val="0"/>
    </w:rPr>
  </w:style>
  <w:style w:type="paragraph" w:customStyle="1" w:styleId="Text1">
    <w:name w:val="Text 1"/>
    <w:basedOn w:val="Normal"/>
    <w:uiPriority w:val="90"/>
    <w:qFormat/>
    <w:pPr>
      <w:spacing w:after="240" w:line="240" w:lineRule="auto"/>
      <w:ind w:left="482"/>
      <w:jc w:val="both"/>
    </w:pPr>
    <w:rPr>
      <w:rFonts w:ascii="Times New Roman" w:eastAsia="Times New Roman" w:hAnsi="Times New Roman" w:cs="Times New Roman"/>
      <w:sz w:val="24"/>
      <w:szCs w:val="20"/>
      <w:lang w:eastAsia="fr-BE"/>
    </w:rPr>
  </w:style>
  <w:style w:type="character" w:styleId="PlaceholderText">
    <w:name w:val="Placeholder Text"/>
    <w:basedOn w:val="DefaultParagraphFont"/>
    <w:uiPriority w:val="99"/>
    <w:semiHidden/>
    <w:rPr>
      <w:color w:val="808080"/>
    </w:rPr>
  </w:style>
  <w:style w:type="paragraph" w:customStyle="1" w:styleId="AnnexTitle">
    <w:name w:val="AnnexTitle"/>
    <w:basedOn w:val="Normal"/>
    <w:next w:val="Normal"/>
    <w:uiPriority w:val="90"/>
    <w:qFormat/>
    <w:pPr>
      <w:pageBreakBefore/>
      <w:numPr>
        <w:numId w:val="3"/>
      </w:numPr>
      <w:spacing w:after="480" w:line="240" w:lineRule="auto"/>
      <w:jc w:val="both"/>
      <w:outlineLvl w:val="0"/>
    </w:pPr>
    <w:rPr>
      <w:rFonts w:ascii="Times New Roman" w:eastAsia="Times New Roman" w:hAnsi="Times New Roman" w:cs="Times New Roman"/>
      <w:b/>
      <w:sz w:val="32"/>
      <w:szCs w:val="20"/>
      <w:lang w:eastAsia="fr-BE"/>
    </w:rPr>
  </w:style>
  <w:style w:type="paragraph" w:styleId="ListParagraph">
    <w:name w:val="List Paragraph"/>
    <w:basedOn w:val="Normal"/>
    <w:uiPriority w:val="34"/>
    <w:qFormat/>
    <w:pPr>
      <w:ind w:left="720"/>
      <w:contextualSpacing/>
    </w:p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Bullet0">
    <w:name w:val="Bullet 0"/>
    <w:basedOn w:val="Normal"/>
    <w:pPr>
      <w:numPr>
        <w:numId w:val="4"/>
      </w:numPr>
      <w:spacing w:before="120" w:after="120" w:line="240" w:lineRule="auto"/>
      <w:jc w:val="both"/>
    </w:pPr>
    <w:rPr>
      <w:rFonts w:ascii="Times New Roman" w:hAnsi="Times New Roman" w:cs="Times New Roman"/>
      <w:sz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cs="Times New Roman"/>
      <w:sz w:val="24"/>
    </w:rPr>
  </w:style>
  <w:style w:type="paragraph" w:customStyle="1" w:styleId="Statut">
    <w:name w:val="Statut"/>
    <w:basedOn w:val="Normal"/>
    <w:next w:val="Typedudocument"/>
    <w:pPr>
      <w:spacing w:before="360" w:after="0" w:line="240" w:lineRule="auto"/>
      <w:jc w:val="center"/>
    </w:pPr>
    <w:rPr>
      <w:rFonts w:ascii="Times New Roman" w:hAnsi="Times New Roman" w:cs="Times New Roman"/>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hAnsi="Times New Roman" w:cs="Times New Roman"/>
      <w:b/>
      <w:sz w:val="24"/>
    </w:rPr>
  </w:style>
  <w:style w:type="character" w:styleId="Hyperlink">
    <w:name w:val="Hyperlink"/>
    <w:basedOn w:val="DefaultParagraphFont"/>
    <w:uiPriority w:val="99"/>
    <w:unhideWhenUsed/>
    <w:rPr>
      <w:color w:val="0563C1" w:themeColor="hyperlink"/>
      <w:u w:val="single"/>
    </w:rPr>
  </w:style>
  <w:style w:type="paragraph" w:styleId="ListBullet">
    <w:name w:val="List Bullet"/>
    <w:basedOn w:val="Normal"/>
    <w:uiPriority w:val="99"/>
    <w:semiHidden/>
    <w:unhideWhenUsed/>
    <w:pPr>
      <w:numPr>
        <w:numId w:val="5"/>
      </w:numPr>
      <w:contextualSpacing/>
    </w:pPr>
  </w:style>
  <w:style w:type="paragraph" w:styleId="FootnoteText">
    <w:name w:val="footnote text"/>
    <w:basedOn w:val="Normal"/>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lang w:val="hu-HU"/>
    </w:rPr>
  </w:style>
  <w:style w:type="paragraph" w:styleId="ListBullet5">
    <w:name w:val="List Bullet 5"/>
    <w:basedOn w:val="Normal"/>
    <w:autoRedefine/>
    <w:pPr>
      <w:numPr>
        <w:numId w:val="6"/>
      </w:numPr>
      <w:spacing w:after="240" w:line="240" w:lineRule="auto"/>
      <w:jc w:val="both"/>
    </w:pPr>
    <w:rPr>
      <w:rFonts w:ascii="Times New Roman" w:eastAsia="Times New Roman" w:hAnsi="Times New Roman" w:cs="Times New Roman"/>
      <w:sz w:val="24"/>
      <w:szCs w:val="20"/>
    </w:rPr>
  </w:style>
  <w:style w:type="character" w:styleId="FootnoteReference">
    <w:name w:val="footnote reference"/>
    <w:aliases w:val="Footnote Reference Superscript,BVI fnr, BVI fnr,Footnote symbol"/>
    <w:basedOn w:val="DefaultParagraphFont"/>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u-HU"/>
    </w:rPr>
  </w:style>
  <w:style w:type="paragraph" w:customStyle="1" w:styleId="LegalNumPar">
    <w:name w:val="LegalNumPar"/>
    <w:basedOn w:val="Normal"/>
    <w:pPr>
      <w:numPr>
        <w:numId w:val="11"/>
      </w:numPr>
      <w:spacing w:line="360" w:lineRule="auto"/>
    </w:pPr>
    <w:rPr>
      <w:sz w:val="24"/>
    </w:rPr>
  </w:style>
  <w:style w:type="paragraph" w:customStyle="1" w:styleId="LegalNumPar2">
    <w:name w:val="LegalNumPar2"/>
    <w:basedOn w:val="Normal"/>
    <w:pPr>
      <w:numPr>
        <w:ilvl w:val="1"/>
        <w:numId w:val="11"/>
      </w:numPr>
      <w:spacing w:line="360" w:lineRule="auto"/>
    </w:pPr>
    <w:rPr>
      <w:sz w:val="24"/>
    </w:rPr>
  </w:style>
  <w:style w:type="paragraph" w:customStyle="1" w:styleId="LegalNumPar3">
    <w:name w:val="LegalNumPar3"/>
    <w:basedOn w:val="Normal"/>
    <w:pPr>
      <w:numPr>
        <w:ilvl w:val="2"/>
        <w:numId w:val="11"/>
      </w:numPr>
      <w:spacing w:line="360" w:lineRule="auto"/>
    </w:pPr>
    <w:rPr>
      <w:sz w:val="24"/>
    </w:rPr>
  </w:style>
  <w:style w:type="paragraph" w:customStyle="1" w:styleId="ZFlag">
    <w:name w:val="Z_Flag"/>
    <w:basedOn w:val="Normal"/>
    <w:next w:val="Normal"/>
    <w:uiPriority w:val="99"/>
    <w:semiHidden/>
    <w:pPr>
      <w:widowControl w:val="0"/>
      <w:spacing w:after="0" w:line="240" w:lineRule="auto"/>
      <w:ind w:right="85"/>
      <w:jc w:val="both"/>
    </w:pPr>
    <w:rPr>
      <w:rFonts w:ascii="Times New Roman" w:eastAsia="Times New Roman" w:hAnsi="Times New Roman" w:cs="Times New Roman"/>
      <w:sz w:val="24"/>
      <w:szCs w:val="20"/>
    </w:rPr>
  </w:style>
  <w:style w:type="paragraph" w:customStyle="1" w:styleId="ZCom">
    <w:name w:val="Z_Com"/>
    <w:basedOn w:val="Normal"/>
    <w:next w:val="Normal"/>
    <w:uiPriority w:val="99"/>
    <w:semiHidden/>
    <w:pPr>
      <w:widowControl w:val="0"/>
      <w:spacing w:before="90" w:after="0" w:line="240" w:lineRule="auto"/>
      <w:ind w:right="85"/>
      <w:jc w:val="both"/>
    </w:pPr>
    <w:rPr>
      <w:rFonts w:ascii="Times New Roman" w:eastAsia="Times New Roman" w:hAnsi="Times New Roman" w:cs="Times New Roman"/>
      <w:sz w:val="24"/>
      <w:szCs w:val="20"/>
    </w:rPr>
  </w:style>
  <w:style w:type="paragraph" w:customStyle="1" w:styleId="ZDGName">
    <w:name w:val="Z_DGName"/>
    <w:basedOn w:val="Normal"/>
    <w:uiPriority w:val="99"/>
    <w:semiHidden/>
    <w:pPr>
      <w:widowControl w:val="0"/>
      <w:spacing w:after="0" w:line="240" w:lineRule="auto"/>
      <w:ind w:right="85"/>
    </w:pPr>
    <w:rPr>
      <w:rFonts w:ascii="Times New Roman" w:eastAsia="Times New Roman" w:hAnsi="Times New Roman" w:cs="Times New Roman"/>
      <w:sz w:val="16"/>
      <w:szCs w:val="20"/>
    </w:rPr>
  </w:style>
  <w:style w:type="table" w:customStyle="1" w:styleId="TableLetterhead">
    <w:name w:val="Table Letterhead"/>
    <w:basedOn w:val="TableNormal"/>
    <w:uiPriority w:val="99"/>
    <w:pPr>
      <w:spacing w:after="0" w:line="240" w:lineRule="auto"/>
    </w:pPr>
    <w:rPr>
      <w:rFonts w:ascii="Times New Roman" w:eastAsia="Times New Roman" w:hAnsi="Times New Roman" w:cs="Times New Roman"/>
      <w:sz w:val="24"/>
      <w:szCs w:val="20"/>
    </w:rPr>
    <w:tblPr>
      <w:tblCellMar>
        <w:left w:w="0" w:type="dxa"/>
        <w:bottom w:w="340" w:type="dxa"/>
        <w:right w:w="0" w:type="dxa"/>
      </w:tblCellMar>
    </w:tblPr>
  </w:style>
  <w:style w:type="paragraph" w:customStyle="1" w:styleId="Opening">
    <w:name w:val="Opening"/>
    <w:basedOn w:val="Normal"/>
    <w:pPr>
      <w:spacing w:before="480" w:after="720" w:line="240" w:lineRule="auto"/>
    </w:pPr>
    <w:rPr>
      <w:rFonts w:ascii="Times New Roman" w:eastAsia="Times New Roman" w:hAnsi="Times New Roman" w:cs="Times New Roman"/>
      <w:sz w:val="24"/>
      <w:szCs w:val="20"/>
    </w:rPr>
  </w:style>
  <w:style w:type="paragraph" w:styleId="Date">
    <w:name w:val="Date"/>
    <w:basedOn w:val="Normal"/>
    <w:next w:val="References"/>
    <w:link w:val="DateChar"/>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hu-HU"/>
    </w:rPr>
  </w:style>
  <w:style w:type="paragraph" w:customStyle="1" w:styleId="References">
    <w:name w:val="References"/>
    <w:basedOn w:val="Normal"/>
    <w:pPr>
      <w:spacing w:after="240" w:line="240" w:lineRule="auto"/>
      <w:ind w:left="5102" w:right="-567"/>
      <w:contextualSpacing/>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hu-HU"/>
    </w:rPr>
  </w:style>
  <w:style w:type="paragraph" w:styleId="Revision">
    <w:name w:val="Revision"/>
    <w:hidden/>
    <w:uiPriority w:val="99"/>
    <w:semiHidden/>
    <w:pPr>
      <w:spacing w:after="0" w:line="240" w:lineRule="auto"/>
    </w:pPr>
  </w:style>
  <w:style w:type="paragraph" w:customStyle="1" w:styleId="doc-ti">
    <w:name w:val="doc-ti"/>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talic">
    <w:name w:val="italic"/>
    <w:basedOn w:val="DefaultParagraphFont"/>
  </w:style>
  <w:style w:type="paragraph" w:customStyle="1" w:styleId="no-doc-c">
    <w:name w:val="no-doc-c"/>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runcate">
    <w:name w:val="truncate"/>
    <w:basedOn w:val="DefaultParagraphFont"/>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Dash4Level4">
    <w:name w:val="List Dash 4 (Level 4)"/>
    <w:basedOn w:val="Normal"/>
    <w:semiHidden/>
    <w:unhideWhenUsed/>
    <w:pPr>
      <w:numPr>
        <w:ilvl w:val="3"/>
        <w:numId w:val="71"/>
      </w:numPr>
      <w:spacing w:after="240" w:line="240" w:lineRule="auto"/>
      <w:jc w:val="both"/>
    </w:pPr>
    <w:rPr>
      <w:rFonts w:ascii="Times New Roman" w:eastAsia="Times New Roman" w:hAnsi="Times New Roman" w:cs="Times New Roman"/>
      <w:sz w:val="24"/>
      <w:szCs w:val="20"/>
      <w:lang w:eastAsia="fr-BE"/>
    </w:rPr>
  </w:style>
  <w:style w:type="paragraph" w:customStyle="1" w:styleId="ListDash4Level3">
    <w:name w:val="List Dash 4 (Level 3)"/>
    <w:basedOn w:val="Normal"/>
    <w:semiHidden/>
    <w:unhideWhenUsed/>
    <w:pPr>
      <w:numPr>
        <w:ilvl w:val="2"/>
        <w:numId w:val="71"/>
      </w:numPr>
      <w:spacing w:after="240" w:line="240" w:lineRule="auto"/>
      <w:jc w:val="both"/>
    </w:pPr>
    <w:rPr>
      <w:rFonts w:ascii="Times New Roman" w:eastAsia="Times New Roman" w:hAnsi="Times New Roman" w:cs="Times New Roman"/>
      <w:sz w:val="24"/>
      <w:szCs w:val="20"/>
      <w:lang w:eastAsia="fr-BE"/>
    </w:rPr>
  </w:style>
  <w:style w:type="paragraph" w:customStyle="1" w:styleId="ListDash4Level2">
    <w:name w:val="List Dash 4 (Level 2)"/>
    <w:basedOn w:val="Normal"/>
    <w:pPr>
      <w:numPr>
        <w:ilvl w:val="1"/>
        <w:numId w:val="71"/>
      </w:numPr>
      <w:spacing w:after="240" w:line="240" w:lineRule="auto"/>
      <w:jc w:val="both"/>
    </w:pPr>
    <w:rPr>
      <w:rFonts w:ascii="Times New Roman" w:eastAsia="Times New Roman" w:hAnsi="Times New Roman" w:cs="Times New Roman"/>
      <w:sz w:val="24"/>
      <w:szCs w:val="20"/>
      <w:lang w:eastAsia="fr-BE"/>
    </w:rPr>
  </w:style>
  <w:style w:type="paragraph" w:customStyle="1" w:styleId="ListDash4">
    <w:name w:val="List Dash 4"/>
    <w:basedOn w:val="Normal"/>
    <w:pPr>
      <w:numPr>
        <w:numId w:val="71"/>
      </w:numPr>
      <w:spacing w:after="240" w:line="240" w:lineRule="auto"/>
      <w:jc w:val="both"/>
    </w:pPr>
    <w:rPr>
      <w:rFonts w:ascii="Times New Roman" w:eastAsia="Times New Roman" w:hAnsi="Times New Roman" w:cs="Times New Roman"/>
      <w:sz w:val="24"/>
      <w:szCs w:val="20"/>
      <w:lang w:eastAsia="fr-BE"/>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tereasonstickers">
    <w:name w:val="statereasonstickers"/>
    <w:basedOn w:val="DefaultParagraphFon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0" w:unhideWhenUsed="0" w:qFormat="1"/>
    <w:lsdException w:name="heading 2" w:uiPriority="90" w:qFormat="1"/>
    <w:lsdException w:name="heading 3" w:uiPriority="90" w:qFormat="1"/>
    <w:lsdException w:name="heading 4" w:uiPriority="9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Text1"/>
    <w:link w:val="Heading1Char"/>
    <w:uiPriority w:val="90"/>
    <w:qFormat/>
    <w:pPr>
      <w:keepNext/>
      <w:tabs>
        <w:tab w:val="num" w:pos="482"/>
      </w:tabs>
      <w:spacing w:before="240" w:after="240" w:line="240" w:lineRule="auto"/>
      <w:ind w:left="482" w:hanging="482"/>
      <w:jc w:val="both"/>
      <w:outlineLvl w:val="0"/>
    </w:pPr>
    <w:rPr>
      <w:rFonts w:ascii="Times New Roman" w:eastAsia="Times New Roman" w:hAnsi="Times New Roman" w:cs="Times New Roman"/>
      <w:b/>
      <w:smallCaps/>
      <w:sz w:val="24"/>
      <w:szCs w:val="20"/>
      <w:lang w:eastAsia="fr-BE"/>
    </w:rPr>
  </w:style>
  <w:style w:type="paragraph" w:styleId="Heading2">
    <w:name w:val="heading 2"/>
    <w:basedOn w:val="Normal"/>
    <w:next w:val="Normal"/>
    <w:link w:val="Heading2Char"/>
    <w:uiPriority w:val="90"/>
    <w:qFormat/>
    <w:pPr>
      <w:keepNext/>
      <w:tabs>
        <w:tab w:val="num" w:pos="1077"/>
      </w:tabs>
      <w:spacing w:after="240" w:line="240" w:lineRule="auto"/>
      <w:ind w:left="1077" w:hanging="601"/>
      <w:jc w:val="both"/>
      <w:outlineLvl w:val="1"/>
    </w:pPr>
    <w:rPr>
      <w:rFonts w:ascii="Times New Roman" w:eastAsia="Times New Roman" w:hAnsi="Times New Roman" w:cs="Times New Roman"/>
      <w:b/>
      <w:sz w:val="24"/>
      <w:szCs w:val="20"/>
      <w:lang w:eastAsia="fr-BE"/>
    </w:rPr>
  </w:style>
  <w:style w:type="paragraph" w:styleId="Heading3">
    <w:name w:val="heading 3"/>
    <w:basedOn w:val="Normal"/>
    <w:next w:val="Normal"/>
    <w:link w:val="Heading3Char"/>
    <w:uiPriority w:val="90"/>
    <w:qFormat/>
    <w:pPr>
      <w:keepNext/>
      <w:tabs>
        <w:tab w:val="num" w:pos="1922"/>
      </w:tabs>
      <w:spacing w:after="240" w:line="240" w:lineRule="auto"/>
      <w:ind w:left="1922" w:hanging="839"/>
      <w:jc w:val="both"/>
      <w:outlineLvl w:val="2"/>
    </w:pPr>
    <w:rPr>
      <w:rFonts w:ascii="Times New Roman" w:eastAsia="Times New Roman" w:hAnsi="Times New Roman" w:cs="Times New Roman"/>
      <w:i/>
      <w:sz w:val="24"/>
      <w:szCs w:val="20"/>
      <w:lang w:eastAsia="fr-BE"/>
    </w:rPr>
  </w:style>
  <w:style w:type="paragraph" w:styleId="Heading4">
    <w:name w:val="heading 4"/>
    <w:basedOn w:val="Normal"/>
    <w:next w:val="Normal"/>
    <w:link w:val="Heading4Char"/>
    <w:uiPriority w:val="90"/>
    <w:qFormat/>
    <w:pPr>
      <w:keepNext/>
      <w:tabs>
        <w:tab w:val="num" w:pos="2880"/>
      </w:tabs>
      <w:spacing w:after="240" w:line="240" w:lineRule="auto"/>
      <w:ind w:left="2880" w:hanging="958"/>
      <w:jc w:val="both"/>
      <w:outlineLvl w:val="3"/>
    </w:pPr>
    <w:rPr>
      <w:rFonts w:ascii="Times New Roman" w:eastAsia="Times New Roman" w:hAnsi="Times New Roman" w:cs="Times New Roman"/>
      <w:sz w:val="24"/>
      <w:szCs w:val="20"/>
      <w:lang w:eastAsia="fr-BE"/>
    </w:rPr>
  </w:style>
  <w:style w:type="paragraph" w:styleId="Heading5">
    <w:name w:val="heading 5"/>
    <w:basedOn w:val="Normal"/>
    <w:next w:val="Normal"/>
    <w:link w:val="Heading5Char"/>
    <w:semiHidden/>
    <w:pPr>
      <w:keepNext/>
      <w:tabs>
        <w:tab w:val="num" w:pos="2880"/>
      </w:tabs>
      <w:spacing w:after="240" w:line="240" w:lineRule="auto"/>
      <w:ind w:left="3838" w:hanging="958"/>
      <w:jc w:val="both"/>
      <w:outlineLvl w:val="4"/>
    </w:pPr>
    <w:rPr>
      <w:rFonts w:ascii="Times New Roman" w:eastAsia="Times New Roman" w:hAnsi="Times New Roman" w:cs="Times New Roman"/>
      <w:sz w:val="24"/>
      <w:szCs w:val="20"/>
      <w:lang w:eastAsia="fr-BE"/>
    </w:rPr>
  </w:style>
  <w:style w:type="paragraph" w:styleId="Heading6">
    <w:name w:val="heading 6"/>
    <w:basedOn w:val="Normal"/>
    <w:next w:val="Normal"/>
    <w:link w:val="Heading6Char"/>
    <w:semiHidden/>
    <w:pPr>
      <w:keepNext/>
      <w:tabs>
        <w:tab w:val="num" w:pos="2880"/>
      </w:tabs>
      <w:spacing w:after="240" w:line="240" w:lineRule="auto"/>
      <w:ind w:left="3838" w:hanging="958"/>
      <w:jc w:val="both"/>
      <w:outlineLvl w:val="5"/>
    </w:pPr>
    <w:rPr>
      <w:rFonts w:ascii="Times New Roman" w:eastAsia="Times New Roman" w:hAnsi="Times New Roman" w:cs="Times New Roman"/>
      <w:sz w:val="24"/>
      <w:szCs w:val="20"/>
      <w:lang w:eastAsia="fr-BE"/>
    </w:rPr>
  </w:style>
  <w:style w:type="paragraph" w:styleId="Heading7">
    <w:name w:val="heading 7"/>
    <w:basedOn w:val="Normal"/>
    <w:next w:val="Normal"/>
    <w:link w:val="Heading7Char"/>
    <w:semiHidden/>
    <w:pPr>
      <w:keepNext/>
      <w:tabs>
        <w:tab w:val="num" w:pos="2880"/>
      </w:tabs>
      <w:spacing w:after="240" w:line="240" w:lineRule="auto"/>
      <w:ind w:left="3838" w:hanging="958"/>
      <w:jc w:val="both"/>
      <w:outlineLvl w:val="6"/>
    </w:pPr>
    <w:rPr>
      <w:rFonts w:ascii="Times New Roman" w:eastAsia="Times New Roman" w:hAnsi="Times New Roman" w:cs="Times New Roman"/>
      <w:sz w:val="24"/>
      <w:szCs w:val="20"/>
      <w:lang w:eastAsia="fr-BE"/>
    </w:rPr>
  </w:style>
  <w:style w:type="paragraph" w:styleId="Heading8">
    <w:name w:val="heading 8"/>
    <w:basedOn w:val="Normal"/>
    <w:next w:val="Normal"/>
    <w:link w:val="Heading8Char"/>
    <w:semiHidden/>
    <w:pPr>
      <w:keepNext/>
      <w:tabs>
        <w:tab w:val="num" w:pos="2880"/>
      </w:tabs>
      <w:spacing w:after="240" w:line="240" w:lineRule="auto"/>
      <w:ind w:left="3838" w:hanging="958"/>
      <w:jc w:val="both"/>
      <w:outlineLvl w:val="7"/>
    </w:pPr>
    <w:rPr>
      <w:rFonts w:ascii="Times New Roman" w:eastAsia="Times New Roman" w:hAnsi="Times New Roman" w:cs="Times New Roman"/>
      <w:sz w:val="24"/>
      <w:szCs w:val="20"/>
      <w:lang w:eastAsia="fr-BE"/>
    </w:rPr>
  </w:style>
  <w:style w:type="paragraph" w:styleId="Heading9">
    <w:name w:val="heading 9"/>
    <w:basedOn w:val="Normal"/>
    <w:next w:val="Normal"/>
    <w:link w:val="Heading9Char"/>
    <w:semiHidden/>
    <w:pPr>
      <w:keepNext/>
      <w:tabs>
        <w:tab w:val="num" w:pos="2880"/>
      </w:tabs>
      <w:spacing w:after="240" w:line="240" w:lineRule="auto"/>
      <w:ind w:left="3838" w:hanging="958"/>
      <w:jc w:val="both"/>
      <w:outlineLvl w:val="8"/>
    </w:pPr>
    <w:rPr>
      <w:rFonts w:ascii="Times New Roman" w:eastAsia="Times New Roman" w:hAnsi="Times New Roman" w:cs="Times New Roman"/>
      <w:sz w:val="24"/>
      <w:szCs w:val="20"/>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0"/>
    <w:rPr>
      <w:rFonts w:ascii="Times New Roman" w:eastAsia="Times New Roman" w:hAnsi="Times New Roman" w:cs="Times New Roman"/>
      <w:b/>
      <w:smallCaps/>
      <w:sz w:val="24"/>
      <w:szCs w:val="20"/>
      <w:lang w:val="hu-HU" w:eastAsia="fr-BE"/>
    </w:rPr>
  </w:style>
  <w:style w:type="character" w:customStyle="1" w:styleId="Heading2Char">
    <w:name w:val="Heading 2 Char"/>
    <w:basedOn w:val="DefaultParagraphFont"/>
    <w:link w:val="Heading2"/>
    <w:uiPriority w:val="90"/>
    <w:rPr>
      <w:rFonts w:ascii="Times New Roman" w:eastAsia="Times New Roman" w:hAnsi="Times New Roman" w:cs="Times New Roman"/>
      <w:b/>
      <w:sz w:val="24"/>
      <w:szCs w:val="20"/>
      <w:lang w:val="hu-HU" w:eastAsia="fr-BE"/>
    </w:rPr>
  </w:style>
  <w:style w:type="character" w:customStyle="1" w:styleId="Heading3Char">
    <w:name w:val="Heading 3 Char"/>
    <w:basedOn w:val="DefaultParagraphFont"/>
    <w:link w:val="Heading3"/>
    <w:uiPriority w:val="90"/>
    <w:rPr>
      <w:rFonts w:ascii="Times New Roman" w:eastAsia="Times New Roman" w:hAnsi="Times New Roman" w:cs="Times New Roman"/>
      <w:i/>
      <w:sz w:val="24"/>
      <w:szCs w:val="20"/>
      <w:lang w:val="hu-HU" w:eastAsia="fr-BE"/>
    </w:rPr>
  </w:style>
  <w:style w:type="character" w:customStyle="1" w:styleId="Heading4Char">
    <w:name w:val="Heading 4 Char"/>
    <w:basedOn w:val="DefaultParagraphFont"/>
    <w:link w:val="Heading4"/>
    <w:uiPriority w:val="90"/>
    <w:rPr>
      <w:rFonts w:ascii="Times New Roman" w:eastAsia="Times New Roman" w:hAnsi="Times New Roman" w:cs="Times New Roman"/>
      <w:sz w:val="24"/>
      <w:szCs w:val="20"/>
      <w:lang w:val="hu-HU" w:eastAsia="fr-BE"/>
    </w:rPr>
  </w:style>
  <w:style w:type="character" w:customStyle="1" w:styleId="Heading5Char">
    <w:name w:val="Heading 5 Char"/>
    <w:basedOn w:val="DefaultParagraphFont"/>
    <w:link w:val="Heading5"/>
    <w:semiHidden/>
    <w:rPr>
      <w:rFonts w:ascii="Times New Roman" w:eastAsia="Times New Roman" w:hAnsi="Times New Roman" w:cs="Times New Roman"/>
      <w:sz w:val="24"/>
      <w:szCs w:val="20"/>
      <w:lang w:val="hu-HU" w:eastAsia="fr-BE"/>
    </w:rPr>
  </w:style>
  <w:style w:type="character" w:customStyle="1" w:styleId="Heading6Char">
    <w:name w:val="Heading 6 Char"/>
    <w:basedOn w:val="DefaultParagraphFont"/>
    <w:link w:val="Heading6"/>
    <w:semiHidden/>
    <w:rPr>
      <w:rFonts w:ascii="Times New Roman" w:eastAsia="Times New Roman" w:hAnsi="Times New Roman" w:cs="Times New Roman"/>
      <w:sz w:val="24"/>
      <w:szCs w:val="20"/>
      <w:lang w:val="hu-HU" w:eastAsia="fr-BE"/>
    </w:rPr>
  </w:style>
  <w:style w:type="character" w:customStyle="1" w:styleId="Heading7Char">
    <w:name w:val="Heading 7 Char"/>
    <w:basedOn w:val="DefaultParagraphFont"/>
    <w:link w:val="Heading7"/>
    <w:semiHidden/>
    <w:rPr>
      <w:rFonts w:ascii="Times New Roman" w:eastAsia="Times New Roman" w:hAnsi="Times New Roman" w:cs="Times New Roman"/>
      <w:sz w:val="24"/>
      <w:szCs w:val="20"/>
      <w:lang w:val="hu-HU" w:eastAsia="fr-BE"/>
    </w:rPr>
  </w:style>
  <w:style w:type="character" w:customStyle="1" w:styleId="Heading8Char">
    <w:name w:val="Heading 8 Char"/>
    <w:basedOn w:val="DefaultParagraphFont"/>
    <w:link w:val="Heading8"/>
    <w:semiHidden/>
    <w:rPr>
      <w:rFonts w:ascii="Times New Roman" w:eastAsia="Times New Roman" w:hAnsi="Times New Roman" w:cs="Times New Roman"/>
      <w:sz w:val="24"/>
      <w:szCs w:val="20"/>
      <w:lang w:val="hu-HU" w:eastAsia="fr-BE"/>
    </w:rPr>
  </w:style>
  <w:style w:type="character" w:customStyle="1" w:styleId="Heading9Char">
    <w:name w:val="Heading 9 Char"/>
    <w:basedOn w:val="DefaultParagraphFont"/>
    <w:link w:val="Heading9"/>
    <w:semiHidden/>
    <w:rPr>
      <w:rFonts w:ascii="Times New Roman" w:eastAsia="Times New Roman" w:hAnsi="Times New Roman" w:cs="Times New Roman"/>
      <w:sz w:val="24"/>
      <w:szCs w:val="20"/>
      <w:lang w:val="hu-HU" w:eastAsia="fr-B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hu-HU"/>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hu-HU"/>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BodyPlaceholderText">
    <w:name w:val="BodyPlaceholderText"/>
    <w:basedOn w:val="PlaceholderText"/>
    <w:uiPriority w:val="1"/>
    <w:semiHidden/>
    <w:rPr>
      <w:color w:val="3366CC"/>
    </w:rPr>
  </w:style>
  <w:style w:type="paragraph" w:customStyle="1" w:styleId="ListBullet2Level4">
    <w:name w:val="List Bullet 2 (Level 4)"/>
    <w:basedOn w:val="Normal"/>
    <w:semiHidden/>
    <w:unhideWhenUsed/>
    <w:pPr>
      <w:numPr>
        <w:ilvl w:val="3"/>
        <w:numId w:val="2"/>
      </w:numPr>
      <w:spacing w:after="240" w:line="240" w:lineRule="auto"/>
      <w:jc w:val="both"/>
    </w:pPr>
    <w:rPr>
      <w:rFonts w:ascii="Times New Roman" w:eastAsia="Times New Roman" w:hAnsi="Times New Roman" w:cs="Times New Roman"/>
      <w:sz w:val="24"/>
      <w:szCs w:val="20"/>
      <w:lang w:eastAsia="fr-BE"/>
    </w:rPr>
  </w:style>
  <w:style w:type="paragraph" w:customStyle="1" w:styleId="ListBullet2Level3">
    <w:name w:val="List Bullet 2 (Level 3)"/>
    <w:basedOn w:val="Normal"/>
    <w:semiHidden/>
    <w:unhideWhenUsed/>
    <w:pPr>
      <w:numPr>
        <w:ilvl w:val="2"/>
        <w:numId w:val="2"/>
      </w:numPr>
      <w:spacing w:after="240" w:line="240" w:lineRule="auto"/>
      <w:jc w:val="both"/>
    </w:pPr>
    <w:rPr>
      <w:rFonts w:ascii="Times New Roman" w:eastAsia="Times New Roman" w:hAnsi="Times New Roman" w:cs="Times New Roman"/>
      <w:sz w:val="24"/>
      <w:szCs w:val="20"/>
      <w:lang w:eastAsia="fr-BE"/>
    </w:rPr>
  </w:style>
  <w:style w:type="paragraph" w:customStyle="1" w:styleId="ListBullet2Level2">
    <w:name w:val="List Bullet 2 (Level 2)"/>
    <w:basedOn w:val="Normal"/>
    <w:pPr>
      <w:numPr>
        <w:ilvl w:val="1"/>
        <w:numId w:val="2"/>
      </w:numPr>
      <w:spacing w:after="240" w:line="240" w:lineRule="auto"/>
      <w:jc w:val="both"/>
    </w:pPr>
    <w:rPr>
      <w:rFonts w:ascii="Times New Roman" w:eastAsia="Times New Roman" w:hAnsi="Times New Roman" w:cs="Times New Roman"/>
      <w:sz w:val="24"/>
      <w:szCs w:val="20"/>
      <w:lang w:eastAsia="fr-BE"/>
    </w:rPr>
  </w:style>
  <w:style w:type="paragraph" w:styleId="ListBullet2">
    <w:name w:val="List Bullet 2"/>
    <w:basedOn w:val="Normal"/>
    <w:pPr>
      <w:numPr>
        <w:numId w:val="2"/>
      </w:numPr>
      <w:spacing w:after="240" w:line="240" w:lineRule="auto"/>
      <w:jc w:val="both"/>
    </w:pPr>
    <w:rPr>
      <w:rFonts w:ascii="Times New Roman" w:eastAsia="Times New Roman" w:hAnsi="Times New Roman" w:cs="Times New Roman"/>
      <w:sz w:val="24"/>
      <w:szCs w:val="20"/>
      <w:lang w:eastAsia="fr-BE"/>
    </w:rPr>
  </w:style>
  <w:style w:type="paragraph" w:customStyle="1" w:styleId="NumPar2">
    <w:name w:val="NumPar 2"/>
    <w:basedOn w:val="Heading2"/>
    <w:uiPriority w:val="90"/>
    <w:qFormat/>
    <w:pPr>
      <w:keepNext w:val="0"/>
      <w:outlineLvl w:val="9"/>
    </w:pPr>
    <w:rPr>
      <w:b w:val="0"/>
    </w:rPr>
  </w:style>
  <w:style w:type="paragraph" w:customStyle="1" w:styleId="Text1">
    <w:name w:val="Text 1"/>
    <w:basedOn w:val="Normal"/>
    <w:uiPriority w:val="90"/>
    <w:qFormat/>
    <w:pPr>
      <w:spacing w:after="240" w:line="240" w:lineRule="auto"/>
      <w:ind w:left="482"/>
      <w:jc w:val="both"/>
    </w:pPr>
    <w:rPr>
      <w:rFonts w:ascii="Times New Roman" w:eastAsia="Times New Roman" w:hAnsi="Times New Roman" w:cs="Times New Roman"/>
      <w:sz w:val="24"/>
      <w:szCs w:val="20"/>
      <w:lang w:eastAsia="fr-BE"/>
    </w:rPr>
  </w:style>
  <w:style w:type="character" w:styleId="PlaceholderText">
    <w:name w:val="Placeholder Text"/>
    <w:basedOn w:val="DefaultParagraphFont"/>
    <w:uiPriority w:val="99"/>
    <w:semiHidden/>
    <w:rPr>
      <w:color w:val="808080"/>
    </w:rPr>
  </w:style>
  <w:style w:type="paragraph" w:customStyle="1" w:styleId="AnnexTitle">
    <w:name w:val="AnnexTitle"/>
    <w:basedOn w:val="Normal"/>
    <w:next w:val="Normal"/>
    <w:uiPriority w:val="90"/>
    <w:qFormat/>
    <w:pPr>
      <w:pageBreakBefore/>
      <w:numPr>
        <w:numId w:val="3"/>
      </w:numPr>
      <w:spacing w:after="480" w:line="240" w:lineRule="auto"/>
      <w:jc w:val="both"/>
      <w:outlineLvl w:val="0"/>
    </w:pPr>
    <w:rPr>
      <w:rFonts w:ascii="Times New Roman" w:eastAsia="Times New Roman" w:hAnsi="Times New Roman" w:cs="Times New Roman"/>
      <w:b/>
      <w:sz w:val="32"/>
      <w:szCs w:val="20"/>
      <w:lang w:eastAsia="fr-BE"/>
    </w:rPr>
  </w:style>
  <w:style w:type="paragraph" w:styleId="ListParagraph">
    <w:name w:val="List Paragraph"/>
    <w:basedOn w:val="Normal"/>
    <w:uiPriority w:val="34"/>
    <w:qFormat/>
    <w:pPr>
      <w:ind w:left="720"/>
      <w:contextualSpacing/>
    </w:p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Bullet0">
    <w:name w:val="Bullet 0"/>
    <w:basedOn w:val="Normal"/>
    <w:pPr>
      <w:numPr>
        <w:numId w:val="4"/>
      </w:numPr>
      <w:spacing w:before="120" w:after="120" w:line="240" w:lineRule="auto"/>
      <w:jc w:val="both"/>
    </w:pPr>
    <w:rPr>
      <w:rFonts w:ascii="Times New Roman" w:hAnsi="Times New Roman" w:cs="Times New Roman"/>
      <w:sz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cs="Times New Roman"/>
      <w:sz w:val="24"/>
    </w:rPr>
  </w:style>
  <w:style w:type="paragraph" w:customStyle="1" w:styleId="Statut">
    <w:name w:val="Statut"/>
    <w:basedOn w:val="Normal"/>
    <w:next w:val="Typedudocument"/>
    <w:pPr>
      <w:spacing w:before="360" w:after="0" w:line="240" w:lineRule="auto"/>
      <w:jc w:val="center"/>
    </w:pPr>
    <w:rPr>
      <w:rFonts w:ascii="Times New Roman" w:hAnsi="Times New Roman" w:cs="Times New Roman"/>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hAnsi="Times New Roman" w:cs="Times New Roman"/>
      <w:b/>
      <w:sz w:val="24"/>
    </w:rPr>
  </w:style>
  <w:style w:type="character" w:styleId="Hyperlink">
    <w:name w:val="Hyperlink"/>
    <w:basedOn w:val="DefaultParagraphFont"/>
    <w:uiPriority w:val="99"/>
    <w:unhideWhenUsed/>
    <w:rPr>
      <w:color w:val="0563C1" w:themeColor="hyperlink"/>
      <w:u w:val="single"/>
    </w:rPr>
  </w:style>
  <w:style w:type="paragraph" w:styleId="ListBullet">
    <w:name w:val="List Bullet"/>
    <w:basedOn w:val="Normal"/>
    <w:uiPriority w:val="99"/>
    <w:semiHidden/>
    <w:unhideWhenUsed/>
    <w:pPr>
      <w:numPr>
        <w:numId w:val="5"/>
      </w:numPr>
      <w:contextualSpacing/>
    </w:pPr>
  </w:style>
  <w:style w:type="paragraph" w:styleId="FootnoteText">
    <w:name w:val="footnote text"/>
    <w:basedOn w:val="Normal"/>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lang w:val="hu-HU"/>
    </w:rPr>
  </w:style>
  <w:style w:type="paragraph" w:styleId="ListBullet5">
    <w:name w:val="List Bullet 5"/>
    <w:basedOn w:val="Normal"/>
    <w:autoRedefine/>
    <w:pPr>
      <w:numPr>
        <w:numId w:val="6"/>
      </w:numPr>
      <w:spacing w:after="240" w:line="240" w:lineRule="auto"/>
      <w:jc w:val="both"/>
    </w:pPr>
    <w:rPr>
      <w:rFonts w:ascii="Times New Roman" w:eastAsia="Times New Roman" w:hAnsi="Times New Roman" w:cs="Times New Roman"/>
      <w:sz w:val="24"/>
      <w:szCs w:val="20"/>
    </w:rPr>
  </w:style>
  <w:style w:type="character" w:styleId="FootnoteReference">
    <w:name w:val="footnote reference"/>
    <w:aliases w:val="Footnote Reference Superscript,BVI fnr, BVI fnr,Footnote symbol"/>
    <w:basedOn w:val="DefaultParagraphFont"/>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u-HU"/>
    </w:rPr>
  </w:style>
  <w:style w:type="paragraph" w:customStyle="1" w:styleId="LegalNumPar">
    <w:name w:val="LegalNumPar"/>
    <w:basedOn w:val="Normal"/>
    <w:pPr>
      <w:numPr>
        <w:numId w:val="11"/>
      </w:numPr>
      <w:spacing w:line="360" w:lineRule="auto"/>
    </w:pPr>
    <w:rPr>
      <w:sz w:val="24"/>
    </w:rPr>
  </w:style>
  <w:style w:type="paragraph" w:customStyle="1" w:styleId="LegalNumPar2">
    <w:name w:val="LegalNumPar2"/>
    <w:basedOn w:val="Normal"/>
    <w:pPr>
      <w:numPr>
        <w:ilvl w:val="1"/>
        <w:numId w:val="11"/>
      </w:numPr>
      <w:spacing w:line="360" w:lineRule="auto"/>
    </w:pPr>
    <w:rPr>
      <w:sz w:val="24"/>
    </w:rPr>
  </w:style>
  <w:style w:type="paragraph" w:customStyle="1" w:styleId="LegalNumPar3">
    <w:name w:val="LegalNumPar3"/>
    <w:basedOn w:val="Normal"/>
    <w:pPr>
      <w:numPr>
        <w:ilvl w:val="2"/>
        <w:numId w:val="11"/>
      </w:numPr>
      <w:spacing w:line="360" w:lineRule="auto"/>
    </w:pPr>
    <w:rPr>
      <w:sz w:val="24"/>
    </w:rPr>
  </w:style>
  <w:style w:type="paragraph" w:customStyle="1" w:styleId="ZFlag">
    <w:name w:val="Z_Flag"/>
    <w:basedOn w:val="Normal"/>
    <w:next w:val="Normal"/>
    <w:uiPriority w:val="99"/>
    <w:semiHidden/>
    <w:pPr>
      <w:widowControl w:val="0"/>
      <w:spacing w:after="0" w:line="240" w:lineRule="auto"/>
      <w:ind w:right="85"/>
      <w:jc w:val="both"/>
    </w:pPr>
    <w:rPr>
      <w:rFonts w:ascii="Times New Roman" w:eastAsia="Times New Roman" w:hAnsi="Times New Roman" w:cs="Times New Roman"/>
      <w:sz w:val="24"/>
      <w:szCs w:val="20"/>
    </w:rPr>
  </w:style>
  <w:style w:type="paragraph" w:customStyle="1" w:styleId="ZCom">
    <w:name w:val="Z_Com"/>
    <w:basedOn w:val="Normal"/>
    <w:next w:val="Normal"/>
    <w:uiPriority w:val="99"/>
    <w:semiHidden/>
    <w:pPr>
      <w:widowControl w:val="0"/>
      <w:spacing w:before="90" w:after="0" w:line="240" w:lineRule="auto"/>
      <w:ind w:right="85"/>
      <w:jc w:val="both"/>
    </w:pPr>
    <w:rPr>
      <w:rFonts w:ascii="Times New Roman" w:eastAsia="Times New Roman" w:hAnsi="Times New Roman" w:cs="Times New Roman"/>
      <w:sz w:val="24"/>
      <w:szCs w:val="20"/>
    </w:rPr>
  </w:style>
  <w:style w:type="paragraph" w:customStyle="1" w:styleId="ZDGName">
    <w:name w:val="Z_DGName"/>
    <w:basedOn w:val="Normal"/>
    <w:uiPriority w:val="99"/>
    <w:semiHidden/>
    <w:pPr>
      <w:widowControl w:val="0"/>
      <w:spacing w:after="0" w:line="240" w:lineRule="auto"/>
      <w:ind w:right="85"/>
    </w:pPr>
    <w:rPr>
      <w:rFonts w:ascii="Times New Roman" w:eastAsia="Times New Roman" w:hAnsi="Times New Roman" w:cs="Times New Roman"/>
      <w:sz w:val="16"/>
      <w:szCs w:val="20"/>
    </w:rPr>
  </w:style>
  <w:style w:type="table" w:customStyle="1" w:styleId="TableLetterhead">
    <w:name w:val="Table Letterhead"/>
    <w:basedOn w:val="TableNormal"/>
    <w:uiPriority w:val="99"/>
    <w:pPr>
      <w:spacing w:after="0" w:line="240" w:lineRule="auto"/>
    </w:pPr>
    <w:rPr>
      <w:rFonts w:ascii="Times New Roman" w:eastAsia="Times New Roman" w:hAnsi="Times New Roman" w:cs="Times New Roman"/>
      <w:sz w:val="24"/>
      <w:szCs w:val="20"/>
    </w:rPr>
    <w:tblPr>
      <w:tblCellMar>
        <w:left w:w="0" w:type="dxa"/>
        <w:bottom w:w="340" w:type="dxa"/>
        <w:right w:w="0" w:type="dxa"/>
      </w:tblCellMar>
    </w:tblPr>
  </w:style>
  <w:style w:type="paragraph" w:customStyle="1" w:styleId="Opening">
    <w:name w:val="Opening"/>
    <w:basedOn w:val="Normal"/>
    <w:pPr>
      <w:spacing w:before="480" w:after="720" w:line="240" w:lineRule="auto"/>
    </w:pPr>
    <w:rPr>
      <w:rFonts w:ascii="Times New Roman" w:eastAsia="Times New Roman" w:hAnsi="Times New Roman" w:cs="Times New Roman"/>
      <w:sz w:val="24"/>
      <w:szCs w:val="20"/>
    </w:rPr>
  </w:style>
  <w:style w:type="paragraph" w:styleId="Date">
    <w:name w:val="Date"/>
    <w:basedOn w:val="Normal"/>
    <w:next w:val="References"/>
    <w:link w:val="DateChar"/>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hu-HU"/>
    </w:rPr>
  </w:style>
  <w:style w:type="paragraph" w:customStyle="1" w:styleId="References">
    <w:name w:val="References"/>
    <w:basedOn w:val="Normal"/>
    <w:pPr>
      <w:spacing w:after="240" w:line="240" w:lineRule="auto"/>
      <w:ind w:left="5102" w:right="-567"/>
      <w:contextualSpacing/>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hu-HU"/>
    </w:rPr>
  </w:style>
  <w:style w:type="paragraph" w:styleId="Revision">
    <w:name w:val="Revision"/>
    <w:hidden/>
    <w:uiPriority w:val="99"/>
    <w:semiHidden/>
    <w:pPr>
      <w:spacing w:after="0" w:line="240" w:lineRule="auto"/>
    </w:pPr>
  </w:style>
  <w:style w:type="paragraph" w:customStyle="1" w:styleId="doc-ti">
    <w:name w:val="doc-ti"/>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talic">
    <w:name w:val="italic"/>
    <w:basedOn w:val="DefaultParagraphFont"/>
  </w:style>
  <w:style w:type="paragraph" w:customStyle="1" w:styleId="no-doc-c">
    <w:name w:val="no-doc-c"/>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runcate">
    <w:name w:val="truncate"/>
    <w:basedOn w:val="DefaultParagraphFont"/>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Dash4Level4">
    <w:name w:val="List Dash 4 (Level 4)"/>
    <w:basedOn w:val="Normal"/>
    <w:semiHidden/>
    <w:unhideWhenUsed/>
    <w:pPr>
      <w:numPr>
        <w:ilvl w:val="3"/>
        <w:numId w:val="71"/>
      </w:numPr>
      <w:spacing w:after="240" w:line="240" w:lineRule="auto"/>
      <w:jc w:val="both"/>
    </w:pPr>
    <w:rPr>
      <w:rFonts w:ascii="Times New Roman" w:eastAsia="Times New Roman" w:hAnsi="Times New Roman" w:cs="Times New Roman"/>
      <w:sz w:val="24"/>
      <w:szCs w:val="20"/>
      <w:lang w:eastAsia="fr-BE"/>
    </w:rPr>
  </w:style>
  <w:style w:type="paragraph" w:customStyle="1" w:styleId="ListDash4Level3">
    <w:name w:val="List Dash 4 (Level 3)"/>
    <w:basedOn w:val="Normal"/>
    <w:semiHidden/>
    <w:unhideWhenUsed/>
    <w:pPr>
      <w:numPr>
        <w:ilvl w:val="2"/>
        <w:numId w:val="71"/>
      </w:numPr>
      <w:spacing w:after="240" w:line="240" w:lineRule="auto"/>
      <w:jc w:val="both"/>
    </w:pPr>
    <w:rPr>
      <w:rFonts w:ascii="Times New Roman" w:eastAsia="Times New Roman" w:hAnsi="Times New Roman" w:cs="Times New Roman"/>
      <w:sz w:val="24"/>
      <w:szCs w:val="20"/>
      <w:lang w:eastAsia="fr-BE"/>
    </w:rPr>
  </w:style>
  <w:style w:type="paragraph" w:customStyle="1" w:styleId="ListDash4Level2">
    <w:name w:val="List Dash 4 (Level 2)"/>
    <w:basedOn w:val="Normal"/>
    <w:pPr>
      <w:numPr>
        <w:ilvl w:val="1"/>
        <w:numId w:val="71"/>
      </w:numPr>
      <w:spacing w:after="240" w:line="240" w:lineRule="auto"/>
      <w:jc w:val="both"/>
    </w:pPr>
    <w:rPr>
      <w:rFonts w:ascii="Times New Roman" w:eastAsia="Times New Roman" w:hAnsi="Times New Roman" w:cs="Times New Roman"/>
      <w:sz w:val="24"/>
      <w:szCs w:val="20"/>
      <w:lang w:eastAsia="fr-BE"/>
    </w:rPr>
  </w:style>
  <w:style w:type="paragraph" w:customStyle="1" w:styleId="ListDash4">
    <w:name w:val="List Dash 4"/>
    <w:basedOn w:val="Normal"/>
    <w:pPr>
      <w:numPr>
        <w:numId w:val="71"/>
      </w:numPr>
      <w:spacing w:after="240" w:line="240" w:lineRule="auto"/>
      <w:jc w:val="both"/>
    </w:pPr>
    <w:rPr>
      <w:rFonts w:ascii="Times New Roman" w:eastAsia="Times New Roman" w:hAnsi="Times New Roman" w:cs="Times New Roman"/>
      <w:sz w:val="24"/>
      <w:szCs w:val="20"/>
      <w:lang w:eastAsia="fr-BE"/>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tereasonstickers">
    <w:name w:val="statereasonstickers"/>
    <w:basedOn w:val="DefaultParagraphFon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0231">
      <w:bodyDiv w:val="1"/>
      <w:marLeft w:val="0"/>
      <w:marRight w:val="0"/>
      <w:marTop w:val="0"/>
      <w:marBottom w:val="0"/>
      <w:divBdr>
        <w:top w:val="none" w:sz="0" w:space="0" w:color="auto"/>
        <w:left w:val="none" w:sz="0" w:space="0" w:color="auto"/>
        <w:bottom w:val="none" w:sz="0" w:space="0" w:color="auto"/>
        <w:right w:val="none" w:sz="0" w:space="0" w:color="auto"/>
      </w:divBdr>
    </w:div>
    <w:div w:id="177159799">
      <w:bodyDiv w:val="1"/>
      <w:marLeft w:val="0"/>
      <w:marRight w:val="0"/>
      <w:marTop w:val="0"/>
      <w:marBottom w:val="0"/>
      <w:divBdr>
        <w:top w:val="none" w:sz="0" w:space="0" w:color="auto"/>
        <w:left w:val="none" w:sz="0" w:space="0" w:color="auto"/>
        <w:bottom w:val="none" w:sz="0" w:space="0" w:color="auto"/>
        <w:right w:val="none" w:sz="0" w:space="0" w:color="auto"/>
      </w:divBdr>
      <w:divsChild>
        <w:div w:id="1407847101">
          <w:marLeft w:val="0"/>
          <w:marRight w:val="0"/>
          <w:marTop w:val="0"/>
          <w:marBottom w:val="0"/>
          <w:divBdr>
            <w:top w:val="none" w:sz="0" w:space="0" w:color="auto"/>
            <w:left w:val="none" w:sz="0" w:space="0" w:color="auto"/>
            <w:bottom w:val="none" w:sz="0" w:space="0" w:color="auto"/>
            <w:right w:val="none" w:sz="0" w:space="0" w:color="auto"/>
          </w:divBdr>
          <w:divsChild>
            <w:div w:id="10846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87371">
      <w:bodyDiv w:val="1"/>
      <w:marLeft w:val="0"/>
      <w:marRight w:val="0"/>
      <w:marTop w:val="0"/>
      <w:marBottom w:val="0"/>
      <w:divBdr>
        <w:top w:val="none" w:sz="0" w:space="0" w:color="auto"/>
        <w:left w:val="none" w:sz="0" w:space="0" w:color="auto"/>
        <w:bottom w:val="none" w:sz="0" w:space="0" w:color="auto"/>
        <w:right w:val="none" w:sz="0" w:space="0" w:color="auto"/>
      </w:divBdr>
    </w:div>
    <w:div w:id="471092967">
      <w:bodyDiv w:val="1"/>
      <w:marLeft w:val="0"/>
      <w:marRight w:val="0"/>
      <w:marTop w:val="0"/>
      <w:marBottom w:val="0"/>
      <w:divBdr>
        <w:top w:val="none" w:sz="0" w:space="0" w:color="auto"/>
        <w:left w:val="none" w:sz="0" w:space="0" w:color="auto"/>
        <w:bottom w:val="none" w:sz="0" w:space="0" w:color="auto"/>
        <w:right w:val="none" w:sz="0" w:space="0" w:color="auto"/>
      </w:divBdr>
    </w:div>
    <w:div w:id="493572709">
      <w:bodyDiv w:val="1"/>
      <w:marLeft w:val="0"/>
      <w:marRight w:val="0"/>
      <w:marTop w:val="0"/>
      <w:marBottom w:val="0"/>
      <w:divBdr>
        <w:top w:val="none" w:sz="0" w:space="0" w:color="auto"/>
        <w:left w:val="none" w:sz="0" w:space="0" w:color="auto"/>
        <w:bottom w:val="none" w:sz="0" w:space="0" w:color="auto"/>
        <w:right w:val="none" w:sz="0" w:space="0" w:color="auto"/>
      </w:divBdr>
    </w:div>
    <w:div w:id="526067255">
      <w:bodyDiv w:val="1"/>
      <w:marLeft w:val="0"/>
      <w:marRight w:val="0"/>
      <w:marTop w:val="0"/>
      <w:marBottom w:val="0"/>
      <w:divBdr>
        <w:top w:val="none" w:sz="0" w:space="0" w:color="auto"/>
        <w:left w:val="none" w:sz="0" w:space="0" w:color="auto"/>
        <w:bottom w:val="none" w:sz="0" w:space="0" w:color="auto"/>
        <w:right w:val="none" w:sz="0" w:space="0" w:color="auto"/>
      </w:divBdr>
    </w:div>
    <w:div w:id="576785031">
      <w:bodyDiv w:val="1"/>
      <w:marLeft w:val="0"/>
      <w:marRight w:val="0"/>
      <w:marTop w:val="0"/>
      <w:marBottom w:val="0"/>
      <w:divBdr>
        <w:top w:val="none" w:sz="0" w:space="0" w:color="auto"/>
        <w:left w:val="none" w:sz="0" w:space="0" w:color="auto"/>
        <w:bottom w:val="none" w:sz="0" w:space="0" w:color="auto"/>
        <w:right w:val="none" w:sz="0" w:space="0" w:color="auto"/>
      </w:divBdr>
    </w:div>
    <w:div w:id="867983844">
      <w:bodyDiv w:val="1"/>
      <w:marLeft w:val="0"/>
      <w:marRight w:val="0"/>
      <w:marTop w:val="0"/>
      <w:marBottom w:val="0"/>
      <w:divBdr>
        <w:top w:val="none" w:sz="0" w:space="0" w:color="auto"/>
        <w:left w:val="none" w:sz="0" w:space="0" w:color="auto"/>
        <w:bottom w:val="none" w:sz="0" w:space="0" w:color="auto"/>
        <w:right w:val="none" w:sz="0" w:space="0" w:color="auto"/>
      </w:divBdr>
    </w:div>
    <w:div w:id="1110130275">
      <w:bodyDiv w:val="1"/>
      <w:marLeft w:val="0"/>
      <w:marRight w:val="0"/>
      <w:marTop w:val="0"/>
      <w:marBottom w:val="0"/>
      <w:divBdr>
        <w:top w:val="none" w:sz="0" w:space="0" w:color="auto"/>
        <w:left w:val="none" w:sz="0" w:space="0" w:color="auto"/>
        <w:bottom w:val="none" w:sz="0" w:space="0" w:color="auto"/>
        <w:right w:val="none" w:sz="0" w:space="0" w:color="auto"/>
      </w:divBdr>
      <w:divsChild>
        <w:div w:id="1139229689">
          <w:marLeft w:val="0"/>
          <w:marRight w:val="0"/>
          <w:marTop w:val="0"/>
          <w:marBottom w:val="0"/>
          <w:divBdr>
            <w:top w:val="none" w:sz="0" w:space="0" w:color="auto"/>
            <w:left w:val="none" w:sz="0" w:space="0" w:color="auto"/>
            <w:bottom w:val="none" w:sz="0" w:space="0" w:color="auto"/>
            <w:right w:val="none" w:sz="0" w:space="0" w:color="auto"/>
          </w:divBdr>
          <w:divsChild>
            <w:div w:id="16409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99312">
      <w:bodyDiv w:val="1"/>
      <w:marLeft w:val="0"/>
      <w:marRight w:val="0"/>
      <w:marTop w:val="0"/>
      <w:marBottom w:val="0"/>
      <w:divBdr>
        <w:top w:val="none" w:sz="0" w:space="0" w:color="auto"/>
        <w:left w:val="none" w:sz="0" w:space="0" w:color="auto"/>
        <w:bottom w:val="none" w:sz="0" w:space="0" w:color="auto"/>
        <w:right w:val="none" w:sz="0" w:space="0" w:color="auto"/>
      </w:divBdr>
    </w:div>
    <w:div w:id="1170439970">
      <w:bodyDiv w:val="1"/>
      <w:marLeft w:val="0"/>
      <w:marRight w:val="0"/>
      <w:marTop w:val="0"/>
      <w:marBottom w:val="0"/>
      <w:divBdr>
        <w:top w:val="none" w:sz="0" w:space="0" w:color="auto"/>
        <w:left w:val="none" w:sz="0" w:space="0" w:color="auto"/>
        <w:bottom w:val="none" w:sz="0" w:space="0" w:color="auto"/>
        <w:right w:val="none" w:sz="0" w:space="0" w:color="auto"/>
      </w:divBdr>
      <w:divsChild>
        <w:div w:id="2109084305">
          <w:marLeft w:val="0"/>
          <w:marRight w:val="0"/>
          <w:marTop w:val="0"/>
          <w:marBottom w:val="0"/>
          <w:divBdr>
            <w:top w:val="none" w:sz="0" w:space="0" w:color="auto"/>
            <w:left w:val="none" w:sz="0" w:space="0" w:color="auto"/>
            <w:bottom w:val="none" w:sz="0" w:space="0" w:color="auto"/>
            <w:right w:val="none" w:sz="0" w:space="0" w:color="auto"/>
          </w:divBdr>
          <w:divsChild>
            <w:div w:id="62904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68180">
      <w:bodyDiv w:val="1"/>
      <w:marLeft w:val="0"/>
      <w:marRight w:val="0"/>
      <w:marTop w:val="0"/>
      <w:marBottom w:val="0"/>
      <w:divBdr>
        <w:top w:val="none" w:sz="0" w:space="0" w:color="auto"/>
        <w:left w:val="none" w:sz="0" w:space="0" w:color="auto"/>
        <w:bottom w:val="none" w:sz="0" w:space="0" w:color="auto"/>
        <w:right w:val="none" w:sz="0" w:space="0" w:color="auto"/>
      </w:divBdr>
    </w:div>
    <w:div w:id="1224439531">
      <w:bodyDiv w:val="1"/>
      <w:marLeft w:val="0"/>
      <w:marRight w:val="0"/>
      <w:marTop w:val="0"/>
      <w:marBottom w:val="0"/>
      <w:divBdr>
        <w:top w:val="none" w:sz="0" w:space="0" w:color="auto"/>
        <w:left w:val="none" w:sz="0" w:space="0" w:color="auto"/>
        <w:bottom w:val="none" w:sz="0" w:space="0" w:color="auto"/>
        <w:right w:val="none" w:sz="0" w:space="0" w:color="auto"/>
      </w:divBdr>
      <w:divsChild>
        <w:div w:id="1046635662">
          <w:marLeft w:val="0"/>
          <w:marRight w:val="0"/>
          <w:marTop w:val="0"/>
          <w:marBottom w:val="0"/>
          <w:divBdr>
            <w:top w:val="none" w:sz="0" w:space="0" w:color="auto"/>
            <w:left w:val="none" w:sz="0" w:space="0" w:color="auto"/>
            <w:bottom w:val="none" w:sz="0" w:space="0" w:color="auto"/>
            <w:right w:val="none" w:sz="0" w:space="0" w:color="auto"/>
          </w:divBdr>
          <w:divsChild>
            <w:div w:id="15428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1511">
      <w:bodyDiv w:val="1"/>
      <w:marLeft w:val="0"/>
      <w:marRight w:val="0"/>
      <w:marTop w:val="0"/>
      <w:marBottom w:val="0"/>
      <w:divBdr>
        <w:top w:val="none" w:sz="0" w:space="0" w:color="auto"/>
        <w:left w:val="none" w:sz="0" w:space="0" w:color="auto"/>
        <w:bottom w:val="none" w:sz="0" w:space="0" w:color="auto"/>
        <w:right w:val="none" w:sz="0" w:space="0" w:color="auto"/>
      </w:divBdr>
      <w:divsChild>
        <w:div w:id="437799263">
          <w:marLeft w:val="0"/>
          <w:marRight w:val="0"/>
          <w:marTop w:val="0"/>
          <w:marBottom w:val="0"/>
          <w:divBdr>
            <w:top w:val="none" w:sz="0" w:space="0" w:color="auto"/>
            <w:left w:val="none" w:sz="0" w:space="0" w:color="auto"/>
            <w:bottom w:val="none" w:sz="0" w:space="0" w:color="auto"/>
            <w:right w:val="none" w:sz="0" w:space="0" w:color="auto"/>
          </w:divBdr>
          <w:divsChild>
            <w:div w:id="4900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07465">
      <w:bodyDiv w:val="1"/>
      <w:marLeft w:val="0"/>
      <w:marRight w:val="0"/>
      <w:marTop w:val="0"/>
      <w:marBottom w:val="0"/>
      <w:divBdr>
        <w:top w:val="none" w:sz="0" w:space="0" w:color="auto"/>
        <w:left w:val="none" w:sz="0" w:space="0" w:color="auto"/>
        <w:bottom w:val="none" w:sz="0" w:space="0" w:color="auto"/>
        <w:right w:val="none" w:sz="0" w:space="0" w:color="auto"/>
      </w:divBdr>
    </w:div>
    <w:div w:id="1415319869">
      <w:bodyDiv w:val="1"/>
      <w:marLeft w:val="0"/>
      <w:marRight w:val="0"/>
      <w:marTop w:val="0"/>
      <w:marBottom w:val="0"/>
      <w:divBdr>
        <w:top w:val="none" w:sz="0" w:space="0" w:color="auto"/>
        <w:left w:val="none" w:sz="0" w:space="0" w:color="auto"/>
        <w:bottom w:val="none" w:sz="0" w:space="0" w:color="auto"/>
        <w:right w:val="none" w:sz="0" w:space="0" w:color="auto"/>
      </w:divBdr>
    </w:div>
    <w:div w:id="1419935629">
      <w:bodyDiv w:val="1"/>
      <w:marLeft w:val="0"/>
      <w:marRight w:val="0"/>
      <w:marTop w:val="0"/>
      <w:marBottom w:val="0"/>
      <w:divBdr>
        <w:top w:val="none" w:sz="0" w:space="0" w:color="auto"/>
        <w:left w:val="none" w:sz="0" w:space="0" w:color="auto"/>
        <w:bottom w:val="none" w:sz="0" w:space="0" w:color="auto"/>
        <w:right w:val="none" w:sz="0" w:space="0" w:color="auto"/>
      </w:divBdr>
    </w:div>
    <w:div w:id="1491604473">
      <w:bodyDiv w:val="1"/>
      <w:marLeft w:val="0"/>
      <w:marRight w:val="0"/>
      <w:marTop w:val="0"/>
      <w:marBottom w:val="0"/>
      <w:divBdr>
        <w:top w:val="none" w:sz="0" w:space="0" w:color="auto"/>
        <w:left w:val="none" w:sz="0" w:space="0" w:color="auto"/>
        <w:bottom w:val="none" w:sz="0" w:space="0" w:color="auto"/>
        <w:right w:val="none" w:sz="0" w:space="0" w:color="auto"/>
      </w:divBdr>
    </w:div>
    <w:div w:id="1633830939">
      <w:bodyDiv w:val="1"/>
      <w:marLeft w:val="0"/>
      <w:marRight w:val="0"/>
      <w:marTop w:val="0"/>
      <w:marBottom w:val="0"/>
      <w:divBdr>
        <w:top w:val="none" w:sz="0" w:space="0" w:color="auto"/>
        <w:left w:val="none" w:sz="0" w:space="0" w:color="auto"/>
        <w:bottom w:val="none" w:sz="0" w:space="0" w:color="auto"/>
        <w:right w:val="none" w:sz="0" w:space="0" w:color="auto"/>
      </w:divBdr>
    </w:div>
    <w:div w:id="1688017824">
      <w:bodyDiv w:val="1"/>
      <w:marLeft w:val="0"/>
      <w:marRight w:val="0"/>
      <w:marTop w:val="0"/>
      <w:marBottom w:val="0"/>
      <w:divBdr>
        <w:top w:val="none" w:sz="0" w:space="0" w:color="auto"/>
        <w:left w:val="none" w:sz="0" w:space="0" w:color="auto"/>
        <w:bottom w:val="none" w:sz="0" w:space="0" w:color="auto"/>
        <w:right w:val="none" w:sz="0" w:space="0" w:color="auto"/>
      </w:divBdr>
      <w:divsChild>
        <w:div w:id="2028602548">
          <w:marLeft w:val="0"/>
          <w:marRight w:val="0"/>
          <w:marTop w:val="0"/>
          <w:marBottom w:val="0"/>
          <w:divBdr>
            <w:top w:val="none" w:sz="0" w:space="0" w:color="auto"/>
            <w:left w:val="none" w:sz="0" w:space="0" w:color="auto"/>
            <w:bottom w:val="none" w:sz="0" w:space="0" w:color="auto"/>
            <w:right w:val="none" w:sz="0" w:space="0" w:color="auto"/>
          </w:divBdr>
          <w:divsChild>
            <w:div w:id="1433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436">
      <w:bodyDiv w:val="1"/>
      <w:marLeft w:val="0"/>
      <w:marRight w:val="0"/>
      <w:marTop w:val="0"/>
      <w:marBottom w:val="0"/>
      <w:divBdr>
        <w:top w:val="none" w:sz="0" w:space="0" w:color="auto"/>
        <w:left w:val="none" w:sz="0" w:space="0" w:color="auto"/>
        <w:bottom w:val="none" w:sz="0" w:space="0" w:color="auto"/>
        <w:right w:val="none" w:sz="0" w:space="0" w:color="auto"/>
      </w:divBdr>
    </w:div>
    <w:div w:id="1986933591">
      <w:bodyDiv w:val="1"/>
      <w:marLeft w:val="0"/>
      <w:marRight w:val="0"/>
      <w:marTop w:val="0"/>
      <w:marBottom w:val="0"/>
      <w:divBdr>
        <w:top w:val="none" w:sz="0" w:space="0" w:color="auto"/>
        <w:left w:val="none" w:sz="0" w:space="0" w:color="auto"/>
        <w:bottom w:val="none" w:sz="0" w:space="0" w:color="auto"/>
        <w:right w:val="none" w:sz="0" w:space="0" w:color="auto"/>
      </w:divBdr>
      <w:divsChild>
        <w:div w:id="444274819">
          <w:marLeft w:val="0"/>
          <w:marRight w:val="0"/>
          <w:marTop w:val="0"/>
          <w:marBottom w:val="0"/>
          <w:divBdr>
            <w:top w:val="none" w:sz="0" w:space="0" w:color="auto"/>
            <w:left w:val="none" w:sz="0" w:space="0" w:color="auto"/>
            <w:bottom w:val="none" w:sz="0" w:space="0" w:color="auto"/>
            <w:right w:val="none" w:sz="0" w:space="0" w:color="auto"/>
          </w:divBdr>
          <w:divsChild>
            <w:div w:id="213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40178">
      <w:bodyDiv w:val="1"/>
      <w:marLeft w:val="0"/>
      <w:marRight w:val="0"/>
      <w:marTop w:val="0"/>
      <w:marBottom w:val="0"/>
      <w:divBdr>
        <w:top w:val="none" w:sz="0" w:space="0" w:color="auto"/>
        <w:left w:val="none" w:sz="0" w:space="0" w:color="auto"/>
        <w:bottom w:val="none" w:sz="0" w:space="0" w:color="auto"/>
        <w:right w:val="none" w:sz="0" w:space="0" w:color="auto"/>
      </w:divBdr>
    </w:div>
    <w:div w:id="204774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justice.europa.eu/content_european_training_platform-37158-en.do" TargetMode="External"/><Relationship Id="rId3" Type="http://schemas.openxmlformats.org/officeDocument/2006/relationships/hyperlink" Target="https://www.cepol.europa.eu/media/news/cepol-issues-fast-track-needs-analysis-impact-covid-19-law-enforcement-training" TargetMode="External"/><Relationship Id="rId7" Type="http://schemas.openxmlformats.org/officeDocument/2006/relationships/hyperlink" Target="http://www.ejtn.eu/Methodologies--Resources/Training-Methods" TargetMode="External"/><Relationship Id="rId12" Type="http://schemas.openxmlformats.org/officeDocument/2006/relationships/hyperlink" Target="https://ec.europa.eu/environment/legal/law/training_package.htm" TargetMode="External"/><Relationship Id="rId2" Type="http://schemas.openxmlformats.org/officeDocument/2006/relationships/hyperlink" Target="http://www.icj.org/wp-content/uploads/2016/03/Universal-Womens-accesss-to-justice-Publications-Practitioners-Guide-Series-2016-ENG.pdf" TargetMode="External"/><Relationship Id="rId1" Type="http://schemas.openxmlformats.org/officeDocument/2006/relationships/hyperlink" Target="https://ec.europa.eu/info/consultations/training-justice-professionals-eu-law-evaluation_hu" TargetMode="External"/><Relationship Id="rId6" Type="http://schemas.openxmlformats.org/officeDocument/2006/relationships/hyperlink" Target="https://e-justice.europa.eu/fileDownload.do?id=9f252d82-8ef4-4f6e-b562-372f9fa50096" TargetMode="External"/><Relationship Id="rId11" Type="http://schemas.openxmlformats.org/officeDocument/2006/relationships/hyperlink" Target="http://www.ejtn.eu/PageFiles/16144/2019-056-RoL%20Manual-170x240-WEB_FINAL.pdf" TargetMode="External"/><Relationship Id="rId5" Type="http://schemas.openxmlformats.org/officeDocument/2006/relationships/hyperlink" Target="https://bit.ly/2UDmqtX" TargetMode="External"/><Relationship Id="rId10" Type="http://schemas.openxmlformats.org/officeDocument/2006/relationships/hyperlink" Target="http://www.ejtn.eu/PageFiles/16144/2019-056-Training%20guide-v5_FINAL.pdf" TargetMode="External"/><Relationship Id="rId4" Type="http://schemas.openxmlformats.org/officeDocument/2006/relationships/hyperlink" Target="https://ec.europa.eu/info/law/cross-border-cases/training-legal-practitioners-and-training-practices_hu" TargetMode="External"/><Relationship Id="rId9" Type="http://schemas.openxmlformats.org/officeDocument/2006/relationships/hyperlink" Target="http://www.ejtn.eu/PageFiles/15756/Judicial%20Training%20Principle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54F2D-2A8A-4C85-BEA7-6D8292E5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4790</Words>
  <Characters>32765</Characters>
  <Application>Microsoft Office Word</Application>
  <DocSecurity>0</DocSecurity>
  <Lines>585</Lines>
  <Paragraphs>227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21</cp:revision>
  <dcterms:created xsi:type="dcterms:W3CDTF">2020-11-04T15:15:00Z</dcterms:created>
  <dcterms:modified xsi:type="dcterms:W3CDTF">2020-12-02T07:27:00Z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