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C505E8C9-9DD1-4769-B405-2AA9B23D9094" style="width:450.35pt;height:420.4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EXPOSICIÓN DE MOTIVOS</w:t>
      </w:r>
    </w:p>
    <w:p>
      <w:pPr>
        <w:rPr>
          <w:noProof/>
        </w:rPr>
      </w:pPr>
    </w:p>
    <w:p>
      <w:pPr>
        <w:pStyle w:val="ManualHeading1"/>
        <w:rPr>
          <w:noProof/>
        </w:rPr>
      </w:pPr>
      <w:r>
        <w:rPr>
          <w:noProof/>
        </w:rPr>
        <w:t>1.</w:t>
      </w:r>
      <w:r>
        <w:rPr>
          <w:noProof/>
        </w:rPr>
        <w:tab/>
        <w:t>CONTEXTO DE LA PROPUESTA</w:t>
      </w:r>
    </w:p>
    <w:p>
      <w:pPr>
        <w:pStyle w:val="ManualHeading2"/>
        <w:rPr>
          <w:rFonts w:eastAsia="Arial Unicode MS"/>
          <w:noProof/>
        </w:rPr>
      </w:pPr>
      <w:r>
        <w:rPr>
          <w:noProof/>
          <w:color w:val="000000"/>
          <w:u w:color="000000"/>
          <w:bdr w:val="nil"/>
        </w:rPr>
        <w:t>•</w:t>
      </w:r>
      <w:r>
        <w:rPr>
          <w:noProof/>
        </w:rPr>
        <w:tab/>
        <w:t>Razones y objetivos de la propuesta</w:t>
      </w:r>
    </w:p>
    <w:p>
      <w:pPr>
        <w:rPr>
          <w:rFonts w:eastAsia="Calibri"/>
          <w:noProof/>
        </w:rPr>
      </w:pPr>
      <w:r>
        <w:rPr>
          <w:noProof/>
        </w:rPr>
        <w:t>La democracia es uno de los valores fundamentales en los que se basa la Unión Europea. Con el objetivo de garantizar el funcionamiento de una democracia representativa a nivel europeo, los Tratados determinan que los ciudadanos de la Unión estarán directamente representados en el Parlamento Europeo.</w:t>
      </w:r>
    </w:p>
    <w:p>
      <w:pPr>
        <w:rPr>
          <w:rFonts w:eastAsia="Calibri"/>
          <w:noProof/>
        </w:rPr>
      </w:pPr>
      <w:r>
        <w:rPr>
          <w:noProof/>
        </w:rPr>
        <w:t>Los partidos políticos desempeñan una función esencial en una democracia representativa, creando un vínculo directo entre los ciudadanos y el sistema político, reforzando así la legitimidad del sistema. Según el artículo 10 del Tratado de la Unión Europea, «[l]os partidos políticos a escala europea contribuirán a formar la conciencia política europea y a expresar la voluntad de los ciudadanos de la Unión». El artículo 12, apartado 2, de la Carta de los Derechos Fundamentales de la Unión Europea expresa el mismo principio.</w:t>
      </w:r>
    </w:p>
    <w:p>
      <w:pPr>
        <w:rPr>
          <w:noProof/>
          <w:szCs w:val="24"/>
        </w:rPr>
      </w:pPr>
      <w:r>
        <w:rPr>
          <w:noProof/>
        </w:rPr>
        <w:t>En febrero de 2018, la Comisión publicó una Recomendación</w:t>
      </w:r>
      <w:r>
        <w:rPr>
          <w:rStyle w:val="FootnoteReference"/>
          <w:noProof/>
        </w:rPr>
        <w:footnoteReference w:id="2"/>
      </w:r>
      <w:r>
        <w:rPr>
          <w:noProof/>
        </w:rPr>
        <w:t xml:space="preserve"> con vistas a reforzar el carácter europeo y el desarrollo eficiente de las elecciones de 2019 al Parlamento Europeo, dirigida a los Estados miembros y a los partidos políticos europeos y nacionales. En ella se instaba a los partidos políticos europeos y a los partidos nacionales a aumentar la transparencia sobre sus vínculos y afiliación respectivos y se les invitaba a ayudar a aumentar la sensibilización de los ciudadanos sobre las cuestiones que están en juego a nivel de la Unión y sobre cómo piensan tratarlas durante la siguiente legislatura.</w:t>
      </w:r>
    </w:p>
    <w:p>
      <w:pPr>
        <w:rPr>
          <w:rFonts w:eastAsia="Calibri"/>
          <w:noProof/>
        </w:rPr>
      </w:pPr>
      <w:r>
        <w:rPr>
          <w:noProof/>
        </w:rPr>
        <w:t>En la UE, la protección de datos es un derecho fundamental y el Reglamento general de protección de datos</w:t>
      </w:r>
      <w:r>
        <w:rPr>
          <w:rStyle w:val="FootnoteReference"/>
          <w:noProof/>
        </w:rPr>
        <w:footnoteReference w:id="3"/>
      </w:r>
      <w:r>
        <w:rPr>
          <w:noProof/>
        </w:rPr>
        <w:t xml:space="preserve"> establece normas estrictas para proteger este derecho fundamental. En particular, los datos personales deben tratarse de forma lícita y justa. </w:t>
      </w:r>
    </w:p>
    <w:p>
      <w:pPr>
        <w:rPr>
          <w:rFonts w:eastAsia="Calibri"/>
          <w:noProof/>
        </w:rPr>
      </w:pPr>
      <w:r>
        <w:rPr>
          <w:noProof/>
        </w:rPr>
        <w:t>La comunicación en línea puede permitir una interacción más estrecha y directa entre los actores políticos y los ciudadanos europeos. Al mismo tiempo, presenta un mayor riesgo de tratamiento ilegal de los datos personales de los ciudadanos en el contexto electoral. Una serie de acontecimientos recientes muestran que los abusos de las normas de protección de datos pueden afectar al debate democrático y a las elecciones libres, incluidas las elecciones al Parlamento Europeo.</w:t>
      </w:r>
    </w:p>
    <w:p>
      <w:pPr>
        <w:rPr>
          <w:noProof/>
          <w:u w:color="000000"/>
          <w:bdr w:val="nil"/>
        </w:rPr>
      </w:pPr>
      <w:r>
        <w:rPr>
          <w:noProof/>
        </w:rPr>
        <w:t>En 2018, el asunto Facebook / Cambridge Analytica, relativo al supuesto tratamiento ilícito de datos personales de usuarios adquiridos a Facebook por la empresa Cambridge Analytica, suscitó una gran preocupación en cuanto al impacto de las infracciones de la protección de datos en los procesos electorales. Se están llevando a cabo investigaciones sobre ese caso concreto, entre otras la emprendida por la autoridad británica de control de la protección de datos (</w:t>
      </w:r>
      <w:r>
        <w:rPr>
          <w:i/>
          <w:noProof/>
        </w:rPr>
        <w:t>Information Commissioner’s Office</w:t>
      </w:r>
      <w:r>
        <w:rPr>
          <w:noProof/>
        </w:rPr>
        <w:t xml:space="preserve">), que dirige la investigación europea en colaboración con otras autoridades europeas de control de la protección de datos. La Comisión se mantiene en estrecho contacto con esas autoridades y está siguiendo de cerca este proceso. La Comisión Federal de Comercio de los EE.UU. ha abierto una investigación sobre el asunto. También se celebraron una serie de audiencias en el Parlamento Europeo sobre ese asunto y su impacto en los datos personales de los particulares en la Unión. </w:t>
      </w:r>
    </w:p>
    <w:p>
      <w:pPr>
        <w:rPr>
          <w:noProof/>
          <w:szCs w:val="24"/>
        </w:rPr>
      </w:pPr>
      <w:r>
        <w:rPr>
          <w:noProof/>
        </w:rPr>
        <w:t>El Reglamento (UE, Euratom) n.º 1141/2014 del Parlamento Europeo y del Consejo, de 22 de octubre de 2014, sobre el estatuto y la financiación de los partidos políticos europeos y las fundaciones políticas europeas</w:t>
      </w:r>
      <w:r>
        <w:rPr>
          <w:rStyle w:val="FootnoteReference"/>
          <w:noProof/>
        </w:rPr>
        <w:footnoteReference w:id="4"/>
      </w:r>
      <w:r>
        <w:rPr>
          <w:noProof/>
        </w:rPr>
        <w:t xml:space="preserve">, se introdujo para aumentar la visibilidad, el reconocimiento, la eficacia, la transparencia y la rendición de cuentas de los partidos políticos europeos y sus fundaciones políticas afiliadas. A la luz de dicho Reglamento, se ofreció a los partidos políticos europeos y las fundaciones políticas europeas que reunían una serie de condiciones la oportunidad de convertirse en entidades jurídicas europeas mediante la inscripción en un registro a nivel europeo, lo que les permitiría acceder a ayuda financiera europea. Esas condiciones incluyen el respeto, tanto en su programa como en sus actividades, de los valores en que se basa la UE, enumerados en el artículo 2 del Tratado de la Unión Europea: respeto de la dignidad humana, libertad, democracia, igualdad, Estado de Derecho y respeto de los derechos humanos, incluidos los derechos de las personas pertenecientes a minorías. Se creó una Autoridad para los partidos políticos europeos y las fundaciones políticas europeas (en lo sucesivo, «la Autoridad») independiente, con el fin de registrar y controlar, y en su caso imponer sanciones, a los partidos políticos europeos y las fundaciones políticas europeas, y en particular de analizar los casos en que estas entidades presuntamente no respetan esos valores fundamentales europeos. </w:t>
      </w:r>
    </w:p>
    <w:p>
      <w:pPr>
        <w:rPr>
          <w:rFonts w:eastAsia="Calibri"/>
          <w:noProof/>
        </w:rPr>
      </w:pPr>
      <w:r>
        <w:rPr>
          <w:noProof/>
        </w:rPr>
        <w:t>Sin embargo, las normas existentes no permiten desalentar y sancionar eficazmente los abusos de las normas de protección de datos, lo que puede afectar al debate democrático y a las elecciones libres.</w:t>
      </w:r>
    </w:p>
    <w:p>
      <w:pPr>
        <w:pBdr>
          <w:top w:val="nil"/>
          <w:left w:val="nil"/>
          <w:bottom w:val="nil"/>
          <w:right w:val="nil"/>
          <w:between w:val="nil"/>
          <w:bar w:val="nil"/>
        </w:pBdr>
        <w:spacing w:before="0" w:after="240"/>
        <w:rPr>
          <w:noProof/>
        </w:rPr>
      </w:pPr>
      <w:r>
        <w:rPr>
          <w:noProof/>
        </w:rPr>
        <w:t xml:space="preserve">Con el fin de garantizar que las elecciones al Parlamento Europeo se celebren en el marco de unas normas democráticas rigurosas y respetando plenamente los valores europeos de la democracia, el Estado de Derecho y el respeto de los derechos fundamentales, la Comisión propone una modificación específica del Reglamento n.º 1141/2014. Su objetivo es permitir la imposición de sanciones financieras a los partidos políticos europeos o las fundaciones políticas europeas que recurran a infracciones de las normas de protección de datos para influir deliberadamente o para intentar influir en el resultado de las elecciones al Parlamento Europeo. </w:t>
      </w:r>
    </w:p>
    <w:p>
      <w:pPr>
        <w:pBdr>
          <w:top w:val="nil"/>
          <w:left w:val="nil"/>
          <w:bottom w:val="nil"/>
          <w:right w:val="nil"/>
          <w:between w:val="nil"/>
          <w:bar w:val="nil"/>
        </w:pBdr>
        <w:spacing w:before="0" w:after="240"/>
        <w:rPr>
          <w:noProof/>
          <w:szCs w:val="24"/>
        </w:rPr>
      </w:pPr>
      <w:r>
        <w:rPr>
          <w:noProof/>
        </w:rPr>
        <w:t>La propuesta también permitirá a la Autoridad funcionar de manera fluida y eficaz, al garantizar que disponga de su propia asignación de personal y que su director se convierta en la autoridad facultada para proceder a los nombramientos. Ello debe permitir a la Autoridad desempeñar plenamente y con independencia sus tareas, incluidas las nuevas que se prevén en la presente propuesta. Paralelamente, a fin de responder a las peticiones de la Autoridad de aumentar el número de efectivos y teniendo en cuenta el papel clave que desempeña la Autoridad en el período inmediatamente anterior a las elecciones al Parlamento Europeo, la Comisión está dispuesta a poner inmediatamente a disposición los seis efectivos adicionales solicitados por la Autoridad, en régimen de comisión de servicio, que finalizará cuando se disponga de una dotación de personal permanente.</w:t>
      </w:r>
    </w:p>
    <w:p>
      <w:pPr>
        <w:rPr>
          <w:rFonts w:eastAsia="Calibri"/>
          <w:noProof/>
        </w:rPr>
      </w:pPr>
      <w:r>
        <w:rPr>
          <w:noProof/>
        </w:rPr>
        <w:t>El procedimiento para las elecciones al Parlamento Europeo se rige en cada Estado miembro por sus disposiciones nacionales. Los partidos políticos desempeñan una función esencial en una democracia representativa, creando un vínculo directo entre los ciudadanos y el sistema político. Los partidos políticos nacionales y regionales presentan a los candidatos y organizan campañas electorales. Las autoridades nacionales se encargan de supervisar las elecciones a nivel nacional. Los partidos políticos europeos organizan campañas complementarias a escala europea, incluidas las relativas a los cabezas de lista para la función de Presidente de la Comisión Europea.</w:t>
      </w:r>
    </w:p>
    <w:p>
      <w:pPr>
        <w:rPr>
          <w:rFonts w:eastAsia="Calibri"/>
          <w:noProof/>
        </w:rPr>
      </w:pPr>
      <w:r>
        <w:rPr>
          <w:noProof/>
        </w:rPr>
        <w:t>El Reglamento modificativo, junto con las orientaciones de la Comisión sobre la aplicación de la legislación de la Unión en materia de protección de datos en el contexto electoral</w:t>
      </w:r>
      <w:r>
        <w:rPr>
          <w:rStyle w:val="FootnoteReference"/>
          <w:noProof/>
        </w:rPr>
        <w:footnoteReference w:id="5"/>
      </w:r>
      <w:r>
        <w:rPr>
          <w:noProof/>
        </w:rPr>
        <w:t>, la Recomendación de la Comisión sobre las redes de cooperación electoral, la transparencia en línea y la protección contra los incidentes de ciberseguridad y la lucha contra las campañas de desinformación en el contexto de las elecciones al Parlamento Europeo</w:t>
      </w:r>
      <w:r>
        <w:rPr>
          <w:rStyle w:val="FootnoteReference"/>
          <w:noProof/>
        </w:rPr>
        <w:footnoteReference w:id="6"/>
      </w:r>
      <w:r>
        <w:rPr>
          <w:noProof/>
        </w:rPr>
        <w:t xml:space="preserve"> y una Comunicación de la Comisión titulada «Garantizar la celebración de elecciones europeas libres y justas»</w:t>
      </w:r>
      <w:r>
        <w:rPr>
          <w:rStyle w:val="FootnoteReference"/>
          <w:noProof/>
        </w:rPr>
        <w:footnoteReference w:id="7"/>
      </w:r>
      <w:r>
        <w:rPr>
          <w:noProof/>
        </w:rPr>
        <w:t>, adoptadas el mismo día, forma parte de un paquete de medidas de seguridad. Es una contribución de la Comisión Europea a la reunión de dirigentes que se celebrará en Salzburgo los días 19 y 20 de septiembre de 2018.</w:t>
      </w:r>
    </w:p>
    <w:p>
      <w:pPr>
        <w:rPr>
          <w:rFonts w:eastAsia="Calibri"/>
          <w:noProof/>
        </w:rPr>
      </w:pPr>
      <w:r>
        <w:rPr>
          <w:noProof/>
        </w:rPr>
        <w:t xml:space="preserve">La Recomendación anima a las autoridades de control de la protección de datos de conformidad con la legislación nacional y de la Unión aplicable a informar de inmediato y de manera proactiva a la Autoridad para los partidos políticos europeos y las fundaciones políticas europeas de sus decisiones por las que se declare que un partido político europeo, una fundación política europea u otra persona física o jurídica ha infringido las normas aplicables en materia de protección de datos personales. Esa información debe facilitarse cuando de dicha decisión se desprenda, o cuando existan motivos razonables para creer, que la infracción está vinculada a actividades políticas de un partido político europeo o una fundación política europea en el contexto de las elecciones al Parlamento Europeo. La Recomendación también anima a los Estados miembros a imponer sanciones adecuadas a los partidos políticos y las fundaciones políticas a nivel nacional y regional en casos de infracciones de las normas relativas a la protección de los datos personales que se utilicen para influir o para intentar influir en las elecciones al Parlamento Europeo. </w:t>
      </w:r>
    </w:p>
    <w:p>
      <w:pPr>
        <w:rPr>
          <w:noProof/>
          <w:u w:color="000000"/>
          <w:bdr w:val="nil"/>
        </w:rPr>
      </w:pPr>
      <w:r>
        <w:rPr>
          <w:noProof/>
        </w:rPr>
        <w:t xml:space="preserve">Las modificaciones específicas del Reglamento n.º 1141/2014 deberían estar en vigor antes de las elecciones de 2019 al Parlamento Europeo. </w:t>
      </w:r>
    </w:p>
    <w:p>
      <w:pPr>
        <w:pStyle w:val="ManualHeading2"/>
        <w:rPr>
          <w:rFonts w:eastAsia="Arial Unicode MS"/>
          <w:noProof/>
          <w:color w:val="000000"/>
          <w:u w:color="000000"/>
          <w:bdr w:val="nil"/>
        </w:rPr>
      </w:pPr>
      <w:r>
        <w:rPr>
          <w:noProof/>
          <w:color w:val="000000"/>
          <w:u w:color="000000"/>
          <w:bdr w:val="nil"/>
        </w:rPr>
        <w:t>•</w:t>
      </w:r>
      <w:r>
        <w:rPr>
          <w:noProof/>
        </w:rPr>
        <w:tab/>
        <w:t xml:space="preserve">Coherencia con otras políticas de la Unión </w:t>
      </w:r>
    </w:p>
    <w:p>
      <w:pPr>
        <w:rPr>
          <w:noProof/>
        </w:rPr>
      </w:pPr>
      <w:r>
        <w:rPr>
          <w:noProof/>
        </w:rPr>
        <w:t>Desde el 25 de mayo de 2018, el Reglamento general de protección de datos</w:t>
      </w:r>
      <w:r>
        <w:rPr>
          <w:rStyle w:val="FootnoteReference"/>
          <w:noProof/>
        </w:rPr>
        <w:footnoteReference w:id="8"/>
      </w:r>
      <w:r>
        <w:rPr>
          <w:noProof/>
        </w:rPr>
        <w:t xml:space="preserve"> se aplica en todos los Estados miembros de la UE. El Reglamento establece normas elevadas de protección de datos que son adecuadas para la economía digital y que aumentan la responsabilidad y la rendición de cuentas de las organizaciones que tratan datos, incluidos los partidos políticos europeos y las fundaciones políticas europeas, en el modo de manejar los datos personales. </w:t>
      </w:r>
    </w:p>
    <w:p>
      <w:pPr>
        <w:rPr>
          <w:noProof/>
        </w:rPr>
      </w:pPr>
      <w:r>
        <w:rPr>
          <w:noProof/>
        </w:rPr>
        <w:t>En su Recomendación de 14 de febrero de 2018</w:t>
      </w:r>
      <w:r>
        <w:rPr>
          <w:rStyle w:val="FootnoteReference"/>
          <w:noProof/>
        </w:rPr>
        <w:footnoteReference w:id="9"/>
      </w:r>
      <w:r>
        <w:rPr>
          <w:noProof/>
        </w:rPr>
        <w:t xml:space="preserve"> con vistas a reforzar el carácter europeo y el desarrollo eficiente de las elecciones de 2019 al Parlamento Europeo, la Comisión invitó a las autoridades nacionales competentes a determinar las mejores prácticas para detectar, mitigar y gestionar los riesgos que suponen para los procesos electorales los ciberataques y la desinformación. En abril de 2018, la Comisión organizó una reunión con las comisiones electorales de los Estados miembros para debatir, intercambiar las mejores prácticas y sensibilizar a las autoridades nacionales sobre las cuestiones de seguridad, campañas de desinformación y aplicación de las normas electorales en línea.</w:t>
      </w:r>
    </w:p>
    <w:p>
      <w:pPr>
        <w:pBdr>
          <w:top w:val="nil"/>
          <w:left w:val="nil"/>
          <w:bottom w:val="nil"/>
          <w:right w:val="nil"/>
          <w:between w:val="nil"/>
          <w:bar w:val="nil"/>
        </w:pBdr>
        <w:spacing w:before="0" w:after="240"/>
        <w:rPr>
          <w:noProof/>
          <w:highlight w:val="green"/>
        </w:rPr>
      </w:pPr>
      <w:r>
        <w:rPr>
          <w:noProof/>
        </w:rPr>
        <w:t>En abril de 2018, la Comisión publicó una Comunicación, «La lucha contra la desinformación en línea»</w:t>
      </w:r>
      <w:r>
        <w:rPr>
          <w:rStyle w:val="FootnoteReference"/>
          <w:noProof/>
        </w:rPr>
        <w:footnoteReference w:id="10"/>
      </w:r>
      <w:r>
        <w:rPr>
          <w:noProof/>
        </w:rPr>
        <w:t xml:space="preserve">, en la que se definen los papeles y las responsabilidades de las partes interesadas relevantes y se formulan diversas medidas, entre las que figura el refuerzo de la respuesta de las comunicaciones estratégicas de la Comisión a la desinformación. </w:t>
      </w:r>
    </w:p>
    <w:p>
      <w:pPr>
        <w:rPr>
          <w:noProof/>
          <w:szCs w:val="24"/>
        </w:rPr>
      </w:pPr>
      <w:r>
        <w:rPr>
          <w:noProof/>
        </w:rPr>
        <w:t>La presente propuesta es coherente con la propuesta de Reglamento de la Comisión</w:t>
      </w:r>
      <w:r>
        <w:rPr>
          <w:rStyle w:val="FootnoteReference"/>
          <w:noProof/>
        </w:rPr>
        <w:footnoteReference w:id="11"/>
      </w:r>
      <w:r>
        <w:rPr>
          <w:noProof/>
        </w:rPr>
        <w:t xml:space="preserve"> sobre el respeto de la vida privada y la protección de los datos personales en el sector de las comunicaciones electrónicas (Reglamento sobre la privacidad y las comunicaciones electrónicas) y por el que se deroga la actual Directiva sobre la privacidad y las comunicaciones electrónicas</w:t>
      </w:r>
      <w:r>
        <w:rPr>
          <w:rStyle w:val="FootnoteReference"/>
          <w:noProof/>
        </w:rPr>
        <w:footnoteReference w:id="12"/>
      </w:r>
      <w:r>
        <w:rPr>
          <w:noProof/>
        </w:rPr>
        <w:t xml:space="preserve">, que reforzará la transparencia y ampliará el alcance de la protección más allá de los operadores tradicionales de telecomunicaciones para incluir los servicios de comunicaciones electrónicas basados en internet y que debe ser adoptado sin demora por los colegisladores. </w:t>
      </w:r>
    </w:p>
    <w:p>
      <w:pPr>
        <w:pBdr>
          <w:top w:val="nil"/>
          <w:left w:val="nil"/>
          <w:bottom w:val="nil"/>
          <w:right w:val="nil"/>
          <w:between w:val="nil"/>
          <w:bar w:val="nil"/>
        </w:pBdr>
        <w:spacing w:before="0" w:after="240"/>
        <w:rPr>
          <w:noProof/>
        </w:rPr>
      </w:pPr>
    </w:p>
    <w:p>
      <w:pPr>
        <w:pStyle w:val="ManualHeading1"/>
        <w:rPr>
          <w:noProof/>
        </w:rPr>
      </w:pPr>
      <w:r>
        <w:rPr>
          <w:noProof/>
        </w:rPr>
        <w:t>2.</w:t>
      </w:r>
      <w:r>
        <w:rPr>
          <w:noProof/>
        </w:rPr>
        <w:tab/>
        <w:t>BASE JURÍDICA, SUBSIDIARIEDAD Y PROPORCIONALIDAD</w:t>
      </w:r>
    </w:p>
    <w:p>
      <w:pPr>
        <w:pStyle w:val="ManualHeading2"/>
        <w:rPr>
          <w:rFonts w:eastAsia="Arial Unicode MS"/>
          <w:noProof/>
          <w:u w:color="000000"/>
          <w:bdr w:val="nil"/>
        </w:rPr>
      </w:pPr>
      <w:r>
        <w:rPr>
          <w:noProof/>
        </w:rPr>
        <w:t>•</w:t>
      </w:r>
      <w:r>
        <w:rPr>
          <w:noProof/>
        </w:rPr>
        <w:tab/>
        <w:t>Base jurídica</w:t>
      </w:r>
    </w:p>
    <w:p>
      <w:pPr>
        <w:autoSpaceDE w:val="0"/>
        <w:autoSpaceDN w:val="0"/>
        <w:adjustRightInd w:val="0"/>
        <w:spacing w:after="0"/>
        <w:rPr>
          <w:bCs/>
          <w:noProof/>
          <w:szCs w:val="24"/>
        </w:rPr>
      </w:pPr>
      <w:r>
        <w:rPr>
          <w:noProof/>
        </w:rPr>
        <w:t>La propuesta se basa en el artículo 224 del Tratado de Funcionamiento de la Unión Europea, que afirma que «[e]l Parlamento Europeo y el Consejo, con arreglo al procedimiento legislativo ordinario, establecerán mediante reglamentos el estatuto de los partidos políticos a escala europea, a los que se hace referencia en el en el apartado 4 del artículo 10 del Tratado de la Unión Europea, y en particular las normas relativas a su financiación», así como en el artículo 106 </w:t>
      </w:r>
      <w:r>
        <w:rPr>
          <w:i/>
          <w:noProof/>
        </w:rPr>
        <w:t>bis</w:t>
      </w:r>
      <w:r>
        <w:rPr>
          <w:noProof/>
        </w:rPr>
        <w:t xml:space="preserve"> del Tratado constitutivo de la Comunidad Europea de la Energía Atómica</w:t>
      </w:r>
      <w:r>
        <w:rPr>
          <w:rStyle w:val="FootnoteReference"/>
          <w:noProof/>
        </w:rPr>
        <w:footnoteReference w:id="13"/>
      </w:r>
      <w:r>
        <w:rPr>
          <w:noProof/>
        </w:rPr>
        <w:t>.</w:t>
      </w:r>
    </w:p>
    <w:p>
      <w:pPr>
        <w:pStyle w:val="ManualHeading2"/>
        <w:rPr>
          <w:rFonts w:eastAsia="Arial Unicode MS"/>
          <w:noProof/>
          <w:u w:color="000000"/>
          <w:bdr w:val="nil"/>
        </w:rPr>
      </w:pPr>
      <w:r>
        <w:rPr>
          <w:noProof/>
        </w:rPr>
        <w:t>•</w:t>
      </w:r>
      <w:r>
        <w:rPr>
          <w:noProof/>
        </w:rPr>
        <w:tab/>
        <w:t>Subsidiariedad</w:t>
      </w:r>
    </w:p>
    <w:p>
      <w:pPr>
        <w:autoSpaceDE w:val="0"/>
        <w:autoSpaceDN w:val="0"/>
        <w:adjustRightInd w:val="0"/>
        <w:spacing w:after="0"/>
        <w:rPr>
          <w:bCs/>
          <w:noProof/>
          <w:szCs w:val="24"/>
        </w:rPr>
      </w:pPr>
      <w:r>
        <w:rPr>
          <w:noProof/>
        </w:rPr>
        <w:t>Dado que el Reglamento en vigor prevé un sistema a escala de la UE, en particular una personalidad jurídica europea específica para los partidos y las fundaciones y la financiación con cargo al presupuesto de la UE, las posibles deficiencias de este sistema solo pueden resolverse mediante la legislación de la UE. La actuación de los Estados miembros por sí solos no es, por tanto, una opción pertinente.</w:t>
      </w:r>
    </w:p>
    <w:p>
      <w:pPr>
        <w:autoSpaceDE w:val="0"/>
        <w:autoSpaceDN w:val="0"/>
        <w:adjustRightInd w:val="0"/>
        <w:spacing w:after="0"/>
        <w:rPr>
          <w:bCs/>
          <w:noProof/>
          <w:szCs w:val="24"/>
        </w:rPr>
      </w:pPr>
      <w:r>
        <w:rPr>
          <w:noProof/>
        </w:rPr>
        <w:t>Los cambios específicos propuestos cumplen, por tanto, plenamente con el principio de subsidiariedad. El nivel de la UE es el único en el que pueden establecerse normas que regulen el estatuto y la financiación de los partidos políticos y las fundaciones políticas a escala europea. Al establecer las posibles medidas de reforma, la Comisión ha procurado reflejar los principios contenidos en el Protocolo n.º 2 de los Tratados.</w:t>
      </w:r>
    </w:p>
    <w:p>
      <w:pPr>
        <w:pStyle w:val="ManualHeading2"/>
        <w:rPr>
          <w:rFonts w:eastAsia="Arial Unicode MS"/>
          <w:noProof/>
          <w:u w:color="000000"/>
          <w:bdr w:val="nil"/>
        </w:rPr>
      </w:pPr>
      <w:r>
        <w:rPr>
          <w:noProof/>
        </w:rPr>
        <w:t>•</w:t>
      </w:r>
      <w:r>
        <w:rPr>
          <w:noProof/>
        </w:rPr>
        <w:tab/>
        <w:t>Proporcionalidad</w:t>
      </w:r>
    </w:p>
    <w:p>
      <w:pPr>
        <w:autoSpaceDE w:val="0"/>
        <w:autoSpaceDN w:val="0"/>
        <w:adjustRightInd w:val="0"/>
        <w:spacing w:after="0"/>
        <w:rPr>
          <w:bCs/>
          <w:noProof/>
          <w:szCs w:val="24"/>
        </w:rPr>
      </w:pPr>
      <w:r>
        <w:rPr>
          <w:noProof/>
        </w:rPr>
        <w:t xml:space="preserve">Como se explica en la sección 5, las medidas específicas propuestas no van más allá de lo necesario para alcanzar el objetivo a largo plazo de desarrollar y consolidar la democracia europea y la legitimidad de las instituciones de la UE. </w:t>
      </w:r>
    </w:p>
    <w:p>
      <w:pPr>
        <w:autoSpaceDE w:val="0"/>
        <w:autoSpaceDN w:val="0"/>
        <w:adjustRightInd w:val="0"/>
        <w:spacing w:after="0"/>
        <w:rPr>
          <w:bCs/>
          <w:noProof/>
          <w:szCs w:val="24"/>
        </w:rPr>
      </w:pPr>
      <w:r>
        <w:rPr>
          <w:noProof/>
        </w:rPr>
        <w:t xml:space="preserve">La propuesta respeta el principio de proporcionalidad. Las sanciones propuestas se basan en el régimen previsto en el Reglamento 1141/2014, al establecer sanciones proporcionadas. Las medidas propuestas impiden que se penalice por partida doble el mismo comportamiento: las infracciones de las normas de protección de datos serán sancionadas por las autoridades de control de la protección de datos competentes establecidas por el Reglamento general de protección de datos. El comportamiento sancionado por la presente propuesta es el aprovechamiento de las infracciones de las normas de protección de datos para influir deliberadamente o para intentar influir en las elecciones al Parlamento Europeo. La Autoridad no impondrá sanciones por las infracciones de las normas de protección de datos propiamente dichas. </w:t>
      </w:r>
    </w:p>
    <w:p>
      <w:pPr>
        <w:pStyle w:val="ManualHeading2"/>
        <w:rPr>
          <w:rFonts w:eastAsia="Arial Unicode MS"/>
          <w:noProof/>
          <w:u w:color="000000"/>
          <w:bdr w:val="nil"/>
        </w:rPr>
      </w:pPr>
      <w:r>
        <w:rPr>
          <w:noProof/>
        </w:rPr>
        <w:t>•</w:t>
      </w:r>
      <w:r>
        <w:rPr>
          <w:noProof/>
        </w:rPr>
        <w:tab/>
        <w:t>Elección del instrumento</w:t>
      </w:r>
    </w:p>
    <w:p>
      <w:pPr>
        <w:pBdr>
          <w:top w:val="nil"/>
          <w:left w:val="nil"/>
          <w:bottom w:val="nil"/>
          <w:right w:val="nil"/>
          <w:between w:val="nil"/>
          <w:bar w:val="nil"/>
        </w:pBdr>
        <w:spacing w:before="0" w:after="240"/>
        <w:rPr>
          <w:rFonts w:eastAsia="Arial Unicode MS"/>
          <w:noProof/>
        </w:rPr>
      </w:pPr>
      <w:r>
        <w:rPr>
          <w:noProof/>
        </w:rPr>
        <w:t>Solo un reglamento puede modificar un reglamento vigente.</w:t>
      </w:r>
    </w:p>
    <w:p>
      <w:pPr>
        <w:pStyle w:val="ManualHeading1"/>
        <w:rPr>
          <w:noProof/>
        </w:rPr>
      </w:pPr>
      <w:r>
        <w:rPr>
          <w:noProof/>
        </w:rPr>
        <w:t>3.</w:t>
      </w:r>
      <w:r>
        <w:rPr>
          <w:noProof/>
        </w:rPr>
        <w:tab/>
        <w:t xml:space="preserve">RESULTADOS DE LAS EVALUACIONES </w:t>
      </w:r>
      <w:r>
        <w:rPr>
          <w:i/>
          <w:noProof/>
        </w:rPr>
        <w:t>EX POST</w:t>
      </w:r>
      <w:r>
        <w:rPr>
          <w:noProof/>
        </w:rPr>
        <w:t>, DE LAS CONSULTAS CON LAS PARTES INTERESADAS Y DE LAS EVALUACIONES DE IMPACTO</w:t>
      </w:r>
    </w:p>
    <w:p>
      <w:pPr>
        <w:pStyle w:val="ManualHeading2"/>
        <w:rPr>
          <w:rFonts w:eastAsia="Arial Unicode MS"/>
          <w:noProof/>
          <w:u w:color="000000"/>
          <w:bdr w:val="nil"/>
        </w:rPr>
      </w:pPr>
      <w:r>
        <w:rPr>
          <w:noProof/>
        </w:rPr>
        <w:t>•</w:t>
      </w:r>
      <w:r>
        <w:rPr>
          <w:noProof/>
        </w:rPr>
        <w:tab/>
        <w:t>Consultas con las partes interesadas</w:t>
      </w:r>
    </w:p>
    <w:p>
      <w:pPr>
        <w:pBdr>
          <w:top w:val="nil"/>
          <w:left w:val="nil"/>
          <w:bottom w:val="nil"/>
          <w:right w:val="nil"/>
          <w:between w:val="nil"/>
          <w:bar w:val="nil"/>
        </w:pBdr>
        <w:spacing w:before="0" w:after="240"/>
        <w:rPr>
          <w:rFonts w:eastAsia="Arial Unicode MS"/>
          <w:noProof/>
          <w:color w:val="000000"/>
          <w:u w:color="000000"/>
          <w:bdr w:val="nil"/>
        </w:rPr>
      </w:pPr>
      <w:r>
        <w:rPr>
          <w:noProof/>
        </w:rPr>
        <w:t xml:space="preserve">Al preparar la presente propuesta, la Comisión tuvo en cuenta las peticiones expresadas durante los debates y las audiencias que tuvieron lugar en el Parlamento Europeo en relación con el asunto de Facebook / Cambridge Analytica, que se refería a las </w:t>
      </w:r>
      <w:r>
        <w:rPr>
          <w:noProof/>
          <w:color w:val="000000"/>
          <w:u w:color="000000"/>
          <w:bdr w:val="nil"/>
        </w:rPr>
        <w:t>acusaciones de uso de datos de usuarios de Facebook por parte de Cambridge Analytica y su impacto en la protección de los datos personales de los particulares en la Unión (audiencias de 4 de junio de 2018, 25 de junio de 2018 y 2 de julio de 2018)</w:t>
      </w:r>
      <w:r>
        <w:rPr>
          <w:noProof/>
        </w:rPr>
        <w:t>.</w:t>
      </w:r>
      <w:r>
        <w:rPr>
          <w:noProof/>
          <w:color w:val="000000"/>
          <w:u w:color="000000"/>
          <w:bdr w:val="nil"/>
        </w:rPr>
        <w:t xml:space="preserve"> </w:t>
      </w:r>
    </w:p>
    <w:p>
      <w:pPr>
        <w:pBdr>
          <w:top w:val="nil"/>
          <w:left w:val="nil"/>
          <w:bottom w:val="nil"/>
          <w:right w:val="nil"/>
          <w:between w:val="nil"/>
          <w:bar w:val="nil"/>
        </w:pBdr>
        <w:spacing w:before="0" w:after="240"/>
        <w:rPr>
          <w:noProof/>
        </w:rPr>
      </w:pPr>
      <w:r>
        <w:rPr>
          <w:noProof/>
        </w:rPr>
        <w:t xml:space="preserve">Esos debates y audiencias pusieron de manifiesto que la utilización de técnicas engañosas y manipuladoras de microsegmentación, con el fin de influir injustamente en los resultados de las elecciones, está estrechamente vinculada a la cuestión de la transferencia y el tratamiento ilegales de datos personales. Las normas de la UE garantizan la protección efectiva de los datos personales. </w:t>
      </w:r>
    </w:p>
    <w:p>
      <w:pPr>
        <w:pBdr>
          <w:top w:val="nil"/>
          <w:left w:val="nil"/>
          <w:bottom w:val="nil"/>
          <w:right w:val="nil"/>
          <w:between w:val="nil"/>
          <w:bar w:val="nil"/>
        </w:pBdr>
        <w:spacing w:before="0" w:after="240"/>
        <w:rPr>
          <w:rFonts w:eastAsia="Arial Unicode MS"/>
          <w:noProof/>
          <w:u w:color="000000"/>
          <w:bdr w:val="nil"/>
        </w:rPr>
      </w:pPr>
      <w:r>
        <w:rPr>
          <w:noProof/>
        </w:rPr>
        <w:t>•</w:t>
      </w:r>
      <w:r>
        <w:rPr>
          <w:noProof/>
        </w:rPr>
        <w:tab/>
      </w:r>
      <w:r>
        <w:rPr>
          <w:b/>
          <w:noProof/>
          <w:u w:color="000000"/>
          <w:bdr w:val="nil"/>
        </w:rPr>
        <w:t>Evaluación de impacto</w:t>
      </w:r>
    </w:p>
    <w:p>
      <w:pPr>
        <w:pBdr>
          <w:top w:val="nil"/>
          <w:left w:val="nil"/>
          <w:bottom w:val="nil"/>
          <w:right w:val="nil"/>
          <w:between w:val="nil"/>
          <w:bar w:val="nil"/>
        </w:pBdr>
        <w:spacing w:before="0" w:after="240"/>
        <w:rPr>
          <w:rFonts w:eastAsia="Arial Unicode MS"/>
          <w:noProof/>
        </w:rPr>
      </w:pPr>
      <w:r>
        <w:rPr>
          <w:noProof/>
        </w:rPr>
        <w:t>La presente propuesta no va acompañada de una evaluación de impacto específica. No se espera que tenga repercusiones económicas, sociales y ambientales significativas. Las modificaciones propuestas se basan en los regímenes existentes de verificación y sanción establecidos en el Reglamento 1141/2014.</w:t>
      </w:r>
    </w:p>
    <w:p>
      <w:pPr>
        <w:pStyle w:val="ManualHeading2"/>
        <w:rPr>
          <w:rFonts w:eastAsia="Arial Unicode MS"/>
          <w:noProof/>
          <w:u w:color="000000"/>
          <w:bdr w:val="nil"/>
        </w:rPr>
      </w:pPr>
      <w:r>
        <w:rPr>
          <w:noProof/>
        </w:rPr>
        <w:t>•</w:t>
      </w:r>
      <w:r>
        <w:rPr>
          <w:noProof/>
        </w:rPr>
        <w:tab/>
        <w:t>Derechos fundamentales</w:t>
      </w:r>
    </w:p>
    <w:p>
      <w:pPr>
        <w:pBdr>
          <w:top w:val="nil"/>
          <w:left w:val="nil"/>
          <w:bottom w:val="nil"/>
          <w:right w:val="nil"/>
          <w:between w:val="nil"/>
          <w:bar w:val="nil"/>
        </w:pBdr>
        <w:spacing w:before="0" w:after="240"/>
        <w:rPr>
          <w:bCs/>
          <w:noProof/>
          <w:szCs w:val="24"/>
        </w:rPr>
      </w:pPr>
      <w:r>
        <w:rPr>
          <w:noProof/>
        </w:rPr>
        <w:t>El artículo 2 del Tratado de la Unión Europea (TUE) dispone que «[l]a Unión se fundamenta en los valores de respeto de la dignidad humana, libertad, democracia, igualdad, Estado de Derecho y respeto de los derechos humanos, incluidos los derechos de las personas pertenecientes a minorías.</w:t>
      </w:r>
      <w:r>
        <w:rPr>
          <w:i/>
          <w:noProof/>
        </w:rPr>
        <w:t xml:space="preserve"> </w:t>
      </w:r>
      <w:r>
        <w:rPr>
          <w:noProof/>
        </w:rPr>
        <w:t>Estos valores son comunes a los Estados miembros en una sociedad caracterizada por el pluralismo, la no discriminación, la tolerancia, la justicia, la solidaridad y la igualdad entre mujeres y hombres».</w:t>
      </w:r>
    </w:p>
    <w:p>
      <w:pPr>
        <w:pBdr>
          <w:top w:val="nil"/>
          <w:left w:val="nil"/>
          <w:bottom w:val="nil"/>
          <w:right w:val="nil"/>
          <w:between w:val="nil"/>
          <w:bar w:val="nil"/>
        </w:pBdr>
        <w:spacing w:before="0" w:after="240"/>
        <w:rPr>
          <w:bCs/>
          <w:i/>
          <w:noProof/>
          <w:szCs w:val="24"/>
        </w:rPr>
      </w:pPr>
      <w:r>
        <w:rPr>
          <w:noProof/>
        </w:rPr>
        <w:t>El artículo 10, apartados 1 y 2, del TUE, dispone que «[e]l funcionamiento de la Unión se basa en la democracia representativa» y que «[l]os ciudadanos estarán directamente representados en la Unión a través del Parlamento Europeo». El apartado 4 del mismo artículo establece: «Los partidos políticos a escala europea contribuirán a formar la conciencia política europea y a expresar la voluntad de los ciudadanos de la Unión». Los artículos 11 y 12 de la Carta de los Derechos Fundamentales de la Unión Europea consagran el derecho a la libertad de expresión y de asociación. El artículo 7 de la Carta de los Derechos Fundamentales de la Unión Europea establece que «toda persona tiene derecho al respeto de su vida privada y familiar, de su domicilio y de sus comunicaciones». El artículo 8 de la Carta de los Derechos Fundamentales de la Unión Europea establece lo siguiente: «1. Toda persona tiene derecho a la protección de los datos de carácter personal que le conciernan.</w:t>
      </w:r>
      <w:r>
        <w:rPr>
          <w:i/>
          <w:noProof/>
        </w:rPr>
        <w:t xml:space="preserve"> </w:t>
      </w:r>
      <w:r>
        <w:rPr>
          <w:noProof/>
        </w:rPr>
        <w:t>2. Estos datos se tratarán de modo leal, para fines concretos y sobre la base del consentimiento de la persona afectada o en virtud de otro fundamento legítimo previsto por la ley.</w:t>
      </w:r>
      <w:r>
        <w:rPr>
          <w:i/>
          <w:noProof/>
        </w:rPr>
        <w:t xml:space="preserve"> </w:t>
      </w:r>
      <w:r>
        <w:rPr>
          <w:noProof/>
        </w:rPr>
        <w:t>Toda persona tiene derecho a acceder a los datos recogidos que le conciernan y a obtener su rectificación.</w:t>
      </w:r>
      <w:r>
        <w:rPr>
          <w:i/>
          <w:noProof/>
        </w:rPr>
        <w:t xml:space="preserve"> </w:t>
      </w:r>
      <w:r>
        <w:rPr>
          <w:noProof/>
        </w:rPr>
        <w:t>3. El respeto de estas normas estará sujeto al control de una autoridad independiente».</w:t>
      </w:r>
    </w:p>
    <w:p>
      <w:pPr>
        <w:pBdr>
          <w:top w:val="nil"/>
          <w:left w:val="nil"/>
          <w:bottom w:val="nil"/>
          <w:right w:val="nil"/>
          <w:between w:val="nil"/>
          <w:bar w:val="nil"/>
        </w:pBdr>
        <w:spacing w:before="0" w:after="240"/>
        <w:rPr>
          <w:rFonts w:eastAsia="Arial Unicode MS"/>
          <w:noProof/>
        </w:rPr>
      </w:pPr>
      <w:r>
        <w:rPr>
          <w:noProof/>
        </w:rPr>
        <w:t>Las modificaciones objeto de la presente propuesta persiguen los objetivos de esas disposiciones, son compatibles con los derechos fundamentales garantizados por los artículos 7, 8 y 12 de la Carta y dan efecto a los mismos.</w:t>
      </w:r>
    </w:p>
    <w:p>
      <w:pPr>
        <w:pStyle w:val="ManualHeading1"/>
        <w:rPr>
          <w:noProof/>
        </w:rPr>
      </w:pPr>
      <w:r>
        <w:rPr>
          <w:noProof/>
        </w:rPr>
        <w:t>4.</w:t>
      </w:r>
      <w:r>
        <w:rPr>
          <w:noProof/>
        </w:rPr>
        <w:tab/>
        <w:t>REPERCUSIONES PRESUPUESTARIAS</w:t>
      </w:r>
    </w:p>
    <w:p>
      <w:pPr>
        <w:spacing w:before="0" w:after="0"/>
        <w:rPr>
          <w:noProof/>
        </w:rPr>
      </w:pPr>
      <w:r>
        <w:rPr>
          <w:noProof/>
        </w:rPr>
        <w:t>Para que esta propuesta sea eficaz, ya que añade tareas a la Autoridad, debe establecerse un régimen de personal más permanente para esta. Las repercusiones presupuestarias se detallan en la ficha financiera legislativa adjunta a la presente propuesta. Una dotación de personal más permanente debe hacerse a través de la redistribución de los recursos existentes y exigirá la modificación de la plantilla de personal de las instituciones contribuyentes. Por consiguiente, estos elementos deben incluirse en la próxima nota rectificativa al proyecto de presupuesto de 2019. Dado el tamaño de la Autoridad, no es necesario disponer de un cuadro de efectivos separado, sino que se incluirá en la sección I — Parlamento Europeo una nota a pie de página en la que se detallen el tamaño y la naturaleza de la dotación de personal.</w:t>
      </w:r>
    </w:p>
    <w:p>
      <w:pPr>
        <w:pStyle w:val="ManualHeading1"/>
        <w:rPr>
          <w:noProof/>
        </w:rPr>
      </w:pPr>
      <w:r>
        <w:rPr>
          <w:noProof/>
        </w:rPr>
        <w:t>5.</w:t>
      </w:r>
      <w:r>
        <w:rPr>
          <w:noProof/>
        </w:rPr>
        <w:tab/>
        <w:t>OTROS ELEMENTOS</w:t>
      </w:r>
    </w:p>
    <w:p>
      <w:pPr>
        <w:pStyle w:val="ManualHeading2"/>
        <w:rPr>
          <w:rFonts w:eastAsia="Arial Unicode MS"/>
          <w:noProof/>
          <w:u w:color="000000"/>
          <w:bdr w:val="nil"/>
        </w:rPr>
      </w:pPr>
      <w:r>
        <w:rPr>
          <w:noProof/>
        </w:rPr>
        <w:t>•</w:t>
      </w:r>
      <w:r>
        <w:rPr>
          <w:noProof/>
        </w:rPr>
        <w:tab/>
        <w:t>Explicación detallada de las disposiciones específicas de la propuesta</w:t>
      </w:r>
    </w:p>
    <w:p>
      <w:pPr>
        <w:spacing w:before="0" w:after="0"/>
        <w:rPr>
          <w:bCs/>
          <w:noProof/>
          <w:szCs w:val="24"/>
        </w:rPr>
      </w:pPr>
      <w:r>
        <w:rPr>
          <w:noProof/>
        </w:rPr>
        <w:t>Con el fin de imponer sanciones financieras a los partidos políticos europeos o las fundaciones políticas europeas que recurran a infracciones de las normas de protección de datos para influir deliberadamente o para intentar influir en los resultados de las elecciones al Parlamento Europeo, la Comisión propone las siguientes modificaciones específicas del Reglamento:</w:t>
      </w:r>
    </w:p>
    <w:p>
      <w:pPr>
        <w:spacing w:before="0" w:after="0"/>
        <w:rPr>
          <w:bCs/>
          <w:noProof/>
          <w:szCs w:val="24"/>
        </w:rPr>
      </w:pPr>
    </w:p>
    <w:p>
      <w:pPr>
        <w:pBdr>
          <w:top w:val="nil"/>
          <w:left w:val="nil"/>
          <w:bottom w:val="nil"/>
          <w:right w:val="nil"/>
          <w:between w:val="nil"/>
          <w:bar w:val="nil"/>
        </w:pBdr>
        <w:spacing w:before="0" w:after="240"/>
        <w:rPr>
          <w:bCs/>
          <w:noProof/>
          <w:szCs w:val="24"/>
        </w:rPr>
      </w:pPr>
      <w:r>
        <w:rPr>
          <w:noProof/>
        </w:rPr>
        <w:t>Se propone crear un procedimiento de verificación relativo a las infracciones de las normas de protección de los datos personales que obligue a la Autoridad a obtener un dictamen del Comité de Personalidades Independientes, poco tiempo después de que una autoridad competente de control de la protección de datos adopte una decisión. El dictamen del Comité, que deberá entregarse en un plazo breve fijado por la Autoridad, evaluaría si la infracción se ha utilizado para influir deliberadamente o para intentar influir en el resultado de las elecciones al Parlamento Europeo. La activación de este nuevo procedimiento no impide la activación del procedimiento de verificación del cumplimiento de las condiciones y los requisitos de registro, establecido en el artículo 10 del Reglamento, para los casos de violación manifiesta y grave por parte de los partidos políticos europeos o de las fundaciones políticas europeas de los valores en los que se basa la Unión. El nuevo procedimiento se introduciría mediante la inserción de un nuevo artículo 10 </w:t>
      </w:r>
      <w:r>
        <w:rPr>
          <w:i/>
          <w:noProof/>
        </w:rPr>
        <w:t>bis</w:t>
      </w:r>
      <w:r>
        <w:rPr>
          <w:noProof/>
        </w:rPr>
        <w:t xml:space="preserve">.  </w:t>
      </w:r>
    </w:p>
    <w:p>
      <w:pPr>
        <w:rPr>
          <w:noProof/>
        </w:rPr>
      </w:pPr>
      <w:r>
        <w:rPr>
          <w:noProof/>
        </w:rPr>
        <w:t>Para garantizar que tal procedimiento pueda activarse en cualquier momento, incluso cerca de la fecha de las elecciones al Parlamento Europeo, se propone aclarar que los plazos del procedimiento de verificación del cumplimiento de las condiciones y los requisitos de registro establecido en el artículo 10 del Reglamento no son aplicables, mediante la modificación del artículo 10, apartado 3, párrafo tercero.</w:t>
      </w:r>
    </w:p>
    <w:p>
      <w:pPr>
        <w:pBdr>
          <w:top w:val="nil"/>
          <w:left w:val="nil"/>
          <w:bottom w:val="nil"/>
          <w:right w:val="nil"/>
          <w:between w:val="nil"/>
          <w:bar w:val="nil"/>
        </w:pBdr>
        <w:spacing w:before="0" w:after="240"/>
        <w:rPr>
          <w:b/>
          <w:bCs/>
          <w:noProof/>
          <w:szCs w:val="24"/>
        </w:rPr>
      </w:pPr>
      <w:r>
        <w:rPr>
          <w:noProof/>
        </w:rPr>
        <w:t xml:space="preserve">Se modificará el artículo 11, relativo al Comité de Personalidades Independientes, para hacer referencia expresa al dictamen sobre la influencia en los resultados de las elecciones al Parlamento Europeo. </w:t>
      </w:r>
    </w:p>
    <w:p>
      <w:pPr>
        <w:pBdr>
          <w:top w:val="nil"/>
          <w:left w:val="nil"/>
          <w:bottom w:val="nil"/>
          <w:right w:val="nil"/>
          <w:between w:val="nil"/>
          <w:bar w:val="nil"/>
        </w:pBdr>
        <w:spacing w:before="0" w:after="240"/>
        <w:rPr>
          <w:bCs/>
          <w:noProof/>
          <w:szCs w:val="24"/>
        </w:rPr>
      </w:pPr>
      <w:r>
        <w:rPr>
          <w:noProof/>
        </w:rPr>
        <w:t xml:space="preserve">En el artículo 27, se añadirá un nuevo motivo de imposición de sanciones financieras en el caso de que el dictamen del Comité de Personalidades Independientes considere que un partido político europeo o una fundación política europea ha influido deliberadamente o ha intentado influir en el resultado de las elecciones al Parlamento Europeo aprovechando una infracción de las normas aplicables en materia de protección de datos personales. </w:t>
      </w:r>
    </w:p>
    <w:p>
      <w:pPr>
        <w:pBdr>
          <w:top w:val="nil"/>
          <w:left w:val="nil"/>
          <w:bottom w:val="nil"/>
          <w:right w:val="nil"/>
          <w:between w:val="nil"/>
          <w:bar w:val="nil"/>
        </w:pBdr>
        <w:spacing w:before="0" w:after="240"/>
        <w:rPr>
          <w:bCs/>
          <w:noProof/>
          <w:szCs w:val="24"/>
        </w:rPr>
      </w:pPr>
      <w:r>
        <w:rPr>
          <w:noProof/>
        </w:rPr>
        <w:t xml:space="preserve">Este nuevo motivo se añadirá a la lista de infracciones que impiden a un partido político europeo o a una fundación política europea solicitar financiación con cargo al presupuesto general de la Unión Europea el año en que se impuso la sanción. Para ello se modificará el artículo 18. </w:t>
      </w:r>
    </w:p>
    <w:p>
      <w:pPr>
        <w:pBdr>
          <w:top w:val="nil"/>
          <w:left w:val="nil"/>
          <w:bottom w:val="nil"/>
          <w:right w:val="nil"/>
          <w:between w:val="nil"/>
          <w:bar w:val="nil"/>
        </w:pBdr>
        <w:spacing w:before="0" w:after="240"/>
        <w:rPr>
          <w:bCs/>
          <w:noProof/>
          <w:szCs w:val="24"/>
        </w:rPr>
      </w:pPr>
      <w:r>
        <w:rPr>
          <w:noProof/>
        </w:rPr>
        <w:t xml:space="preserve">Dado que el nuevo procedimiento de verificación se activa por decisión de una autoridad competente de control de la protección de datos, se propone prever la revisión de la sanción en caso de que se derogue la decisión de esa autoridad o de que prospere un recurso contra dicha decisión, mediante la adición de un nuevo apartado en el artículo 27. </w:t>
      </w:r>
    </w:p>
    <w:p>
      <w:pPr>
        <w:pBdr>
          <w:top w:val="nil"/>
          <w:left w:val="nil"/>
          <w:bottom w:val="nil"/>
          <w:right w:val="nil"/>
          <w:between w:val="nil"/>
          <w:bar w:val="nil"/>
        </w:pBdr>
        <w:spacing w:before="0" w:after="240"/>
        <w:rPr>
          <w:bCs/>
          <w:noProof/>
          <w:szCs w:val="24"/>
        </w:rPr>
      </w:pPr>
      <w:r>
        <w:rPr>
          <w:noProof/>
        </w:rPr>
        <w:t>Por último, a fin de que la Autoridad pueda funcionar de forma independiente y eficaz, la Comisión propone que la Autoridad cuente con personal permanente y que se atribuyan al director de la Autoridad las competencias de una autoridad facultada para proceder a los nombramientos, modificando el artículo 6, apartado 5.</w:t>
      </w:r>
    </w:p>
    <w:p>
      <w:pPr>
        <w:spacing w:before="0" w:after="200" w:line="276" w:lineRule="auto"/>
        <w:jc w:val="left"/>
        <w:rPr>
          <w:bCs/>
          <w:noProof/>
          <w:szCs w:val="24"/>
        </w:rPr>
      </w:pPr>
      <w:r>
        <w:rPr>
          <w:noProof/>
        </w:rPr>
        <w:br w:type="page"/>
      </w:r>
    </w:p>
    <w:p>
      <w:pPr>
        <w:spacing w:before="0" w:after="200" w:line="276" w:lineRule="auto"/>
        <w:jc w:val="left"/>
        <w:rPr>
          <w:bCs/>
          <w:noProof/>
          <w:szCs w:val="24"/>
        </w:rPr>
      </w:pPr>
    </w:p>
    <w:p>
      <w:pPr>
        <w:pStyle w:val="Rfrenceinterinstitutionnelle"/>
        <w:rPr>
          <w:noProof/>
        </w:rPr>
      </w:pPr>
      <w:r>
        <w:rPr>
          <w:noProof/>
        </w:rPr>
        <w:t>2018/0336 (COD)</w:t>
      </w:r>
    </w:p>
    <w:p>
      <w:pPr>
        <w:pStyle w:val="Statut"/>
        <w:rPr>
          <w:noProof/>
        </w:rPr>
      </w:pPr>
      <w:r>
        <w:rPr>
          <w:noProof/>
        </w:rPr>
        <w:t>Propuesta de</w:t>
      </w:r>
    </w:p>
    <w:p>
      <w:pPr>
        <w:pStyle w:val="Typedudocument"/>
        <w:rPr>
          <w:noProof/>
        </w:rPr>
      </w:pPr>
      <w:r>
        <w:rPr>
          <w:noProof/>
        </w:rPr>
        <w:t>REGLAMENTO DEL PARLAMENTO EUROPEO Y DEL CONSEJO</w:t>
      </w:r>
    </w:p>
    <w:p>
      <w:pPr>
        <w:pStyle w:val="Titreobjet"/>
        <w:rPr>
          <w:noProof/>
        </w:rPr>
      </w:pPr>
      <w:r>
        <w:rPr>
          <w:noProof/>
        </w:rPr>
        <w:t>por el que se modifica el Reglamento (UE, Euratom) n.º 1141/2014 en lo que respecta a un procedimiento de verificación relativo a las infracciones de las normas de protección de los datos personales en el contexto de las elecciones al Parlamento Europeo</w:t>
      </w:r>
      <w:r>
        <w:rPr>
          <w:noProof/>
        </w:rPr>
        <w:br/>
      </w:r>
      <w:r>
        <w:rPr>
          <w:noProof/>
        </w:rPr>
        <w:br/>
      </w:r>
      <w:r>
        <w:rPr>
          <w:i/>
          <w:noProof/>
        </w:rPr>
        <w:t>Contribución de la Comisión Europea a la reunión de dirigentes</w:t>
      </w:r>
      <w:r>
        <w:rPr>
          <w:noProof/>
        </w:rPr>
        <w:t xml:space="preserve"> </w:t>
      </w:r>
      <w:r>
        <w:rPr>
          <w:i/>
          <w:noProof/>
        </w:rPr>
        <w:t>que se celebrará en Salzburgo los días 19 y 20 de septiembre de 2018</w:t>
      </w:r>
      <w:r>
        <w:rPr>
          <w:noProof/>
        </w:rPr>
        <w:br/>
      </w:r>
    </w:p>
    <w:p>
      <w:pPr>
        <w:pStyle w:val="Institutionquiagit"/>
        <w:rPr>
          <w:noProof/>
        </w:rPr>
      </w:pPr>
      <w:r>
        <w:rPr>
          <w:noProof/>
        </w:rPr>
        <w:t>EL PARLAMENTO EUROPEO Y EL CONSEJO DE LA UNIÓN EUROPEA,</w:t>
      </w:r>
    </w:p>
    <w:p>
      <w:pPr>
        <w:rPr>
          <w:noProof/>
        </w:rPr>
      </w:pPr>
      <w:r>
        <w:rPr>
          <w:noProof/>
        </w:rPr>
        <w:t>Visto el Tratado de Funcionamiento de la Unión Europea, y en particular su artículo 224,</w:t>
      </w:r>
    </w:p>
    <w:p>
      <w:pPr>
        <w:rPr>
          <w:noProof/>
        </w:rPr>
      </w:pPr>
      <w:r>
        <w:rPr>
          <w:noProof/>
        </w:rPr>
        <w:t>Visto el Tratado constitutivo de la Comunidad Europea de la Energía Atómica, y en particular su artículo 106 </w:t>
      </w:r>
      <w:r>
        <w:rPr>
          <w:i/>
          <w:noProof/>
        </w:rPr>
        <w:t>bis</w:t>
      </w:r>
      <w:r>
        <w:rPr>
          <w:noProof/>
        </w:rPr>
        <w:t>,</w:t>
      </w:r>
    </w:p>
    <w:p>
      <w:pPr>
        <w:rPr>
          <w:noProof/>
        </w:rPr>
      </w:pPr>
      <w:r>
        <w:rPr>
          <w:noProof/>
        </w:rPr>
        <w:t>Vista la propuesta de la Comisión Europea,</w:t>
      </w:r>
    </w:p>
    <w:p>
      <w:pPr>
        <w:rPr>
          <w:noProof/>
        </w:rPr>
      </w:pPr>
      <w:r>
        <w:rPr>
          <w:noProof/>
        </w:rPr>
        <w:t>Previa transmisión del proyecto de acto legislativo a los parlamentos nacionales,</w:t>
      </w:r>
    </w:p>
    <w:p>
      <w:pPr>
        <w:rPr>
          <w:noProof/>
        </w:rPr>
      </w:pPr>
      <w:r>
        <w:rPr>
          <w:noProof/>
        </w:rPr>
        <w:t>Visto el dictamen del Comité Económico y Social Europeo</w:t>
      </w:r>
      <w:r>
        <w:rPr>
          <w:rStyle w:val="FootnoteReference"/>
          <w:noProof/>
        </w:rPr>
        <w:footnoteReference w:id="14"/>
      </w:r>
      <w:r>
        <w:rPr>
          <w:noProof/>
        </w:rPr>
        <w:t xml:space="preserve">, </w:t>
      </w:r>
    </w:p>
    <w:p>
      <w:pPr>
        <w:rPr>
          <w:i/>
          <w:noProof/>
        </w:rPr>
      </w:pPr>
      <w:r>
        <w:rPr>
          <w:noProof/>
        </w:rPr>
        <w:t>Visto el dictamen del Comité de las Regiones</w:t>
      </w:r>
      <w:r>
        <w:rPr>
          <w:rStyle w:val="FootnoteReference"/>
          <w:noProof/>
        </w:rPr>
        <w:footnoteReference w:id="15"/>
      </w:r>
      <w:r>
        <w:rPr>
          <w:noProof/>
        </w:rPr>
        <w:t xml:space="preserve">, </w:t>
      </w:r>
    </w:p>
    <w:p>
      <w:pPr>
        <w:rPr>
          <w:noProof/>
        </w:rPr>
      </w:pPr>
      <w:r>
        <w:rPr>
          <w:noProof/>
        </w:rPr>
        <w:t>De conformidad con el procedimiento legislativo ordinario,</w:t>
      </w:r>
    </w:p>
    <w:p>
      <w:pPr>
        <w:rPr>
          <w:noProof/>
        </w:rPr>
      </w:pPr>
      <w:r>
        <w:rPr>
          <w:noProof/>
        </w:rPr>
        <w:t>Considerando lo siguiente:</w:t>
      </w:r>
    </w:p>
    <w:p>
      <w:pPr>
        <w:pStyle w:val="ManualConsidrant"/>
        <w:rPr>
          <w:noProof/>
        </w:rPr>
      </w:pPr>
      <w:r>
        <w:t>(1)</w:t>
      </w:r>
      <w:r>
        <w:tab/>
      </w:r>
      <w:r>
        <w:rPr>
          <w:noProof/>
        </w:rPr>
        <w:t>El Reglamento (UE, Euratom) n.º 1141/2014</w:t>
      </w:r>
      <w:r>
        <w:rPr>
          <w:rStyle w:val="FootnoteReference"/>
          <w:noProof/>
        </w:rPr>
        <w:footnoteReference w:id="16"/>
      </w:r>
      <w:r>
        <w:rPr>
          <w:noProof/>
        </w:rPr>
        <w:t xml:space="preserve"> estableció un estatuto jurídico europeo específico para los partidos políticos europeos y las fundaciones políticas europeas y prevé su financiación con cargo al presupuesto general de la Unión Europea; asimismo, establece una Autoridad para los partidos políticos europeos y las fundaciones políticas europeas (en lo sucesivo, «la Autoridad»).</w:t>
      </w:r>
    </w:p>
    <w:p>
      <w:pPr>
        <w:pStyle w:val="ManualConsidrant"/>
        <w:rPr>
          <w:noProof/>
          <w:szCs w:val="24"/>
        </w:rPr>
      </w:pPr>
      <w:r>
        <w:t>(2)</w:t>
      </w:r>
      <w:r>
        <w:tab/>
      </w:r>
      <w:r>
        <w:rPr>
          <w:noProof/>
        </w:rPr>
        <w:t>A fin de que la Autoridad pueda desempeñar plenamente y con independencia sus funciones, incluidas las nuevas que se prevén en el presente Reglamento, es necesario dotarla de personal permanente y atribuir al director de la Autoridad las competencias de una autoridad facultada para proceder a los nombramientos.</w:t>
      </w:r>
    </w:p>
    <w:p>
      <w:pPr>
        <w:pStyle w:val="ManualConsidrant"/>
        <w:rPr>
          <w:noProof/>
        </w:rPr>
      </w:pPr>
      <w:r>
        <w:t>(3)</w:t>
      </w:r>
      <w:r>
        <w:tab/>
      </w:r>
      <w:r>
        <w:rPr>
          <w:noProof/>
        </w:rPr>
        <w:t xml:space="preserve">Acontecimientos recientes han puesto de manifiesto los riesgos potenciales para los procesos electorales y la democracia que pueden derivarse del uso ilegal de datos personales. Por lo tanto, es necesario proteger la integridad del proceso democrático europeo estableciendo sanciones financieras en situaciones en las que los partidos políticos europeos y las fundaciones políticas europeas aprovechen infracciones de las normas de protección de datos con el fin de influir en el resultado de las elecciones al Parlamento Europeo. </w:t>
      </w:r>
    </w:p>
    <w:p>
      <w:pPr>
        <w:pStyle w:val="ManualConsidrant"/>
        <w:rPr>
          <w:noProof/>
        </w:rPr>
      </w:pPr>
      <w:r>
        <w:t>(4)</w:t>
      </w:r>
      <w:r>
        <w:tab/>
      </w:r>
      <w:r>
        <w:rPr>
          <w:noProof/>
        </w:rPr>
        <w:t xml:space="preserve">Con ese fin, debe establecerse un procedimiento de verificación en virtud del cual la Autoridad deba solicitar, en determinadas circunstancias, al Comité de Personalidades Independientes que dictamine si un partido político europeo o una fundación política europea ha influido deliberadamente o ha intentado influir en el resultado de las elecciones al Parlamento Europeo aprovechando una infracción de las normas aplicables en materia de protección de datos personales. Cuando el Comité considere que eso ha sucedido, la Autoridad debe imponer sanciones acordes con el sistema de sanciones eficaz, proporcionado y disuasorio establecido por el Reglamento (UE, Euratom) n.º 1141/2014. </w:t>
      </w:r>
    </w:p>
    <w:p>
      <w:pPr>
        <w:pStyle w:val="ManualConsidrant"/>
        <w:rPr>
          <w:noProof/>
        </w:rPr>
      </w:pPr>
      <w:r>
        <w:t>(5)</w:t>
      </w:r>
      <w:r>
        <w:tab/>
      </w:r>
      <w:r>
        <w:rPr>
          <w:noProof/>
        </w:rPr>
        <w:t>El nuevo procedimiento debe coexistir con los procedimientos actuales utilizados para verificar el cumplimiento de las condiciones de registro y en los casos de violación manifiesta y grave de los valores en los que se basa la Unión. No obstante, los plazos para la verificación del cumplimiento de las condiciones de registro y los requisitos establecidos en el artículo 10 del Reglamento (UE, Euratom) n.º 1141/2014 no deben aplicarse al nuevo procedimiento.</w:t>
      </w:r>
    </w:p>
    <w:p>
      <w:pPr>
        <w:pStyle w:val="ManualConsidrant"/>
        <w:rPr>
          <w:noProof/>
        </w:rPr>
      </w:pPr>
      <w:r>
        <w:t>(6)</w:t>
      </w:r>
      <w:r>
        <w:tab/>
      </w:r>
      <w:r>
        <w:rPr>
          <w:noProof/>
        </w:rPr>
        <w:t xml:space="preserve">Dado que el nuevo procedimiento se activa por decisión de una autoridad competente de control de la protección de datos, el partido político europeo o la fundación política europea de que se trate debe poder solicitar que se revise la sanción en caso de que se derogue la decisión de esa autoridad o de que prospere un recurso contra dicha decisión. </w:t>
      </w:r>
    </w:p>
    <w:p>
      <w:pPr>
        <w:pStyle w:val="ManualConsidrant"/>
        <w:rPr>
          <w:noProof/>
        </w:rPr>
      </w:pPr>
      <w:r>
        <w:t>(7)</w:t>
      </w:r>
      <w:r>
        <w:tab/>
      </w:r>
      <w:r>
        <w:rPr>
          <w:noProof/>
        </w:rPr>
        <w:t>Con el fin de garantizar que las elecciones al Parlamento Europeo de 2019 se celebren en el marco de unas normas democráticas rigurosas y respetando plenamente los valores europeos de la democracia, el Estado de Derecho y el respeto de los derechos fundamentales, es importante que el procedimiento de verificación propuesto entre en vigor oportunamente y sea aplicable cuanto antes. A fin de lograr este objetivo, las modificaciones del Reglamento (UE, Euratom) n.º 1141/2014 propuestas en el presente Reglamento deben entrar en vigor en la fecha de su publicación en el</w:t>
      </w:r>
      <w:r>
        <w:rPr>
          <w:i/>
          <w:noProof/>
        </w:rPr>
        <w:t xml:space="preserve"> Diario Oficial de la Unión Europea</w:t>
      </w:r>
      <w:r>
        <w:rPr>
          <w:noProof/>
        </w:rPr>
        <w:t xml:space="preserve">. </w:t>
      </w:r>
    </w:p>
    <w:p>
      <w:pPr>
        <w:pStyle w:val="ManualConsidrant"/>
        <w:rPr>
          <w:noProof/>
        </w:rPr>
      </w:pPr>
      <w:r>
        <w:t>(8)</w:t>
      </w:r>
      <w:r>
        <w:tab/>
      </w:r>
      <w:r>
        <w:rPr>
          <w:noProof/>
        </w:rPr>
        <w:t>Procede, por tanto, modificar el Reglamento (UE, Euratom) n.º 1141/2014 en consecuencia.</w:t>
      </w:r>
    </w:p>
    <w:p>
      <w:pPr>
        <w:pStyle w:val="Formuledadoption"/>
        <w:rPr>
          <w:noProof/>
        </w:rPr>
      </w:pPr>
      <w:r>
        <w:rPr>
          <w:noProof/>
        </w:rPr>
        <w:t>HAN ADOPTADO EL PRESENTE REGLAMENTO:</w:t>
      </w:r>
    </w:p>
    <w:p>
      <w:pPr>
        <w:pStyle w:val="Titrearticle"/>
        <w:rPr>
          <w:noProof/>
        </w:rPr>
      </w:pPr>
      <w:r>
        <w:rPr>
          <w:noProof/>
        </w:rPr>
        <w:t>Artículo 1</w:t>
      </w:r>
    </w:p>
    <w:p>
      <w:pPr>
        <w:rPr>
          <w:noProof/>
        </w:rPr>
      </w:pPr>
      <w:r>
        <w:rPr>
          <w:noProof/>
        </w:rPr>
        <w:t>El Reglamento (UE, Euratom) n.º 1141/2014 se modifica como sigue:</w:t>
      </w:r>
    </w:p>
    <w:p>
      <w:pPr>
        <w:rPr>
          <w:noProof/>
        </w:rPr>
      </w:pPr>
    </w:p>
    <w:p>
      <w:pPr>
        <w:pStyle w:val="Point0number"/>
        <w:numPr>
          <w:ilvl w:val="0"/>
          <w:numId w:val="16"/>
        </w:numPr>
        <w:rPr>
          <w:noProof/>
        </w:rPr>
      </w:pPr>
      <w:r>
        <w:rPr>
          <w:noProof/>
        </w:rPr>
        <w:t>En el artículo 6, el apartado 5 se sustituye por el texto siguiente:</w:t>
      </w:r>
    </w:p>
    <w:p>
      <w:pPr>
        <w:pStyle w:val="Text1"/>
        <w:rPr>
          <w:noProof/>
        </w:rPr>
      </w:pPr>
      <w:r>
        <w:rPr>
          <w:noProof/>
        </w:rPr>
        <w:t>«El director de la Autoridad estará asistido por personal, respecto del cual ejercerá las competencias atribuidas por el Estatuto de los funcionarios a la autoridad facultada para proceder a los nombramientos y las atribuidas por el Régimen aplicable a los otros agentes a la autoridad facultada para proceder a las contrataciones (“competencias de la autoridad facultada para proceder a los nombramientos”)</w:t>
      </w:r>
      <w:r>
        <w:rPr>
          <w:rStyle w:val="FootnoteReference"/>
          <w:noProof/>
        </w:rPr>
        <w:footnoteReference w:id="17"/>
      </w:r>
      <w:r>
        <w:rPr>
          <w:noProof/>
        </w:rPr>
        <w:t>. La Autoridad podrá recurrir en cualquier ámbito de su trabajo a otros expertos nacionales en comisión de servicio o a agentes no contratados por la Autoridad.</w:t>
      </w:r>
    </w:p>
    <w:p>
      <w:pPr>
        <w:pStyle w:val="Text1"/>
        <w:rPr>
          <w:noProof/>
        </w:rPr>
      </w:pPr>
      <w:r>
        <w:rPr>
          <w:noProof/>
        </w:rPr>
        <w:t>Serán aplicables al personal de la Autoridad el Estatuto de los funcionarios y el Régimen aplicable a los otros agentes y las normas adoptadas de común acuerdo entre las instituciones de la Unión para dar efecto al Estatuto de los funcionarios y el Régimen aplicable a los otros agentes.».</w:t>
      </w:r>
    </w:p>
    <w:p>
      <w:pPr>
        <w:pStyle w:val="Point0number"/>
        <w:rPr>
          <w:noProof/>
        </w:rPr>
      </w:pPr>
      <w:r>
        <w:rPr>
          <w:noProof/>
        </w:rPr>
        <w:t>En el artículo 10, apartado 3, al final del párrafo tercero se añade la frase siguiente:</w:t>
      </w:r>
    </w:p>
    <w:p>
      <w:pPr>
        <w:pStyle w:val="Text1"/>
        <w:rPr>
          <w:noProof/>
        </w:rPr>
      </w:pPr>
      <w:r>
        <w:rPr>
          <w:noProof/>
        </w:rPr>
        <w:t>«Dicho plazo no se aplicará por lo que respecta al procedimiento establecido en el artículo 10 </w:t>
      </w:r>
      <w:r>
        <w:rPr>
          <w:i/>
          <w:noProof/>
        </w:rPr>
        <w:t>bis</w:t>
      </w:r>
      <w:r>
        <w:rPr>
          <w:noProof/>
        </w:rPr>
        <w:t>.».</w:t>
      </w:r>
    </w:p>
    <w:p>
      <w:pPr>
        <w:pStyle w:val="Point0number"/>
        <w:rPr>
          <w:noProof/>
        </w:rPr>
      </w:pPr>
      <w:r>
        <w:rPr>
          <w:noProof/>
        </w:rPr>
        <w:t>Se inserta el artículo 10 </w:t>
      </w:r>
      <w:r>
        <w:rPr>
          <w:i/>
          <w:noProof/>
        </w:rPr>
        <w:t>bis</w:t>
      </w:r>
      <w:r>
        <w:rPr>
          <w:noProof/>
        </w:rPr>
        <w:t xml:space="preserve"> siguiente:</w:t>
      </w:r>
    </w:p>
    <w:p>
      <w:pPr>
        <w:jc w:val="center"/>
        <w:rPr>
          <w:noProof/>
        </w:rPr>
      </w:pPr>
      <w:r>
        <w:rPr>
          <w:noProof/>
        </w:rPr>
        <w:t>«Artículo 10 </w:t>
      </w:r>
      <w:r>
        <w:rPr>
          <w:i/>
          <w:noProof/>
        </w:rPr>
        <w:t>bis</w:t>
      </w:r>
    </w:p>
    <w:p>
      <w:pPr>
        <w:ind w:left="720"/>
        <w:jc w:val="center"/>
        <w:rPr>
          <w:b/>
          <w:noProof/>
        </w:rPr>
      </w:pPr>
      <w:r>
        <w:rPr>
          <w:b/>
          <w:noProof/>
        </w:rPr>
        <w:t xml:space="preserve">Procedimiento de verificación relativo a las infracciones de las normas de protección de los datos personales </w:t>
      </w:r>
    </w:p>
    <w:p>
      <w:pPr>
        <w:ind w:left="720"/>
        <w:rPr>
          <w:noProof/>
        </w:rPr>
      </w:pPr>
      <w:r>
        <w:rPr>
          <w:noProof/>
        </w:rPr>
        <w:t>Si la Autoridad tiene conocimiento de una decisión de una autoridad de control, en el sentido del artículo 4, punto 21, del Reglamento (UE) 2016/679 del Parlamento Europeo y del Consejo</w:t>
      </w:r>
      <w:r>
        <w:rPr>
          <w:rStyle w:val="FootnoteReference"/>
          <w:noProof/>
        </w:rPr>
        <w:footnoteReference w:id="18"/>
      </w:r>
      <w:r>
        <w:rPr>
          <w:noProof/>
        </w:rPr>
        <w:t>, en la que se declare que una persona física o jurídica ha vulnerado las normas aplicables en materia de protección de datos personales, y si de dicha decisión se desprende, o hay otros motivos fundados para pensar, que la infracción está vinculada a actividades políticas de un partido político europeo o una fundación política europea en el contexto de elecciones al Parlamento Europeo, la Autoridad someterá este asunto al Comité de Personalidades Independientes establecido en virtud del artículo 11. El Comité dictaminará si el partido político europeo o la fundación política europea de que se trate ha influido deliberadamente o ha intentado influir en el resultado de las elecciones al Parlamento Europeo aprovechando dicha infracción. La Autoridad solicitará el dictamen sin demoras indebidas y, a más tardar, un mes después de la decisión de la autoridad de control. El Comité emitirá su dictamen en un plazo breve y razonable fijado por la Autoridad.</w:t>
      </w:r>
    </w:p>
    <w:p>
      <w:pPr>
        <w:ind w:left="720"/>
        <w:rPr>
          <w:noProof/>
        </w:rPr>
      </w:pPr>
      <w:r>
        <w:rPr>
          <w:noProof/>
        </w:rPr>
        <w:t>El procedimiento previsto en el presente artículo se entenderá sin perjuicio del procedimiento establecido en el artículo 10.».</w:t>
      </w:r>
    </w:p>
    <w:p>
      <w:pPr>
        <w:pStyle w:val="Point0number"/>
        <w:rPr>
          <w:noProof/>
        </w:rPr>
      </w:pPr>
      <w:r>
        <w:rPr>
          <w:noProof/>
        </w:rPr>
        <w:t>En el artículo 11, apartado 3, párrafo primero, la segunda frase se sustituye por el texto siguiente:</w:t>
      </w:r>
    </w:p>
    <w:p>
      <w:pPr>
        <w:ind w:left="720"/>
        <w:rPr>
          <w:noProof/>
        </w:rPr>
      </w:pPr>
      <w:r>
        <w:rPr>
          <w:noProof/>
        </w:rPr>
        <w:t>«A solicitud de la Autoridad, el Comité dictaminará si un partido político europeo o una fundación política europea ha influido deliberadamente o ha intentado influir en el resultado de las elecciones al Parlamento Europeo aprovechando una infracción de las normas aplicables en materia de protección de datos personales. En ambos casos, el Comité podrá solicitar cualquier documento o prueba a la Autoridad, al Parlamento Europeo, al partido político europeo o a la fundación política europea de que se trate, a otros partidos políticos, fundaciones políticas u otras partes interesadas, y podrá solicitar oír a sus representantes. Para los dictámenes sobre si un partido político europeo o una fundación política europea ha influido deliberadamente o ha intentado influir en el resultado de las elecciones al Parlamento Europeo aprovechando una infracción de las normas aplicables en materia de protección de datos personales, las autoridades de control a que se refiere el artículo 10 </w:t>
      </w:r>
      <w:r>
        <w:rPr>
          <w:i/>
          <w:noProof/>
        </w:rPr>
        <w:t>bis</w:t>
      </w:r>
      <w:r>
        <w:rPr>
          <w:noProof/>
        </w:rPr>
        <w:t xml:space="preserve"> cooperarán con el Comité de conformidad con la legislación aplicable.».</w:t>
      </w:r>
    </w:p>
    <w:p>
      <w:pPr>
        <w:pStyle w:val="Point0number"/>
        <w:rPr>
          <w:noProof/>
        </w:rPr>
      </w:pPr>
      <w:r>
        <w:rPr>
          <w:noProof/>
        </w:rPr>
        <w:t>En el artículo 18, apartado 2, los términos «y apartado 2, letra a), incisos v) y vi)» se sustituyen por los términos «y apartado 2, letra a), incisos v), vi) y vii)».</w:t>
      </w:r>
    </w:p>
    <w:p>
      <w:pPr>
        <w:pStyle w:val="Point0number"/>
        <w:rPr>
          <w:noProof/>
        </w:rPr>
      </w:pPr>
      <w:r>
        <w:rPr>
          <w:noProof/>
        </w:rPr>
        <w:t>El artículo 27 queda modificado como sigue:</w:t>
      </w:r>
    </w:p>
    <w:p>
      <w:pPr>
        <w:pStyle w:val="Point0letter"/>
        <w:rPr>
          <w:noProof/>
        </w:rPr>
      </w:pPr>
      <w:r>
        <w:rPr>
          <w:noProof/>
        </w:rPr>
        <w:t>en el apartado 2, letra a), se añade el inciso vii) siguiente:</w:t>
      </w:r>
    </w:p>
    <w:p>
      <w:pPr>
        <w:ind w:left="720"/>
        <w:rPr>
          <w:noProof/>
        </w:rPr>
      </w:pPr>
      <w:r>
        <w:rPr>
          <w:noProof/>
        </w:rPr>
        <w:t>«vii) cuando, de conformidad con el artículo 10 </w:t>
      </w:r>
      <w:r>
        <w:rPr>
          <w:i/>
          <w:noProof/>
        </w:rPr>
        <w:t>bis</w:t>
      </w:r>
      <w:r>
        <w:rPr>
          <w:noProof/>
        </w:rPr>
        <w:t>, el Comité dictamine que un partido político europeo o una fundación política europea ha influido deliberadamente o ha intentado influir en el resultado de las elecciones al Parlamento Europeo aprovechando una infracción de las normas aplicables en materia de protección de datos personales;»;</w:t>
      </w:r>
    </w:p>
    <w:p>
      <w:pPr>
        <w:pStyle w:val="Point0letter"/>
        <w:rPr>
          <w:noProof/>
        </w:rPr>
      </w:pPr>
      <w:r>
        <w:rPr>
          <w:noProof/>
        </w:rPr>
        <w:t>se añade el apartado 7 siguiente:</w:t>
      </w:r>
    </w:p>
    <w:p>
      <w:pPr>
        <w:ind w:left="720"/>
        <w:rPr>
          <w:noProof/>
        </w:rPr>
      </w:pPr>
      <w:r>
        <w:rPr>
          <w:noProof/>
        </w:rPr>
        <w:t xml:space="preserve">«7. Cuando una decisión de la autoridad de control a que se refiere el artículo 10 </w:t>
      </w:r>
      <w:r>
        <w:rPr>
          <w:i/>
          <w:noProof/>
        </w:rPr>
        <w:t>bis</w:t>
      </w:r>
      <w:r>
        <w:rPr>
          <w:noProof/>
        </w:rPr>
        <w:t xml:space="preserve"> haya sido derogada o cuando un recurso contra dicha decisión haya prosperado, la Autoridad revisará las sanciones impuestas en virtud del apartado 2, letra a), inciso vii), a petición del partido político europeo o de la fundación política europea de que se trate.».</w:t>
      </w:r>
    </w:p>
    <w:p>
      <w:pPr>
        <w:pStyle w:val="Titrearticle"/>
        <w:rPr>
          <w:noProof/>
        </w:rPr>
      </w:pPr>
      <w:r>
        <w:rPr>
          <w:noProof/>
        </w:rPr>
        <w:t>Artículo 2</w:t>
      </w:r>
    </w:p>
    <w:p>
      <w:pPr>
        <w:rPr>
          <w:i/>
          <w:noProof/>
        </w:rPr>
      </w:pPr>
      <w:r>
        <w:rPr>
          <w:noProof/>
        </w:rPr>
        <w:t xml:space="preserve">El presente Reglamento entrará en vigor el día de su publicación en el </w:t>
      </w:r>
      <w:r>
        <w:rPr>
          <w:i/>
          <w:noProof/>
        </w:rPr>
        <w:t>Diario Oficial de la Unión Europea</w:t>
      </w:r>
      <w:r>
        <w:rPr>
          <w:noProof/>
        </w:rPr>
        <w:t>.</w:t>
      </w:r>
    </w:p>
    <w:p>
      <w:pPr>
        <w:pStyle w:val="Applicationdirecte"/>
        <w:rPr>
          <w:noProof/>
        </w:rPr>
      </w:pPr>
      <w:r>
        <w:rPr>
          <w:noProof/>
        </w:rPr>
        <w:t>El presente Reglamento será obligatorio en todos sus elementos y directamente aplicable en cada Estado miembro.</w:t>
      </w:r>
    </w:p>
    <w:p>
      <w:pPr>
        <w:pStyle w:val="Fait"/>
        <w:rPr>
          <w:noProof/>
        </w:rPr>
      </w:pPr>
      <w:r>
        <w:t>Hecho en Bruselas, el</w:t>
      </w:r>
    </w:p>
    <w:p>
      <w:pPr>
        <w:pStyle w:val="Institutionquisigne"/>
        <w:rPr>
          <w:noProof/>
        </w:rPr>
      </w:pPr>
      <w:r>
        <w:rPr>
          <w:noProof/>
        </w:rPr>
        <w:t>Por el Parlamento Europeo</w:t>
      </w:r>
      <w:r>
        <w:rPr>
          <w:noProof/>
        </w:rPr>
        <w:tab/>
        <w:t>Por el Consejo</w:t>
      </w:r>
    </w:p>
    <w:p>
      <w:pPr>
        <w:pStyle w:val="Personnequisigne"/>
        <w:rPr>
          <w:noProof/>
        </w:rPr>
      </w:pPr>
      <w:r>
        <w:rPr>
          <w:noProof/>
        </w:rPr>
        <w:t>El Presidente</w:t>
      </w:r>
      <w:r>
        <w:rPr>
          <w:noProof/>
        </w:rPr>
        <w:tab/>
        <w:t>El Presidente</w:t>
      </w:r>
    </w:p>
    <w:p>
      <w:pPr>
        <w:rPr>
          <w:noProof/>
        </w:rPr>
        <w:sectPr>
          <w:footerReference w:type="default" r:id="rId16"/>
          <w:footerReference w:type="first" r:id="rId17"/>
          <w:pgSz w:w="11907" w:h="16839" w:code="9"/>
          <w:pgMar w:top="794" w:right="907" w:bottom="851" w:left="1361" w:header="510" w:footer="454" w:gutter="0"/>
          <w:pgNumType w:start="1"/>
          <w:cols w:space="720"/>
          <w:docGrid w:linePitch="326"/>
        </w:sectPr>
      </w:pPr>
    </w:p>
    <w:p>
      <w:pPr>
        <w:pStyle w:val="Fichefinanciretitre"/>
        <w:rPr>
          <w:noProof/>
        </w:rPr>
      </w:pPr>
      <w:bookmarkStart w:id="1" w:name="_Toc514938659"/>
      <w:bookmarkStart w:id="2" w:name="_Toc524270782"/>
      <w:r>
        <w:rPr>
          <w:noProof/>
        </w:rPr>
        <w:t>FICHA FINANCIERA LEGISLATIVA</w:t>
      </w:r>
    </w:p>
    <w:p>
      <w:pPr>
        <w:pStyle w:val="ManualHeading1"/>
        <w:rPr>
          <w:noProof/>
        </w:rPr>
      </w:pPr>
      <w:r>
        <w:rPr>
          <w:noProof/>
        </w:rPr>
        <w:t>1.</w:t>
      </w:r>
      <w:r>
        <w:rPr>
          <w:noProof/>
        </w:rPr>
        <w:tab/>
        <w:t xml:space="preserve">MARCO DE LA PROPUESTA/INICIATIVA </w:t>
      </w:r>
    </w:p>
    <w:p>
      <w:pPr>
        <w:pStyle w:val="ManualHeading2"/>
        <w:rPr>
          <w:b w:val="0"/>
          <w:noProof/>
        </w:rPr>
      </w:pPr>
      <w:r>
        <w:rPr>
          <w:noProof/>
        </w:rPr>
        <w:tab/>
      </w:r>
      <w:r>
        <w:rPr>
          <w:b w:val="0"/>
          <w:noProof/>
        </w:rPr>
        <w:t>1.1.</w:t>
      </w:r>
      <w:r>
        <w:rPr>
          <w:noProof/>
        </w:rPr>
        <w:tab/>
      </w:r>
      <w:r>
        <w:rPr>
          <w:b w:val="0"/>
          <w:noProof/>
        </w:rPr>
        <w:t xml:space="preserve">Denominación de la propuesta/iniciativa </w:t>
      </w:r>
    </w:p>
    <w:p>
      <w:pPr>
        <w:pStyle w:val="ManualHeading2"/>
        <w:rPr>
          <w:b w:val="0"/>
          <w:noProof/>
        </w:rPr>
      </w:pPr>
      <w:r>
        <w:rPr>
          <w:noProof/>
        </w:rPr>
        <w:tab/>
      </w:r>
      <w:r>
        <w:rPr>
          <w:b w:val="0"/>
          <w:noProof/>
        </w:rPr>
        <w:t>1.2.</w:t>
      </w:r>
      <w:r>
        <w:rPr>
          <w:noProof/>
        </w:rPr>
        <w:tab/>
      </w:r>
      <w:r>
        <w:rPr>
          <w:b w:val="0"/>
          <w:noProof/>
        </w:rPr>
        <w:t>Ámbito(s) político(s) afectado(s) en la estructura GPA/PPA</w:t>
      </w:r>
    </w:p>
    <w:p>
      <w:pPr>
        <w:pStyle w:val="ManualHeading2"/>
        <w:rPr>
          <w:b w:val="0"/>
          <w:noProof/>
        </w:rPr>
      </w:pPr>
      <w:r>
        <w:rPr>
          <w:noProof/>
        </w:rPr>
        <w:tab/>
      </w:r>
      <w:r>
        <w:rPr>
          <w:b w:val="0"/>
          <w:noProof/>
        </w:rPr>
        <w:t>1.3.</w:t>
      </w:r>
      <w:r>
        <w:rPr>
          <w:noProof/>
        </w:rPr>
        <w:tab/>
      </w:r>
      <w:r>
        <w:rPr>
          <w:b w:val="0"/>
          <w:noProof/>
        </w:rPr>
        <w:t xml:space="preserve">Naturaleza de la propuesta/iniciativa </w:t>
      </w:r>
    </w:p>
    <w:p>
      <w:pPr>
        <w:pStyle w:val="ManualHeading2"/>
        <w:rPr>
          <w:b w:val="0"/>
          <w:noProof/>
        </w:rPr>
      </w:pPr>
      <w:r>
        <w:rPr>
          <w:noProof/>
        </w:rPr>
        <w:tab/>
      </w:r>
      <w:r>
        <w:rPr>
          <w:b w:val="0"/>
          <w:noProof/>
        </w:rPr>
        <w:t>1.4.</w:t>
      </w:r>
      <w:r>
        <w:rPr>
          <w:noProof/>
        </w:rPr>
        <w:tab/>
      </w:r>
      <w:r>
        <w:rPr>
          <w:b w:val="0"/>
          <w:noProof/>
        </w:rPr>
        <w:t xml:space="preserve">Objetivo(s) </w:t>
      </w:r>
    </w:p>
    <w:p>
      <w:pPr>
        <w:pStyle w:val="ManualHeading2"/>
        <w:rPr>
          <w:b w:val="0"/>
          <w:noProof/>
        </w:rPr>
      </w:pPr>
      <w:r>
        <w:rPr>
          <w:noProof/>
        </w:rPr>
        <w:tab/>
      </w:r>
      <w:r>
        <w:rPr>
          <w:b w:val="0"/>
          <w:noProof/>
        </w:rPr>
        <w:t>1.5.</w:t>
      </w:r>
      <w:r>
        <w:rPr>
          <w:noProof/>
        </w:rPr>
        <w:tab/>
      </w:r>
      <w:r>
        <w:rPr>
          <w:b w:val="0"/>
          <w:noProof/>
        </w:rPr>
        <w:t xml:space="preserve">Justificación de la propuesta/iniciativa </w:t>
      </w:r>
    </w:p>
    <w:p>
      <w:pPr>
        <w:pStyle w:val="ManualHeading2"/>
        <w:rPr>
          <w:b w:val="0"/>
          <w:noProof/>
        </w:rPr>
      </w:pPr>
      <w:r>
        <w:rPr>
          <w:noProof/>
        </w:rPr>
        <w:tab/>
      </w:r>
      <w:r>
        <w:rPr>
          <w:b w:val="0"/>
          <w:noProof/>
        </w:rPr>
        <w:t>1.6.</w:t>
      </w:r>
      <w:r>
        <w:rPr>
          <w:noProof/>
        </w:rPr>
        <w:tab/>
      </w:r>
      <w:r>
        <w:rPr>
          <w:b w:val="0"/>
          <w:noProof/>
        </w:rPr>
        <w:t xml:space="preserve">Duración e incidencia financiera </w:t>
      </w:r>
    </w:p>
    <w:p>
      <w:pPr>
        <w:pStyle w:val="ManualHeading2"/>
        <w:rPr>
          <w:b w:val="0"/>
          <w:noProof/>
        </w:rPr>
      </w:pPr>
      <w:r>
        <w:rPr>
          <w:noProof/>
        </w:rPr>
        <w:tab/>
      </w:r>
      <w:r>
        <w:rPr>
          <w:b w:val="0"/>
          <w:noProof/>
        </w:rPr>
        <w:t>1.7.</w:t>
      </w:r>
      <w:r>
        <w:rPr>
          <w:noProof/>
        </w:rPr>
        <w:tab/>
      </w:r>
      <w:r>
        <w:rPr>
          <w:b w:val="0"/>
          <w:noProof/>
        </w:rPr>
        <w:t xml:space="preserve">Modo(s) de gestión previsto(s) </w:t>
      </w:r>
    </w:p>
    <w:p>
      <w:pPr>
        <w:pStyle w:val="ManualHeading1"/>
        <w:rPr>
          <w:noProof/>
        </w:rPr>
      </w:pPr>
      <w:r>
        <w:rPr>
          <w:noProof/>
        </w:rPr>
        <w:t>2.</w:t>
      </w:r>
      <w:r>
        <w:rPr>
          <w:noProof/>
        </w:rPr>
        <w:tab/>
        <w:t xml:space="preserve">MEDIDAS DE GESTIÓN </w:t>
      </w:r>
    </w:p>
    <w:p>
      <w:pPr>
        <w:pStyle w:val="ManualHeading2"/>
        <w:rPr>
          <w:b w:val="0"/>
          <w:noProof/>
        </w:rPr>
      </w:pPr>
      <w:r>
        <w:rPr>
          <w:noProof/>
        </w:rPr>
        <w:tab/>
      </w:r>
      <w:r>
        <w:rPr>
          <w:b w:val="0"/>
          <w:noProof/>
        </w:rPr>
        <w:t>2.1.</w:t>
      </w:r>
      <w:r>
        <w:rPr>
          <w:noProof/>
        </w:rPr>
        <w:tab/>
      </w:r>
      <w:r>
        <w:rPr>
          <w:b w:val="0"/>
          <w:noProof/>
        </w:rPr>
        <w:t xml:space="preserve">Disposiciones en materia de seguimiento e informes </w:t>
      </w:r>
    </w:p>
    <w:p>
      <w:pPr>
        <w:pStyle w:val="ManualHeading2"/>
        <w:rPr>
          <w:b w:val="0"/>
          <w:noProof/>
        </w:rPr>
      </w:pPr>
      <w:r>
        <w:rPr>
          <w:noProof/>
        </w:rPr>
        <w:tab/>
      </w:r>
      <w:r>
        <w:rPr>
          <w:b w:val="0"/>
          <w:noProof/>
        </w:rPr>
        <w:t>2.2.</w:t>
      </w:r>
      <w:r>
        <w:rPr>
          <w:noProof/>
        </w:rPr>
        <w:tab/>
      </w:r>
      <w:r>
        <w:rPr>
          <w:b w:val="0"/>
          <w:noProof/>
        </w:rPr>
        <w:t xml:space="preserve">Sistema de gestión y de control </w:t>
      </w:r>
    </w:p>
    <w:p>
      <w:pPr>
        <w:pStyle w:val="ManualHeading2"/>
        <w:rPr>
          <w:b w:val="0"/>
          <w:noProof/>
        </w:rPr>
      </w:pPr>
      <w:r>
        <w:rPr>
          <w:noProof/>
        </w:rPr>
        <w:tab/>
      </w:r>
      <w:r>
        <w:rPr>
          <w:b w:val="0"/>
          <w:noProof/>
        </w:rPr>
        <w:t>2.3.</w:t>
      </w:r>
      <w:r>
        <w:rPr>
          <w:noProof/>
        </w:rPr>
        <w:tab/>
      </w:r>
      <w:r>
        <w:rPr>
          <w:b w:val="0"/>
          <w:noProof/>
        </w:rPr>
        <w:t xml:space="preserve">Medidas de prevención del fraude y de las irregularidades </w:t>
      </w:r>
    </w:p>
    <w:p>
      <w:pPr>
        <w:pStyle w:val="ManualHeading1"/>
        <w:rPr>
          <w:noProof/>
        </w:rPr>
      </w:pPr>
      <w:r>
        <w:rPr>
          <w:noProof/>
        </w:rPr>
        <w:t>3.</w:t>
      </w:r>
      <w:r>
        <w:rPr>
          <w:noProof/>
        </w:rPr>
        <w:tab/>
        <w:t xml:space="preserve">INCIDENCIA FINANCIERA ESTIMADA DE LA PROPUESTA/INICIATIVA </w:t>
      </w:r>
    </w:p>
    <w:p>
      <w:pPr>
        <w:pStyle w:val="ManualHeading2"/>
        <w:rPr>
          <w:b w:val="0"/>
          <w:noProof/>
        </w:rPr>
      </w:pPr>
      <w:r>
        <w:rPr>
          <w:noProof/>
        </w:rPr>
        <w:tab/>
      </w:r>
      <w:r>
        <w:rPr>
          <w:b w:val="0"/>
          <w:noProof/>
        </w:rPr>
        <w:t>3.1.</w:t>
      </w:r>
      <w:r>
        <w:rPr>
          <w:noProof/>
        </w:rPr>
        <w:tab/>
      </w:r>
      <w:r>
        <w:rPr>
          <w:b w:val="0"/>
          <w:noProof/>
        </w:rPr>
        <w:t xml:space="preserve">Rúbrica(s) del marco financiero plurianual y línea(s) presupuestaria(s) de gastos afectada(s) </w:t>
      </w:r>
    </w:p>
    <w:p>
      <w:pPr>
        <w:pStyle w:val="ManualHeading2"/>
        <w:rPr>
          <w:noProof/>
        </w:rPr>
      </w:pPr>
      <w:r>
        <w:rPr>
          <w:noProof/>
        </w:rPr>
        <w:tab/>
      </w:r>
      <w:r>
        <w:rPr>
          <w:b w:val="0"/>
          <w:noProof/>
        </w:rPr>
        <w:t>3.2.</w:t>
      </w:r>
      <w:r>
        <w:rPr>
          <w:noProof/>
        </w:rPr>
        <w:tab/>
      </w:r>
      <w:r>
        <w:rPr>
          <w:b w:val="0"/>
          <w:noProof/>
        </w:rPr>
        <w:t>Incidencia estimada en los gastos</w:t>
      </w:r>
      <w:r>
        <w:rPr>
          <w:noProof/>
        </w:rPr>
        <w:t xml:space="preserve"> </w:t>
      </w:r>
    </w:p>
    <w:p>
      <w:pPr>
        <w:pStyle w:val="ManualHeading3"/>
        <w:rPr>
          <w:noProof/>
        </w:rPr>
      </w:pPr>
      <w:r>
        <w:rPr>
          <w:noProof/>
        </w:rPr>
        <w:tab/>
        <w:t>3.2.1.</w:t>
      </w:r>
      <w:r>
        <w:rPr>
          <w:noProof/>
        </w:rPr>
        <w:tab/>
        <w:t xml:space="preserve">Resumen de la incidencia estimada en los gastos </w:t>
      </w:r>
    </w:p>
    <w:p>
      <w:pPr>
        <w:pStyle w:val="ManualHeading3"/>
        <w:rPr>
          <w:noProof/>
        </w:rPr>
      </w:pPr>
      <w:r>
        <w:rPr>
          <w:noProof/>
        </w:rPr>
        <w:tab/>
        <w:t>3.2.2.</w:t>
      </w:r>
      <w:r>
        <w:rPr>
          <w:noProof/>
        </w:rPr>
        <w:tab/>
        <w:t xml:space="preserve">Incidencia estimada en los créditos de operaciones </w:t>
      </w:r>
    </w:p>
    <w:p>
      <w:pPr>
        <w:pStyle w:val="ManualHeading3"/>
        <w:rPr>
          <w:noProof/>
        </w:rPr>
      </w:pPr>
      <w:r>
        <w:rPr>
          <w:noProof/>
        </w:rPr>
        <w:tab/>
        <w:t>3.2.3.</w:t>
      </w:r>
      <w:r>
        <w:rPr>
          <w:noProof/>
        </w:rPr>
        <w:tab/>
        <w:t>Incidencia estimada en los créditos de carácter administrativo</w:t>
      </w:r>
    </w:p>
    <w:p>
      <w:pPr>
        <w:pStyle w:val="ManualHeading3"/>
        <w:rPr>
          <w:noProof/>
        </w:rPr>
      </w:pPr>
      <w:r>
        <w:rPr>
          <w:noProof/>
        </w:rPr>
        <w:tab/>
        <w:t>3.2.4.</w:t>
      </w:r>
      <w:r>
        <w:rPr>
          <w:noProof/>
        </w:rPr>
        <w:tab/>
        <w:t>Compatibilidad con el marco financiero plurianual vigente</w:t>
      </w:r>
    </w:p>
    <w:p>
      <w:pPr>
        <w:pStyle w:val="ManualHeading3"/>
        <w:rPr>
          <w:noProof/>
        </w:rPr>
      </w:pPr>
      <w:r>
        <w:rPr>
          <w:noProof/>
        </w:rPr>
        <w:tab/>
        <w:t>3.2.5.</w:t>
      </w:r>
      <w:r>
        <w:rPr>
          <w:noProof/>
        </w:rPr>
        <w:tab/>
        <w:t xml:space="preserve">Contribución de terceros </w:t>
      </w:r>
    </w:p>
    <w:p>
      <w:pPr>
        <w:pStyle w:val="ManualHeading2"/>
        <w:jc w:val="left"/>
        <w:rPr>
          <w:b w:val="0"/>
          <w:noProof/>
        </w:rPr>
        <w:sectPr>
          <w:pgSz w:w="11907" w:h="16840" w:code="9"/>
          <w:pgMar w:top="1134" w:right="1418" w:bottom="1134" w:left="1418" w:header="709" w:footer="709" w:gutter="0"/>
          <w:cols w:space="708"/>
          <w:docGrid w:linePitch="360"/>
        </w:sectPr>
      </w:pPr>
      <w:r>
        <w:rPr>
          <w:noProof/>
        </w:rPr>
        <w:tab/>
      </w:r>
      <w:r>
        <w:rPr>
          <w:b w:val="0"/>
          <w:noProof/>
        </w:rPr>
        <w:t>3.3.</w:t>
      </w:r>
      <w:r>
        <w:rPr>
          <w:noProof/>
        </w:rPr>
        <w:tab/>
      </w:r>
      <w:r>
        <w:rPr>
          <w:b w:val="0"/>
          <w:noProof/>
        </w:rPr>
        <w:t>Incidencia estimada en los ingresos</w:t>
      </w:r>
    </w:p>
    <w:p>
      <w:pPr>
        <w:jc w:val="center"/>
        <w:rPr>
          <w:noProof/>
        </w:rPr>
      </w:pPr>
      <w:r>
        <w:rPr>
          <w:b/>
          <w:noProof/>
          <w:u w:val="single"/>
        </w:rPr>
        <w:t>FICHA FINANCIERA LEGISLATIVA</w:t>
      </w:r>
    </w:p>
    <w:p>
      <w:pPr>
        <w:pStyle w:val="ManualHeading1"/>
        <w:rPr>
          <w:bCs/>
          <w:noProof/>
          <w:szCs w:val="24"/>
        </w:rPr>
      </w:pPr>
      <w:r>
        <w:t>1.</w:t>
      </w:r>
      <w:r>
        <w:tab/>
      </w:r>
      <w:r>
        <w:rPr>
          <w:noProof/>
        </w:rPr>
        <w:t>MARCO DE LA PROPUESTA/INICIATIVA</w:t>
      </w:r>
      <w:bookmarkEnd w:id="1"/>
      <w:bookmarkEnd w:id="2"/>
      <w:r>
        <w:rPr>
          <w:noProof/>
        </w:rPr>
        <w:t xml:space="preserve"> </w:t>
      </w:r>
    </w:p>
    <w:p>
      <w:pPr>
        <w:pStyle w:val="ManualHeading2"/>
        <w:rPr>
          <w:bCs/>
          <w:noProof/>
          <w:szCs w:val="24"/>
        </w:rPr>
      </w:pPr>
      <w:bookmarkStart w:id="3" w:name="_Toc514938660"/>
      <w:bookmarkStart w:id="4" w:name="_Toc524270783"/>
      <w:r>
        <w:t>1.1.</w:t>
      </w:r>
      <w:r>
        <w:tab/>
      </w:r>
      <w:r>
        <w:rPr>
          <w:noProof/>
        </w:rPr>
        <w:t>Denominación de la propuesta/iniciativa</w:t>
      </w:r>
      <w:bookmarkEnd w:id="3"/>
      <w:bookmarkEnd w:id="4"/>
    </w:p>
    <w:p>
      <w:pPr>
        <w:pStyle w:val="Text1"/>
        <w:pBdr>
          <w:top w:val="single" w:sz="4" w:space="1" w:color="auto"/>
          <w:left w:val="single" w:sz="4" w:space="4" w:color="auto"/>
          <w:bottom w:val="single" w:sz="4" w:space="1" w:color="auto"/>
          <w:right w:val="single" w:sz="4" w:space="4" w:color="auto"/>
        </w:pBdr>
        <w:rPr>
          <w:noProof/>
        </w:rPr>
      </w:pPr>
      <w:r>
        <w:rPr>
          <w:noProof/>
        </w:rPr>
        <w:t>Propuesta de REGLAMENTO DEL PARLAMENTO EUROPEO Y DEL CONSEJO por el que se modifica el Reglamento (UE, Euratom) n.º 1141/2014 en lo que respecta a un procedimiento de verificación relativo a las infracciones de las normas de protección de los datos personales en el contexto de las elecciones al Parlamento Europeo</w:t>
      </w:r>
    </w:p>
    <w:p>
      <w:pPr>
        <w:pStyle w:val="ManualHeading2"/>
        <w:rPr>
          <w:bCs/>
          <w:noProof/>
          <w:szCs w:val="24"/>
          <w:lang w:val="pt-PT"/>
        </w:rPr>
      </w:pPr>
      <w:bookmarkStart w:id="5" w:name="_Toc514938661"/>
      <w:bookmarkStart w:id="6" w:name="_Toc524270784"/>
      <w:r>
        <w:t>1.2.</w:t>
      </w:r>
      <w:r>
        <w:tab/>
      </w:r>
      <w:r>
        <w:rPr>
          <w:noProof/>
          <w:lang w:val="pt-PT"/>
        </w:rPr>
        <w:t>Ámbito(s) político(s) afectado(s)</w:t>
      </w:r>
      <w:bookmarkEnd w:id="5"/>
      <w:bookmarkEnd w:id="6"/>
    </w:p>
    <w:p>
      <w:pPr>
        <w:pStyle w:val="Text1"/>
        <w:pBdr>
          <w:top w:val="single" w:sz="4" w:space="1" w:color="auto"/>
          <w:left w:val="single" w:sz="4" w:space="4" w:color="auto"/>
          <w:bottom w:val="single" w:sz="4" w:space="1" w:color="auto"/>
          <w:right w:val="single" w:sz="4" w:space="4" w:color="auto"/>
        </w:pBdr>
        <w:rPr>
          <w:noProof/>
        </w:rPr>
      </w:pPr>
      <w:r>
        <w:rPr>
          <w:noProof/>
        </w:rPr>
        <w:t>Derechos fundamentales</w:t>
      </w:r>
    </w:p>
    <w:p>
      <w:pPr>
        <w:pStyle w:val="ManualHeading2"/>
        <w:rPr>
          <w:bCs/>
          <w:noProof/>
          <w:szCs w:val="24"/>
        </w:rPr>
      </w:pPr>
      <w:bookmarkStart w:id="7" w:name="_Toc514938662"/>
      <w:bookmarkStart w:id="8" w:name="_Toc524270785"/>
      <w:r>
        <w:t>1.3.</w:t>
      </w:r>
      <w:r>
        <w:tab/>
      </w:r>
      <w:r>
        <w:rPr>
          <w:noProof/>
        </w:rPr>
        <w:t>La propuesta se refiere a:</w:t>
      </w:r>
      <w:bookmarkEnd w:id="7"/>
      <w:bookmarkEnd w:id="8"/>
      <w:r>
        <w:rPr>
          <w:noProof/>
        </w:rPr>
        <w:t xml:space="preserve"> </w:t>
      </w:r>
    </w:p>
    <w:p>
      <w:pPr>
        <w:pStyle w:val="Text1"/>
        <w:rPr>
          <w:b/>
          <w:noProof/>
        </w:rPr>
      </w:pPr>
      <w:r>
        <w:rPr>
          <w:noProof/>
        </w:rPr>
        <w:sym w:font="Wingdings" w:char="F0A8"/>
      </w:r>
      <w:r>
        <w:rPr>
          <w:b/>
          <w:i/>
          <w:noProof/>
        </w:rPr>
        <w:t xml:space="preserve"> </w:t>
      </w:r>
      <w:r>
        <w:rPr>
          <w:b/>
          <w:noProof/>
        </w:rPr>
        <w:t xml:space="preserve">una acción nueva </w:t>
      </w:r>
    </w:p>
    <w:p>
      <w:pPr>
        <w:pStyle w:val="Text1"/>
        <w:rPr>
          <w:noProof/>
          <w:sz w:val="22"/>
        </w:rPr>
      </w:pPr>
      <w:r>
        <w:rPr>
          <w:noProof/>
        </w:rPr>
        <w:sym w:font="Wingdings" w:char="F0A8"/>
      </w:r>
      <w:r>
        <w:rPr>
          <w:i/>
          <w:noProof/>
        </w:rPr>
        <w:t xml:space="preserve"> </w:t>
      </w:r>
      <w:r>
        <w:rPr>
          <w:b/>
          <w:noProof/>
        </w:rPr>
        <w:t>una acción nueva a raíz de un proyecto piloto / una acción preparatoria</w:t>
      </w:r>
      <w:r>
        <w:rPr>
          <w:rStyle w:val="FootnoteReference"/>
          <w:b/>
          <w:noProof/>
        </w:rPr>
        <w:footnoteReference w:id="19"/>
      </w:r>
      <w:r>
        <w:rPr>
          <w:noProof/>
          <w:sz w:val="22"/>
        </w:rPr>
        <w:t xml:space="preserve"> </w:t>
      </w:r>
    </w:p>
    <w:p>
      <w:pPr>
        <w:pStyle w:val="Text1"/>
        <w:rPr>
          <w:noProof/>
        </w:rPr>
      </w:pPr>
      <w:r>
        <w:rPr>
          <w:noProof/>
        </w:rPr>
        <w:t>X</w:t>
      </w:r>
      <w:r>
        <w:rPr>
          <w:i/>
          <w:noProof/>
        </w:rPr>
        <w:t xml:space="preserve"> </w:t>
      </w:r>
      <w:r>
        <w:rPr>
          <w:b/>
          <w:noProof/>
        </w:rPr>
        <w:t>la prolongación de una acción existente</w:t>
      </w:r>
      <w:r>
        <w:rPr>
          <w:noProof/>
        </w:rPr>
        <w:t xml:space="preserve"> </w:t>
      </w:r>
    </w:p>
    <w:p>
      <w:pPr>
        <w:pStyle w:val="Text1"/>
        <w:rPr>
          <w:noProof/>
        </w:rPr>
      </w:pPr>
      <w:r>
        <w:rPr>
          <w:noProof/>
        </w:rPr>
        <w:sym w:font="Wingdings" w:char="F0A8"/>
      </w:r>
      <w:r>
        <w:rPr>
          <w:i/>
          <w:noProof/>
        </w:rPr>
        <w:t xml:space="preserve"> </w:t>
      </w:r>
      <w:r>
        <w:rPr>
          <w:b/>
          <w:noProof/>
        </w:rPr>
        <w:t>una fusión o reorientación de una o más</w:t>
      </w:r>
      <w:r>
        <w:rPr>
          <w:noProof/>
        </w:rPr>
        <w:t xml:space="preserve"> </w:t>
      </w:r>
      <w:r>
        <w:rPr>
          <w:b/>
          <w:noProof/>
        </w:rPr>
        <w:t>acciones hacia otra/una nueva acción</w:t>
      </w:r>
      <w:r>
        <w:rPr>
          <w:noProof/>
        </w:rPr>
        <w:t xml:space="preserve"> </w:t>
      </w:r>
    </w:p>
    <w:p>
      <w:pPr>
        <w:pStyle w:val="ManualHeading2"/>
        <w:rPr>
          <w:bCs/>
          <w:noProof/>
          <w:szCs w:val="24"/>
        </w:rPr>
      </w:pPr>
      <w:bookmarkStart w:id="9" w:name="_Toc514938663"/>
      <w:bookmarkStart w:id="10" w:name="_Toc524270786"/>
      <w:r>
        <w:t>1.4.</w:t>
      </w:r>
      <w:r>
        <w:tab/>
      </w:r>
      <w:r>
        <w:rPr>
          <w:noProof/>
        </w:rPr>
        <w:t>Objetivo(s)</w:t>
      </w:r>
      <w:bookmarkEnd w:id="9"/>
      <w:bookmarkEnd w:id="10"/>
    </w:p>
    <w:p>
      <w:pPr>
        <w:pStyle w:val="ManualHeading3"/>
        <w:rPr>
          <w:bCs/>
          <w:noProof/>
          <w:szCs w:val="24"/>
        </w:rPr>
      </w:pPr>
      <w:bookmarkStart w:id="11" w:name="_Toc514938664"/>
      <w:bookmarkStart w:id="12" w:name="_Toc524270787"/>
      <w:r>
        <w:t>1.4.1.</w:t>
      </w:r>
      <w:r>
        <w:tab/>
      </w:r>
      <w:r>
        <w:rPr>
          <w:noProof/>
        </w:rPr>
        <w:t>Objetivo(s) general(es)</w:t>
      </w:r>
      <w:bookmarkEnd w:id="11"/>
      <w:bookmarkEnd w:id="12"/>
      <w:r>
        <w:rPr>
          <w:noProof/>
        </w:rPr>
        <w:t xml:space="preserve"> </w:t>
      </w:r>
    </w:p>
    <w:p>
      <w:pPr>
        <w:pStyle w:val="Text1"/>
        <w:pBdr>
          <w:top w:val="single" w:sz="4" w:space="1" w:color="auto"/>
          <w:left w:val="single" w:sz="4" w:space="4" w:color="auto"/>
          <w:bottom w:val="single" w:sz="4" w:space="1" w:color="auto"/>
          <w:right w:val="single" w:sz="4" w:space="4" w:color="auto"/>
        </w:pBdr>
        <w:rPr>
          <w:noProof/>
        </w:rPr>
      </w:pPr>
      <w:r>
        <w:rPr>
          <w:noProof/>
        </w:rPr>
        <w:t>Acontecimientos recientes han puesto de manifiesto los riesgos potenciales para los procesos electorales y la democracia que pueden derivarse del uso ilegal de datos personales. Por lo tanto, es necesario proteger la integridad del proceso democrático europeo estableciendo sanciones financieras en situaciones en las que los partidos políticos europeos o las fundaciones políticas europeas aprovechen infracciones de las normas de protección de datos con el fin de influir en el resultado de las elecciones al Parlamento Europeo.</w:t>
      </w:r>
    </w:p>
    <w:p>
      <w:pPr>
        <w:pStyle w:val="ManualHeading3"/>
        <w:rPr>
          <w:bCs/>
          <w:noProof/>
          <w:szCs w:val="24"/>
        </w:rPr>
      </w:pPr>
      <w:bookmarkStart w:id="13" w:name="_Toc514938665"/>
      <w:bookmarkStart w:id="14" w:name="_Toc524270788"/>
      <w:r>
        <w:t>1.4.2.</w:t>
      </w:r>
      <w:r>
        <w:tab/>
      </w:r>
      <w:r>
        <w:rPr>
          <w:noProof/>
        </w:rPr>
        <w:t>Objetivo(s) específico(s)</w:t>
      </w:r>
      <w:bookmarkEnd w:id="13"/>
      <w:bookmarkEnd w:id="14"/>
      <w:r>
        <w:rPr>
          <w:noProof/>
        </w:rPr>
        <w:t xml:space="preserve"> </w:t>
      </w:r>
    </w:p>
    <w:p>
      <w:pPr>
        <w:pStyle w:val="Text1"/>
        <w:pBdr>
          <w:top w:val="single" w:sz="4" w:space="1" w:color="auto"/>
          <w:left w:val="single" w:sz="4" w:space="4" w:color="auto"/>
          <w:bottom w:val="single" w:sz="4" w:space="1" w:color="auto"/>
          <w:right w:val="single" w:sz="4" w:space="4" w:color="auto"/>
        </w:pBdr>
        <w:rPr>
          <w:noProof/>
        </w:rPr>
      </w:pPr>
      <w:r>
        <w:rPr>
          <w:noProof/>
        </w:rPr>
        <w:t>Debe instaurarse un procedimiento de verificación en virtud del cual la Autoridad establecida mediante el artículo 6 del Reglamento (UE, Euratom) n.º 1141/2014 (en lo sucesivo, «la Autoridad») deberá, en determinadas circunstancias, solicitar al Comité de Personalidades Independientes que dictamine si un partido político europeo o una fundación política europea ha influido deliberadamente o ha intentado influir en el resultado de las elecciones al Parlamento Europeo aprovechando una infracción de las normas aplicables en materia de protección de datos personales. Cuando el Comité considere que eso ha sucedido, la Autoridad debe imponer sanciones acordes con el sistema de sanciones eficaz, proporcionado y disuasorio establecido por el Reglamento (UE, Euratom) n.º 1141/2014.</w:t>
      </w:r>
    </w:p>
    <w:p>
      <w:pPr>
        <w:pStyle w:val="Text1"/>
        <w:pBdr>
          <w:top w:val="single" w:sz="4" w:space="1" w:color="auto"/>
          <w:left w:val="single" w:sz="4" w:space="4" w:color="auto"/>
          <w:bottom w:val="single" w:sz="4" w:space="1" w:color="auto"/>
          <w:right w:val="single" w:sz="4" w:space="4" w:color="auto"/>
        </w:pBdr>
        <w:rPr>
          <w:noProof/>
          <w:u w:val="single"/>
        </w:rPr>
      </w:pPr>
      <w:r>
        <w:rPr>
          <w:noProof/>
        </w:rPr>
        <w:t xml:space="preserve">Es necesario que la Autoridad disponga de recursos suficientes para desempeñar plenamente sus tareas, tanto las previstas en el actual Reglamento (UE, Euratom) n.º 1141/2014 como las nuevas previstas por la presente propuesta de modificación. Ello exige un personal estable y un refuerzo de los recursos humanos que se proporcionan actualmente a la Autoridad. </w:t>
      </w:r>
    </w:p>
    <w:p>
      <w:pPr>
        <w:pStyle w:val="ManualHeading3"/>
        <w:rPr>
          <w:noProof/>
          <w:szCs w:val="24"/>
          <w:lang w:val="pt-PT"/>
        </w:rPr>
      </w:pPr>
      <w:bookmarkStart w:id="15" w:name="_Toc524270789"/>
      <w:bookmarkStart w:id="16" w:name="_Toc514938666"/>
      <w:r>
        <w:t>1.4.3.</w:t>
      </w:r>
      <w:r>
        <w:tab/>
      </w:r>
      <w:r>
        <w:rPr>
          <w:noProof/>
          <w:lang w:val="pt-PT"/>
        </w:rPr>
        <w:t>Resultado(s) e incidencia esperados</w:t>
      </w:r>
      <w:bookmarkEnd w:id="15"/>
      <w:bookmarkEnd w:id="16"/>
    </w:p>
    <w:p>
      <w:pPr>
        <w:pStyle w:val="Text1"/>
        <w:rPr>
          <w:i/>
          <w:noProof/>
          <w:sz w:val="20"/>
        </w:rPr>
      </w:pPr>
      <w:r>
        <w:rPr>
          <w:i/>
          <w:noProof/>
          <w:sz w:val="20"/>
        </w:rPr>
        <w:t>Especifíquense los efectos que la propuesta/iniciativa debería tener sobre los beneficiarios / la población destinataria.</w:t>
      </w:r>
    </w:p>
    <w:p>
      <w:pPr>
        <w:pStyle w:val="Text1"/>
        <w:pBdr>
          <w:top w:val="single" w:sz="4" w:space="1" w:color="auto"/>
          <w:left w:val="single" w:sz="4" w:space="4" w:color="auto"/>
          <w:bottom w:val="single" w:sz="4" w:space="1" w:color="auto"/>
          <w:right w:val="single" w:sz="4" w:space="4" w:color="auto"/>
        </w:pBdr>
        <w:rPr>
          <w:noProof/>
        </w:rPr>
      </w:pPr>
      <w:r>
        <w:rPr>
          <w:noProof/>
        </w:rPr>
        <w:t xml:space="preserve">El objetivo de la propuesta es disuadir a los partidos políticos europeos y a las fundaciones políticas europeas de utilizar los resultados de las infracciones de las normas de protección de datos con el fin de influir deliberadamente en el resultado de las elecciones al Parlamento Europeo estableciendo sanciones financieras por cualquier comportamiento inadecuado. </w:t>
      </w:r>
    </w:p>
    <w:p>
      <w:pPr>
        <w:pStyle w:val="ManualHeading3"/>
        <w:rPr>
          <w:bCs/>
          <w:noProof/>
          <w:szCs w:val="24"/>
        </w:rPr>
      </w:pPr>
      <w:bookmarkStart w:id="17" w:name="_Toc514938667"/>
      <w:bookmarkStart w:id="18" w:name="_Toc524270790"/>
      <w:r>
        <w:t>1.4.4.</w:t>
      </w:r>
      <w:r>
        <w:tab/>
      </w:r>
      <w:r>
        <w:rPr>
          <w:noProof/>
        </w:rPr>
        <w:t>Indicadores de rendimiento</w:t>
      </w:r>
      <w:bookmarkEnd w:id="17"/>
      <w:bookmarkEnd w:id="18"/>
      <w:r>
        <w:rPr>
          <w:noProof/>
        </w:rPr>
        <w:t xml:space="preserve"> </w:t>
      </w:r>
    </w:p>
    <w:p>
      <w:pPr>
        <w:pStyle w:val="Text1"/>
        <w:rPr>
          <w:i/>
          <w:noProof/>
          <w:sz w:val="20"/>
        </w:rPr>
      </w:pPr>
      <w:r>
        <w:rPr>
          <w:i/>
          <w:noProof/>
          <w:sz w:val="20"/>
        </w:rPr>
        <w:t>Especifíquense los indicadores que permiten realizar el seguimiento de los avances y los logros.</w:t>
      </w:r>
    </w:p>
    <w:p>
      <w:pPr>
        <w:pStyle w:val="Text1"/>
        <w:pBdr>
          <w:top w:val="single" w:sz="4" w:space="1" w:color="auto"/>
          <w:left w:val="single" w:sz="4" w:space="1" w:color="auto"/>
          <w:bottom w:val="single" w:sz="4" w:space="1" w:color="auto"/>
          <w:right w:val="single" w:sz="4" w:space="1" w:color="auto"/>
        </w:pBdr>
        <w:rPr>
          <w:noProof/>
        </w:rPr>
      </w:pPr>
      <w:r>
        <w:rPr>
          <w:noProof/>
        </w:rPr>
        <w:t>Deben imponerse oportunamente sanciones a cualquier partido político europeo o fundación política europea que se considere que ha aprovechado las infracciones de las normas de protección de datos con el fin de influir deliberadamente en el resultado de las elecciones al Parlamento Europeo.</w:t>
      </w:r>
    </w:p>
    <w:p>
      <w:pPr>
        <w:pStyle w:val="ManualHeading2"/>
        <w:rPr>
          <w:bCs/>
          <w:noProof/>
          <w:szCs w:val="24"/>
        </w:rPr>
      </w:pPr>
      <w:bookmarkStart w:id="19" w:name="_Toc514938668"/>
      <w:bookmarkStart w:id="20" w:name="_Toc524270791"/>
      <w:r>
        <w:t>1.5.</w:t>
      </w:r>
      <w:r>
        <w:tab/>
      </w:r>
      <w:r>
        <w:rPr>
          <w:noProof/>
        </w:rPr>
        <w:t>Justificación de la propuesta/iniciativa</w:t>
      </w:r>
      <w:bookmarkEnd w:id="19"/>
      <w:bookmarkEnd w:id="20"/>
      <w:r>
        <w:rPr>
          <w:noProof/>
        </w:rPr>
        <w:t xml:space="preserve"> </w:t>
      </w:r>
    </w:p>
    <w:p>
      <w:pPr>
        <w:pStyle w:val="ManualHeading3"/>
        <w:rPr>
          <w:noProof/>
        </w:rPr>
      </w:pPr>
      <w:bookmarkStart w:id="21" w:name="_Toc514938669"/>
      <w:bookmarkStart w:id="22" w:name="_Toc524270792"/>
      <w:r>
        <w:t>1.5.1.</w:t>
      </w:r>
      <w:r>
        <w:tab/>
      </w:r>
      <w:r>
        <w:rPr>
          <w:noProof/>
        </w:rPr>
        <w:t>Necesidad(es) que debe(n) satisfacerse a corto o largo plazo, incluido un calendario detallado del despliegue de la aplicación de la iniciativa</w:t>
      </w:r>
      <w:bookmarkEnd w:id="21"/>
      <w:bookmarkEnd w:id="22"/>
    </w:p>
    <w:p>
      <w:pPr>
        <w:pStyle w:val="Text1"/>
        <w:pBdr>
          <w:top w:val="single" w:sz="4" w:space="1" w:color="auto"/>
          <w:left w:val="single" w:sz="4" w:space="4" w:color="auto"/>
          <w:bottom w:val="single" w:sz="4" w:space="1" w:color="auto"/>
          <w:right w:val="single" w:sz="4" w:space="4" w:color="auto"/>
        </w:pBdr>
        <w:rPr>
          <w:noProof/>
        </w:rPr>
      </w:pPr>
      <w:r>
        <w:rPr>
          <w:noProof/>
        </w:rPr>
        <w:t xml:space="preserve">El régimen de sanciones mencionado debe estar en vigor mucho antes de las elecciones al Parlamento Europeo de 2019, con el fin de desalentar las acciones inadecuadas descritas. Para que sea operativo, y para garantizar que la Autoridad esté plenamente equipada para gestionar el conjunto de sus tareas, deben proporcionarse recursos humanos adicionales tan pronto como sea posible y, en primer lugar, mediante la redistribución de los recursos que lleven a cabo estas tareas antes de la creación de la Autoridad. </w:t>
      </w:r>
    </w:p>
    <w:p>
      <w:pPr>
        <w:pStyle w:val="Text1"/>
        <w:pBdr>
          <w:top w:val="single" w:sz="4" w:space="1" w:color="auto"/>
          <w:left w:val="single" w:sz="4" w:space="4" w:color="auto"/>
          <w:bottom w:val="single" w:sz="4" w:space="1" w:color="auto"/>
          <w:right w:val="single" w:sz="4" w:space="4" w:color="auto"/>
        </w:pBdr>
        <w:rPr>
          <w:noProof/>
        </w:rPr>
      </w:pPr>
      <w:r>
        <w:rPr>
          <w:noProof/>
        </w:rPr>
        <w:t xml:space="preserve">En aras de una mayor simplificación e independencia de su funcionamiento, deben delegarse en el director de la Autoridad las competencias de la autoridad facultada para proceder a los nombramientos atribuidas por el Estatuto de los funcionarios y por el Régimen aplicable a los otros agentes [Reglamento (CEE, Euratom, CECA) n.° 259/68 del Consejo, de 29 de febrero de 1968, por el que se establece el Estatuto de los funcionarios de las Comunidades Europeas y el régimen aplicable a los otros agentes de estas Comunidades y por el que se establecen medidas específicas aplicables temporalmente a los funcionarios de la Comisión (DO L 56 de 4.3.1968, p. 1)]. </w:t>
      </w:r>
    </w:p>
    <w:p>
      <w:pPr>
        <w:pStyle w:val="ManualHeading3"/>
        <w:rPr>
          <w:bCs/>
          <w:noProof/>
          <w:szCs w:val="24"/>
        </w:rPr>
      </w:pPr>
      <w:bookmarkStart w:id="23" w:name="_Toc514938670"/>
      <w:bookmarkStart w:id="24" w:name="_Toc524270793"/>
      <w:r>
        <w:t>1.5.2.</w:t>
      </w:r>
      <w:r>
        <w:tab/>
      </w:r>
      <w:r>
        <w:rPr>
          <w:noProof/>
        </w:rPr>
        <w:t>Valor añadido de la intervención de la Unión (puede derivarse de distintos factores, como, por ejemplo, coordinación, seguridad jurídica, mayor eficacia o las complementariedades). A efectos del presente punto, se entenderá por «valor añadido de la intervención de la Unión» el valor resultante de una intervención de la Unión que viene a sumarse al valor que se habría generado de haber actuado los Estados miembros de forma aislada.</w:t>
      </w:r>
      <w:bookmarkEnd w:id="23"/>
      <w:bookmarkEnd w:id="24"/>
    </w:p>
    <w:p>
      <w:pPr>
        <w:pStyle w:val="Text1"/>
        <w:pBdr>
          <w:top w:val="single" w:sz="4" w:space="1" w:color="auto"/>
          <w:left w:val="single" w:sz="4" w:space="4" w:color="auto"/>
          <w:bottom w:val="single" w:sz="4" w:space="1" w:color="auto"/>
          <w:right w:val="single" w:sz="4" w:space="4" w:color="auto"/>
        </w:pBdr>
        <w:rPr>
          <w:noProof/>
        </w:rPr>
      </w:pPr>
      <w:r>
        <w:rPr>
          <w:noProof/>
        </w:rPr>
        <w:t xml:space="preserve">La presente propuesta se refiere al sistema de partidos políticos europeos y fundaciones políticas europeas establecido a nivel europeo. De conformidad con el Reglamento (UE, Euratom) n.º 1141/2014, se trata de organismos con personalidad jurídica europea. La Autoridad es también un organismo con personalidad jurídica en virtud del Derecho de la Unión. Por lo tanto, solo a través de una acción a nivel de la Unión se pueden perseguir los objetivos descritos anteriormente. </w:t>
      </w:r>
    </w:p>
    <w:p>
      <w:pPr>
        <w:pStyle w:val="Text1"/>
        <w:pBdr>
          <w:top w:val="single" w:sz="4" w:space="1" w:color="auto"/>
          <w:left w:val="single" w:sz="4" w:space="4" w:color="auto"/>
          <w:bottom w:val="single" w:sz="4" w:space="1" w:color="auto"/>
          <w:right w:val="single" w:sz="4" w:space="4" w:color="auto"/>
        </w:pBdr>
        <w:rPr>
          <w:noProof/>
        </w:rPr>
      </w:pPr>
      <w:r>
        <w:rPr>
          <w:noProof/>
        </w:rPr>
        <w:t>La propuesta habrá alcanzado sus objetivos si: a) el régimen de sanciones propuesto disuade a los partidos políticos europeos o fundaciones políticas europeas de utilizar indebidamente los resultados de infracciones de las normas sobre protección de datos personales, o b) cualquier acto de este tipo que tenga lugar se sanciona debidamente.</w:t>
      </w:r>
    </w:p>
    <w:p>
      <w:pPr>
        <w:pStyle w:val="Text1"/>
        <w:pBdr>
          <w:top w:val="single" w:sz="4" w:space="1" w:color="auto"/>
          <w:left w:val="single" w:sz="4" w:space="4" w:color="auto"/>
          <w:bottom w:val="single" w:sz="4" w:space="1" w:color="auto"/>
          <w:right w:val="single" w:sz="4" w:space="4" w:color="auto"/>
        </w:pBdr>
        <w:rPr>
          <w:noProof/>
        </w:rPr>
      </w:pPr>
      <w:r>
        <w:rPr>
          <w:noProof/>
        </w:rPr>
        <w:t xml:space="preserve">La Autoridad debe estar en condiciones de asumir plenamente el conjunto de sus funciones, en particular antes del período electoral europeo de 2019 e inmediatamente después. </w:t>
      </w:r>
    </w:p>
    <w:p>
      <w:pPr>
        <w:pStyle w:val="ManualHeading3"/>
        <w:rPr>
          <w:noProof/>
        </w:rPr>
      </w:pPr>
      <w:bookmarkStart w:id="25" w:name="_Toc514938671"/>
      <w:bookmarkStart w:id="26" w:name="_Toc524270794"/>
      <w:r>
        <w:t>1.5.3.</w:t>
      </w:r>
      <w:r>
        <w:tab/>
      </w:r>
      <w:r>
        <w:rPr>
          <w:noProof/>
        </w:rPr>
        <w:t>Principales conclusiones extraídas de experiencias similares anteriores</w:t>
      </w:r>
      <w:bookmarkEnd w:id="25"/>
      <w:bookmarkEnd w:id="26"/>
    </w:p>
    <w:p>
      <w:pPr>
        <w:pStyle w:val="Text1"/>
        <w:pBdr>
          <w:top w:val="single" w:sz="4" w:space="1" w:color="auto"/>
          <w:left w:val="single" w:sz="4" w:space="4" w:color="auto"/>
          <w:bottom w:val="single" w:sz="4" w:space="1" w:color="auto"/>
          <w:right w:val="single" w:sz="4" w:space="4" w:color="auto"/>
        </w:pBdr>
        <w:rPr>
          <w:noProof/>
        </w:rPr>
      </w:pPr>
      <w:r>
        <w:rPr>
          <w:noProof/>
        </w:rPr>
        <w:t xml:space="preserve">El primer informe anual de la Autoridad, correspondiente a 2017, establece que «la Autoridad comprende actualmente dos asalariados a tiempo completo y el director. Más concretamente, en noviembre de 2016, el Parlamento Europeo destinó un asistente administrativo en comisión de servicio para ayudar al director en la creación de la Autoridad y el proceso de registro de los partidos y fundaciones de la UE. En junio de 2017, se incorporó a la Autoridad un asesor jurídico para asesorar sobre cuestiones procedimentales, sustantivas y financieras. En este momento, el Parlamento Europeo proporciona la totalidad del personal de la Autoridad. El personal actual es insuficiente para que la Autoridad pueda desempeñar correctamente las tareas que le confiere el Reglamento (UE, Euratom) n.º 1141/2014. Por otra parte, esa falta de personal también puede afectar a la independencia y a la continuidad de las actividades de la Autoridad». </w:t>
      </w:r>
    </w:p>
    <w:p>
      <w:pPr>
        <w:pStyle w:val="ManualHeading3"/>
        <w:rPr>
          <w:noProof/>
        </w:rPr>
      </w:pPr>
      <w:bookmarkStart w:id="27" w:name="_Toc514938672"/>
      <w:bookmarkStart w:id="28" w:name="_Toc524270795"/>
      <w:r>
        <w:t>1.5.4.</w:t>
      </w:r>
      <w:r>
        <w:tab/>
      </w:r>
      <w:r>
        <w:rPr>
          <w:noProof/>
        </w:rPr>
        <w:t>Compatibilidad con el marco financiero plurianual y posibles sinergias con otros instrumentos adecuados</w:t>
      </w:r>
      <w:bookmarkEnd w:id="27"/>
      <w:bookmarkEnd w:id="28"/>
    </w:p>
    <w:p>
      <w:pPr>
        <w:pStyle w:val="Text1"/>
        <w:pBdr>
          <w:top w:val="single" w:sz="4" w:space="1" w:color="auto"/>
          <w:left w:val="single" w:sz="4" w:space="4" w:color="auto"/>
          <w:bottom w:val="single" w:sz="4" w:space="1" w:color="auto"/>
          <w:right w:val="single" w:sz="4" w:space="4" w:color="auto"/>
        </w:pBdr>
        <w:rPr>
          <w:noProof/>
        </w:rPr>
      </w:pPr>
      <w:r>
        <w:rPr>
          <w:noProof/>
        </w:rPr>
        <w:t xml:space="preserve">La presente propuesta no implicaría cambio alguno en el límite máximo de los gastos administrativos de las instituciones de la Unión previsto en el marco financiero plurianual. </w:t>
      </w:r>
    </w:p>
    <w:p>
      <w:pPr>
        <w:pStyle w:val="ManualHeading3"/>
        <w:rPr>
          <w:noProof/>
        </w:rPr>
      </w:pPr>
      <w:bookmarkStart w:id="29" w:name="_Toc514938673"/>
      <w:bookmarkStart w:id="30" w:name="_Toc524270796"/>
      <w:r>
        <w:t>1.5.5.</w:t>
      </w:r>
      <w:r>
        <w:tab/>
      </w:r>
      <w:r>
        <w:rPr>
          <w:noProof/>
        </w:rPr>
        <w:t>Evaluación de las diferentes opciones de financiación disponibles, en particular, posibilidades de reasignación</w:t>
      </w:r>
      <w:bookmarkEnd w:id="29"/>
      <w:bookmarkEnd w:id="30"/>
    </w:p>
    <w:p>
      <w:pPr>
        <w:pStyle w:val="Text1"/>
        <w:pBdr>
          <w:top w:val="single" w:sz="4" w:space="1" w:color="auto"/>
          <w:left w:val="single" w:sz="4" w:space="4" w:color="auto"/>
          <w:bottom w:val="single" w:sz="4" w:space="1" w:color="auto"/>
          <w:right w:val="single" w:sz="4" w:space="4" w:color="auto"/>
        </w:pBdr>
        <w:rPr>
          <w:noProof/>
        </w:rPr>
      </w:pPr>
      <w:r>
        <w:rPr>
          <w:noProof/>
        </w:rPr>
        <w:t>El aumento propuesto en la dotación de personal de la Autoridad se logrará, en primer lugar, mediante la redistribución de los recursos existentes.</w:t>
      </w:r>
    </w:p>
    <w:p>
      <w:pPr>
        <w:pStyle w:val="Text1"/>
        <w:rPr>
          <w:noProof/>
        </w:rPr>
      </w:pPr>
    </w:p>
    <w:p>
      <w:pPr>
        <w:pStyle w:val="ManualHeading2"/>
        <w:rPr>
          <w:bCs/>
          <w:noProof/>
          <w:szCs w:val="24"/>
        </w:rPr>
      </w:pPr>
      <w:bookmarkStart w:id="31" w:name="_Toc514938674"/>
      <w:bookmarkStart w:id="32" w:name="_Toc524270797"/>
      <w:r>
        <w:t>1.6.</w:t>
      </w:r>
      <w:r>
        <w:tab/>
      </w:r>
      <w:r>
        <w:rPr>
          <w:noProof/>
        </w:rPr>
        <w:t>Duración e incidencia financiera</w:t>
      </w:r>
      <w:bookmarkEnd w:id="31"/>
      <w:bookmarkEnd w:id="32"/>
    </w:p>
    <w:p>
      <w:pPr>
        <w:pStyle w:val="Text1"/>
        <w:rPr>
          <w:noProof/>
        </w:rPr>
      </w:pPr>
      <w:r>
        <w:rPr>
          <w:noProof/>
        </w:rPr>
        <w:sym w:font="Wingdings" w:char="F0A8"/>
      </w:r>
      <w:r>
        <w:rPr>
          <w:noProof/>
        </w:rPr>
        <w:t xml:space="preserve"> Propuesta/iniciativa de </w:t>
      </w:r>
      <w:r>
        <w:rPr>
          <w:b/>
          <w:noProof/>
        </w:rPr>
        <w:t xml:space="preserve">duración limitada </w:t>
      </w:r>
    </w:p>
    <w:p>
      <w:pPr>
        <w:pStyle w:val="ListDash2"/>
        <w:rPr>
          <w:noProof/>
        </w:rPr>
      </w:pPr>
      <w:r>
        <w:rPr>
          <w:noProof/>
        </w:rPr>
        <w:sym w:font="Wingdings" w:char="F0A8"/>
      </w:r>
      <w:r>
        <w:rPr>
          <w:noProof/>
        </w:rPr>
        <w:tab/>
        <w:t xml:space="preserve">Propuesta/iniciativa en vigor desde [el] [DD.MM]AAAA hasta [el] [DD.MM]AAAA </w:t>
      </w:r>
    </w:p>
    <w:p>
      <w:pPr>
        <w:pStyle w:val="ListDash2"/>
        <w:rPr>
          <w:noProof/>
        </w:rPr>
      </w:pPr>
      <w:r>
        <w:rPr>
          <w:noProof/>
        </w:rPr>
        <w:sym w:font="Wingdings" w:char="F0A8"/>
      </w:r>
      <w:r>
        <w:rPr>
          <w:noProof/>
        </w:rPr>
        <w:tab/>
        <w:t>Incidencia financiera desde AAAA hasta AAAA</w:t>
      </w:r>
    </w:p>
    <w:p>
      <w:pPr>
        <w:pStyle w:val="Text1"/>
        <w:rPr>
          <w:noProof/>
        </w:rPr>
      </w:pPr>
      <w:r>
        <w:rPr>
          <w:b/>
          <w:noProof/>
        </w:rPr>
        <w:t>X Duración ilimitada</w:t>
      </w:r>
    </w:p>
    <w:p>
      <w:pPr>
        <w:pStyle w:val="ListDash1"/>
        <w:rPr>
          <w:noProof/>
        </w:rPr>
      </w:pPr>
      <w:r>
        <w:rPr>
          <w:noProof/>
        </w:rPr>
        <w:t>Ejecución: fase de puesta en marcha desde AAAA hasta AAAA,</w:t>
      </w:r>
    </w:p>
    <w:p>
      <w:pPr>
        <w:pStyle w:val="ListDash1"/>
        <w:rPr>
          <w:noProof/>
        </w:rPr>
      </w:pPr>
      <w:r>
        <w:rPr>
          <w:noProof/>
        </w:rPr>
        <w:t>y pleno funcionamiento a partir de la última fecha.</w:t>
      </w:r>
    </w:p>
    <w:p>
      <w:pPr>
        <w:pStyle w:val="ManualHeading2"/>
        <w:rPr>
          <w:bCs/>
          <w:noProof/>
          <w:szCs w:val="24"/>
        </w:rPr>
      </w:pPr>
      <w:bookmarkStart w:id="33" w:name="_Toc514938675"/>
      <w:bookmarkStart w:id="34" w:name="_Toc524270798"/>
      <w:r>
        <w:t>1.7.</w:t>
      </w:r>
      <w:r>
        <w:tab/>
      </w:r>
      <w:r>
        <w:rPr>
          <w:noProof/>
        </w:rPr>
        <w:t>Modo(s) de gestión previsto(s)</w:t>
      </w:r>
      <w:r>
        <w:rPr>
          <w:rStyle w:val="FootnoteReference"/>
          <w:noProof/>
        </w:rPr>
        <w:footnoteReference w:id="20"/>
      </w:r>
      <w:bookmarkEnd w:id="33"/>
      <w:bookmarkEnd w:id="34"/>
      <w:r>
        <w:rPr>
          <w:rStyle w:val="FootnoteReference"/>
          <w:noProof/>
        </w:rPr>
        <w:t xml:space="preserve"> </w:t>
      </w:r>
    </w:p>
    <w:p>
      <w:pPr>
        <w:pStyle w:val="Text1"/>
        <w:rPr>
          <w:noProof/>
        </w:rPr>
      </w:pPr>
      <w:r>
        <w:rPr>
          <w:b/>
          <w:noProof/>
        </w:rPr>
        <w:t xml:space="preserve">X Gestión directa </w:t>
      </w:r>
      <w:r>
        <w:rPr>
          <w:noProof/>
        </w:rPr>
        <w:t>por el Parlamento Europeo a través de la Autoridad</w:t>
      </w:r>
    </w:p>
    <w:p>
      <w:pPr>
        <w:pStyle w:val="ListDash2"/>
        <w:rPr>
          <w:noProof/>
        </w:rPr>
      </w:pPr>
      <w:r>
        <w:rPr>
          <w:noProof/>
        </w:rPr>
        <w:sym w:font="Wingdings" w:char="F0A8"/>
      </w:r>
      <w:r>
        <w:rPr>
          <w:noProof/>
        </w:rPr>
        <w:tab/>
        <w:t xml:space="preserve">por las agencias ejecutivas </w:t>
      </w:r>
    </w:p>
    <w:p>
      <w:pPr>
        <w:pStyle w:val="Text1"/>
        <w:rPr>
          <w:noProof/>
        </w:rPr>
      </w:pPr>
      <w:r>
        <w:rPr>
          <w:noProof/>
        </w:rPr>
        <w:sym w:font="Wingdings" w:char="F0A8"/>
      </w:r>
      <w:r>
        <w:rPr>
          <w:b/>
          <w:i/>
          <w:noProof/>
        </w:rPr>
        <w:t xml:space="preserve"> </w:t>
      </w:r>
      <w:r>
        <w:rPr>
          <w:b/>
          <w:noProof/>
        </w:rPr>
        <w:t>Gestión compartida</w:t>
      </w:r>
      <w:r>
        <w:rPr>
          <w:noProof/>
        </w:rPr>
        <w:t xml:space="preserve"> con los Estados miembros </w:t>
      </w:r>
    </w:p>
    <w:p>
      <w:pPr>
        <w:pStyle w:val="Text1"/>
        <w:rPr>
          <w:noProof/>
        </w:rPr>
      </w:pPr>
      <w:r>
        <w:rPr>
          <w:noProof/>
        </w:rPr>
        <w:sym w:font="Wingdings" w:char="F0A8"/>
      </w:r>
      <w:r>
        <w:rPr>
          <w:i/>
          <w:noProof/>
        </w:rPr>
        <w:t xml:space="preserve"> </w:t>
      </w:r>
      <w:r>
        <w:rPr>
          <w:b/>
          <w:noProof/>
        </w:rPr>
        <w:t>Gestión indirecta</w:t>
      </w:r>
      <w:r>
        <w:rPr>
          <w:noProof/>
        </w:rPr>
        <w:t xml:space="preserve"> mediante delegación de tareas de ejecución presupuestaria en:</w:t>
      </w:r>
    </w:p>
    <w:p>
      <w:pPr>
        <w:pStyle w:val="Text1"/>
        <w:rPr>
          <w:noProof/>
        </w:rPr>
      </w:pPr>
      <w:r>
        <w:rPr>
          <w:noProof/>
        </w:rPr>
        <w:sym w:font="Wingdings" w:char="F0A8"/>
      </w:r>
      <w:r>
        <w:rPr>
          <w:noProof/>
        </w:rPr>
        <w:t xml:space="preserve"> organizaciones internacionales y sus agencias (especifíquense);</w:t>
      </w:r>
    </w:p>
    <w:p>
      <w:pPr>
        <w:pStyle w:val="Text1"/>
        <w:rPr>
          <w:noProof/>
        </w:rPr>
      </w:pPr>
      <w:r>
        <w:rPr>
          <w:noProof/>
        </w:rPr>
        <w:sym w:font="Wingdings" w:char="F0A8"/>
      </w:r>
      <w:r>
        <w:rPr>
          <w:noProof/>
        </w:rPr>
        <w:t xml:space="preserve"> el BEI y el Fondo Europeo de Inversiones;</w:t>
      </w:r>
    </w:p>
    <w:p>
      <w:pPr>
        <w:pStyle w:val="Text1"/>
        <w:rPr>
          <w:noProof/>
        </w:rPr>
      </w:pPr>
      <w:r>
        <w:rPr>
          <w:noProof/>
        </w:rPr>
        <w:sym w:font="Wingdings" w:char="F0A8"/>
      </w:r>
      <w:r>
        <w:rPr>
          <w:noProof/>
        </w:rPr>
        <w:t xml:space="preserve"> los organismos contemplados en los artículos 70 y 71;</w:t>
      </w:r>
    </w:p>
    <w:p>
      <w:pPr>
        <w:pStyle w:val="Text1"/>
        <w:rPr>
          <w:noProof/>
        </w:rPr>
      </w:pPr>
      <w:r>
        <w:rPr>
          <w:noProof/>
        </w:rPr>
        <w:sym w:font="Wingdings" w:char="F0A8"/>
      </w:r>
      <w:r>
        <w:rPr>
          <w:noProof/>
        </w:rPr>
        <w:t xml:space="preserve"> organismos de Derecho público;</w:t>
      </w:r>
    </w:p>
    <w:p>
      <w:pPr>
        <w:pStyle w:val="Text1"/>
        <w:rPr>
          <w:noProof/>
        </w:rPr>
      </w:pPr>
      <w:r>
        <w:rPr>
          <w:noProof/>
        </w:rPr>
        <w:sym w:font="Wingdings" w:char="F0A8"/>
      </w:r>
      <w:r>
        <w:rPr>
          <w:noProof/>
        </w:rPr>
        <w:t xml:space="preserve"> organismos de Derecho privado investidos de una misión de servicio público, en la medida en que presenten garantías financieras suficientes;</w:t>
      </w:r>
    </w:p>
    <w:p>
      <w:pPr>
        <w:pStyle w:val="Text1"/>
        <w:rPr>
          <w:noProof/>
        </w:rPr>
      </w:pPr>
      <w:r>
        <w:rPr>
          <w:noProof/>
        </w:rPr>
        <w:sym w:font="Wingdings" w:char="F0A8"/>
      </w:r>
      <w:r>
        <w:rPr>
          <w:noProof/>
        </w:rPr>
        <w:t xml:space="preserve"> los organismos de Derecho privado de un Estado miembro a los que se haya encomendado la ejecución de una colaboración público-privada y que presenten garantías financieras suficientes;</w:t>
      </w:r>
    </w:p>
    <w:p>
      <w:pPr>
        <w:pStyle w:val="Text1"/>
        <w:rPr>
          <w:noProof/>
        </w:rPr>
      </w:pPr>
      <w:r>
        <w:rPr>
          <w:noProof/>
        </w:rPr>
        <w:sym w:font="Wingdings" w:char="F0A8"/>
      </w:r>
      <w:r>
        <w:rPr>
          <w:noProof/>
        </w:rPr>
        <w:t xml:space="preserve"> personas a quienes se haya encomendado la ejecución de acciones específicas en el marco de la PESC, de conformidad con el título V del Tratado de la Unión Europea, y que estén identificadas en el acto de base correspondiente.</w:t>
      </w:r>
    </w:p>
    <w:p>
      <w:pPr>
        <w:rPr>
          <w:noProof/>
        </w:rPr>
      </w:pPr>
      <w:r>
        <w:rPr>
          <w:noProof/>
        </w:rPr>
        <w:t>Observaciones</w:t>
      </w:r>
    </w:p>
    <w:p>
      <w:pPr>
        <w:pBdr>
          <w:top w:val="single" w:sz="4" w:space="1" w:color="auto"/>
          <w:left w:val="single" w:sz="4" w:space="4" w:color="auto"/>
          <w:bottom w:val="single" w:sz="4" w:space="1" w:color="auto"/>
          <w:right w:val="single" w:sz="4" w:space="4" w:color="auto"/>
        </w:pBdr>
        <w:rPr>
          <w:noProof/>
        </w:rPr>
      </w:pPr>
      <w:r>
        <w:rPr>
          <w:noProof/>
        </w:rPr>
        <w:t>La Autoridad se financia con cargo a un título presupuestario específico (título 5) del Parlamento Europeo. El número y la composición del personal se indicarán en los comentarios presupuestarios del título específico. Las funciones del ordenador del Parlamento Europeo se delegan en el director de la Autoridad de conformidad con el artículo 6, punto 7, del Reglamento (UE, Euratom) n.º 1141/2014.</w:t>
      </w:r>
    </w:p>
    <w:p>
      <w:pPr>
        <w:rPr>
          <w:noProof/>
        </w:rPr>
      </w:pPr>
      <w:r>
        <w:rPr>
          <w:noProof/>
        </w:rPr>
        <w:t xml:space="preserve"> </w:t>
      </w:r>
    </w:p>
    <w:p>
      <w:pPr>
        <w:rPr>
          <w:noProof/>
        </w:rPr>
        <w:sectPr>
          <w:pgSz w:w="11907" w:h="16839" w:code="9"/>
          <w:pgMar w:top="794" w:right="907" w:bottom="851" w:left="1361" w:header="510" w:footer="454" w:gutter="0"/>
          <w:cols w:space="720"/>
          <w:docGrid w:linePitch="326"/>
        </w:sectPr>
      </w:pPr>
    </w:p>
    <w:p>
      <w:pPr>
        <w:pStyle w:val="ManualHeading1"/>
        <w:rPr>
          <w:bCs/>
          <w:noProof/>
          <w:szCs w:val="24"/>
        </w:rPr>
      </w:pPr>
      <w:bookmarkStart w:id="35" w:name="_Toc514938676"/>
      <w:bookmarkStart w:id="36" w:name="_Toc524270799"/>
      <w:r>
        <w:t>2.</w:t>
      </w:r>
      <w:r>
        <w:tab/>
      </w:r>
      <w:r>
        <w:rPr>
          <w:noProof/>
        </w:rPr>
        <w:t>MEDIDAS DE GESTIÓN</w:t>
      </w:r>
      <w:bookmarkEnd w:id="35"/>
      <w:bookmarkEnd w:id="36"/>
      <w:r>
        <w:rPr>
          <w:noProof/>
        </w:rPr>
        <w:t xml:space="preserve"> </w:t>
      </w:r>
    </w:p>
    <w:p>
      <w:pPr>
        <w:pStyle w:val="ManualHeading2"/>
        <w:rPr>
          <w:bCs/>
          <w:noProof/>
          <w:szCs w:val="24"/>
        </w:rPr>
      </w:pPr>
      <w:bookmarkStart w:id="37" w:name="_Toc514938677"/>
      <w:bookmarkStart w:id="38" w:name="_Toc524270800"/>
      <w:r>
        <w:t>2.1.</w:t>
      </w:r>
      <w:r>
        <w:tab/>
      </w:r>
      <w:r>
        <w:rPr>
          <w:noProof/>
        </w:rPr>
        <w:t>Disposiciones en materia de seguimiento e informes</w:t>
      </w:r>
      <w:bookmarkEnd w:id="37"/>
      <w:bookmarkEnd w:id="38"/>
      <w:r>
        <w:rPr>
          <w:noProof/>
        </w:rPr>
        <w:t xml:space="preserve"> </w:t>
      </w:r>
    </w:p>
    <w:p>
      <w:pPr>
        <w:pStyle w:val="Text1"/>
        <w:rPr>
          <w:i/>
          <w:noProof/>
          <w:sz w:val="20"/>
        </w:rPr>
      </w:pPr>
      <w:r>
        <w:rPr>
          <w:i/>
          <w:noProof/>
          <w:sz w:val="20"/>
        </w:rPr>
        <w:t>Especifíquense la frecuencia y las condiciones de dichas disposiciones.</w:t>
      </w:r>
    </w:p>
    <w:p>
      <w:pPr>
        <w:pStyle w:val="Text1"/>
        <w:pBdr>
          <w:top w:val="single" w:sz="4" w:space="1" w:color="auto"/>
          <w:left w:val="single" w:sz="4" w:space="4" w:color="auto"/>
          <w:bottom w:val="single" w:sz="4" w:space="1" w:color="auto"/>
          <w:right w:val="single" w:sz="4" w:space="4" w:color="auto"/>
        </w:pBdr>
        <w:rPr>
          <w:noProof/>
        </w:rPr>
      </w:pPr>
      <w:r>
        <w:rPr>
          <w:noProof/>
        </w:rPr>
        <w:t>La Autoridad seguirá emitiendo un informe anual de actividad de conformidad con el artículo 10 del Reglamento (UE, Euratom) n.º 1141/2014. El Parlamento Europeo informará sobre las operaciones financieras que tengan lugar en el marco del ciclo contable anual de la Unión.</w:t>
      </w:r>
    </w:p>
    <w:p>
      <w:pPr>
        <w:pStyle w:val="ManualHeading2"/>
        <w:rPr>
          <w:bCs/>
          <w:noProof/>
          <w:szCs w:val="24"/>
        </w:rPr>
      </w:pPr>
      <w:bookmarkStart w:id="39" w:name="_Toc514938678"/>
      <w:bookmarkStart w:id="40" w:name="_Toc524270801"/>
      <w:r>
        <w:t>2.2.</w:t>
      </w:r>
      <w:r>
        <w:tab/>
      </w:r>
      <w:r>
        <w:rPr>
          <w:noProof/>
        </w:rPr>
        <w:t>Sistema(s) de gestión y de control</w:t>
      </w:r>
      <w:bookmarkEnd w:id="39"/>
      <w:bookmarkEnd w:id="40"/>
      <w:r>
        <w:rPr>
          <w:noProof/>
        </w:rPr>
        <w:t xml:space="preserve"> </w:t>
      </w:r>
    </w:p>
    <w:p>
      <w:pPr>
        <w:pStyle w:val="ManualHeading3"/>
        <w:rPr>
          <w:noProof/>
        </w:rPr>
      </w:pPr>
      <w:bookmarkStart w:id="41" w:name="_Toc514938679"/>
      <w:bookmarkStart w:id="42" w:name="_Toc524270802"/>
      <w:r>
        <w:t>2.2.1.</w:t>
      </w:r>
      <w:r>
        <w:tab/>
      </w:r>
      <w:r>
        <w:rPr>
          <w:noProof/>
        </w:rPr>
        <w:t>Justificación del modo o los modos de gestión, el mecanismo o los mecanismos de aplicación de la financiación, las modalidades de pago y la estrategia de control propuestos</w:t>
      </w:r>
      <w:bookmarkEnd w:id="41"/>
      <w:bookmarkEnd w:id="42"/>
    </w:p>
    <w:p>
      <w:pPr>
        <w:pStyle w:val="Text1"/>
        <w:pBdr>
          <w:top w:val="single" w:sz="4" w:space="1" w:color="auto"/>
          <w:left w:val="single" w:sz="4" w:space="4" w:color="auto"/>
          <w:bottom w:val="single" w:sz="4" w:space="1" w:color="auto"/>
          <w:right w:val="single" w:sz="4" w:space="4" w:color="auto"/>
        </w:pBdr>
        <w:rPr>
          <w:noProof/>
        </w:rPr>
      </w:pPr>
      <w:r>
        <w:rPr>
          <w:noProof/>
        </w:rPr>
        <w:t xml:space="preserve">Dada la estructura específica de la Autoridad (organismo independiente, pero cuyo presupuesto forma parte del presupuesto del Parlamento Europeo), las medidas propuestas son las únicas lógicas a la luz de los requisitos expuestos anteriormente. </w:t>
      </w:r>
    </w:p>
    <w:p>
      <w:pPr>
        <w:pStyle w:val="ManualHeading3"/>
        <w:rPr>
          <w:noProof/>
        </w:rPr>
      </w:pPr>
      <w:bookmarkStart w:id="43" w:name="_Toc514938680"/>
      <w:bookmarkStart w:id="44" w:name="_Toc524270803"/>
      <w:r>
        <w:t>2.2.2.</w:t>
      </w:r>
      <w:r>
        <w:tab/>
      </w:r>
      <w:r>
        <w:rPr>
          <w:noProof/>
        </w:rPr>
        <w:t>Información relativa a los riesgos identificados y al sistema o los sistemas de control interno establecidos para mitigarlos</w:t>
      </w:r>
      <w:bookmarkEnd w:id="43"/>
      <w:bookmarkEnd w:id="44"/>
    </w:p>
    <w:p>
      <w:pPr>
        <w:pStyle w:val="Text1"/>
        <w:pBdr>
          <w:top w:val="single" w:sz="4" w:space="1" w:color="auto"/>
          <w:left w:val="single" w:sz="4" w:space="4" w:color="auto"/>
          <w:bottom w:val="single" w:sz="4" w:space="1" w:color="auto"/>
          <w:right w:val="single" w:sz="4" w:space="4" w:color="auto"/>
        </w:pBdr>
        <w:rPr>
          <w:noProof/>
        </w:rPr>
      </w:pPr>
      <w:r>
        <w:rPr>
          <w:noProof/>
        </w:rPr>
        <w:t xml:space="preserve">Los riesgos financieros son los mismos que para cualquier otra parte del gasto administrativo de las instituciones de la Unión y, en este caso, quedarían cubiertos por el actual sistema de control interno del Parlamento Europeo. </w:t>
      </w:r>
    </w:p>
    <w:p>
      <w:pPr>
        <w:pStyle w:val="ManualHeading3"/>
        <w:rPr>
          <w:noProof/>
        </w:rPr>
      </w:pPr>
      <w:bookmarkStart w:id="45" w:name="_Toc514938681"/>
      <w:bookmarkStart w:id="46" w:name="_Toc524270804"/>
      <w:r>
        <w:t>2.2.3.</w:t>
      </w:r>
      <w:r>
        <w:tab/>
      </w:r>
      <w:r>
        <w:rPr>
          <w:noProof/>
        </w:rPr>
        <w:t>Estimación y justificación de la rentabilidad de los controles (ratio «gastos de control ÷ valor de los correspondientes fondos gestionados»), y evaluación del nivel esperado de riesgo de error (al pago y al cierre)</w:t>
      </w:r>
      <w:bookmarkEnd w:id="45"/>
      <w:bookmarkEnd w:id="46"/>
      <w:r>
        <w:rPr>
          <w:noProof/>
        </w:rPr>
        <w:t xml:space="preserve"> </w:t>
      </w:r>
    </w:p>
    <w:p>
      <w:pPr>
        <w:pStyle w:val="Text1"/>
        <w:pBdr>
          <w:top w:val="single" w:sz="4" w:space="1" w:color="auto"/>
          <w:left w:val="single" w:sz="4" w:space="4" w:color="auto"/>
          <w:bottom w:val="single" w:sz="4" w:space="1" w:color="auto"/>
          <w:right w:val="single" w:sz="4" w:space="4" w:color="auto"/>
        </w:pBdr>
        <w:rPr>
          <w:noProof/>
        </w:rPr>
      </w:pPr>
      <w:r>
        <w:rPr>
          <w:noProof/>
        </w:rPr>
        <w:t xml:space="preserve">No se propone ningún nuevo sistema de control interno y la carga adicional de los cambios para el sistema de control interno del Parlamento Europeo no es significativa. </w:t>
      </w:r>
    </w:p>
    <w:p>
      <w:pPr>
        <w:spacing w:before="0" w:after="200" w:line="276" w:lineRule="auto"/>
        <w:jc w:val="left"/>
        <w:rPr>
          <w:rFonts w:eastAsiaTheme="majorEastAsia"/>
          <w:b/>
          <w:bCs/>
          <w:noProof/>
          <w:szCs w:val="26"/>
        </w:rPr>
      </w:pPr>
      <w:bookmarkStart w:id="47" w:name="_Toc514938682"/>
      <w:r>
        <w:rPr>
          <w:noProof/>
        </w:rPr>
        <w:br w:type="page"/>
      </w:r>
    </w:p>
    <w:p>
      <w:pPr>
        <w:pStyle w:val="ManualHeading2"/>
        <w:rPr>
          <w:bCs/>
          <w:noProof/>
          <w:szCs w:val="24"/>
        </w:rPr>
      </w:pPr>
      <w:bookmarkStart w:id="48" w:name="_Toc524270805"/>
      <w:r>
        <w:t>2.3.</w:t>
      </w:r>
      <w:r>
        <w:tab/>
      </w:r>
      <w:r>
        <w:rPr>
          <w:noProof/>
        </w:rPr>
        <w:t>Medidas de prevención del fraude y de las irregularidades</w:t>
      </w:r>
      <w:bookmarkEnd w:id="47"/>
      <w:bookmarkEnd w:id="48"/>
      <w:r>
        <w:rPr>
          <w:noProof/>
        </w:rPr>
        <w:t xml:space="preserve"> </w:t>
      </w:r>
    </w:p>
    <w:p>
      <w:pPr>
        <w:pStyle w:val="Text1"/>
        <w:rPr>
          <w:i/>
          <w:noProof/>
          <w:sz w:val="20"/>
        </w:rPr>
      </w:pPr>
      <w:r>
        <w:rPr>
          <w:i/>
          <w:noProof/>
          <w:sz w:val="20"/>
        </w:rPr>
        <w:t>Especifíquense las medidas de prevención y protección existentes o previstas, por ejemplo en la estrategia de lucha contra el fraude.</w:t>
      </w:r>
    </w:p>
    <w:p>
      <w:pPr>
        <w:pStyle w:val="Text1"/>
        <w:pBdr>
          <w:top w:val="single" w:sz="4" w:space="1" w:color="auto"/>
          <w:left w:val="single" w:sz="4" w:space="4" w:color="auto"/>
          <w:bottom w:val="single" w:sz="4" w:space="1" w:color="auto"/>
          <w:right w:val="single" w:sz="4" w:space="4" w:color="auto"/>
        </w:pBdr>
        <w:rPr>
          <w:noProof/>
        </w:rPr>
      </w:pPr>
      <w:r>
        <w:rPr>
          <w:noProof/>
        </w:rPr>
        <w:t xml:space="preserve">Se aplicarían las disposiciones vigentes del Parlamento Europeo para sus gastos administrativos. </w:t>
      </w:r>
    </w:p>
    <w:p>
      <w:pPr>
        <w:pStyle w:val="ManualHeading1"/>
        <w:rPr>
          <w:bCs/>
          <w:noProof/>
          <w:szCs w:val="24"/>
        </w:rPr>
      </w:pPr>
      <w:bookmarkStart w:id="49" w:name="_Toc514938683"/>
      <w:bookmarkStart w:id="50" w:name="_Toc524270806"/>
      <w:r>
        <w:t>3.</w:t>
      </w:r>
      <w:r>
        <w:tab/>
      </w:r>
      <w:r>
        <w:rPr>
          <w:noProof/>
        </w:rPr>
        <w:t>INCIDENCIA FINANCIERA ESTIMADA DE LA PROPUESTA/INICIATIVA</w:t>
      </w:r>
      <w:bookmarkEnd w:id="49"/>
      <w:bookmarkEnd w:id="50"/>
      <w:r>
        <w:rPr>
          <w:noProof/>
        </w:rPr>
        <w:t xml:space="preserve"> </w:t>
      </w:r>
    </w:p>
    <w:p>
      <w:pPr>
        <w:pStyle w:val="ManualHeading2"/>
        <w:rPr>
          <w:bCs/>
          <w:noProof/>
          <w:szCs w:val="24"/>
        </w:rPr>
      </w:pPr>
      <w:bookmarkStart w:id="51" w:name="_Toc514938684"/>
      <w:bookmarkStart w:id="52" w:name="_Toc524270807"/>
      <w:r>
        <w:t>3.1.</w:t>
      </w:r>
      <w:r>
        <w:tab/>
      </w:r>
      <w:r>
        <w:rPr>
          <w:noProof/>
        </w:rPr>
        <w:t>Rúbrica(s) del marco financiero plurianual y línea(s) presupuestaria(s) de gastos afectada(s)</w:t>
      </w:r>
      <w:bookmarkEnd w:id="51"/>
      <w:bookmarkEnd w:id="52"/>
      <w:r>
        <w:rPr>
          <w:noProof/>
        </w:rPr>
        <w:t xml:space="preserve"> </w:t>
      </w:r>
    </w:p>
    <w:p>
      <w:pPr>
        <w:pStyle w:val="ListBullet1"/>
        <w:rPr>
          <w:noProof/>
        </w:rPr>
      </w:pPr>
      <w:r>
        <w:rPr>
          <w:noProof/>
        </w:rPr>
        <w:t xml:space="preserve">Líneas presupuestarias existentes </w:t>
      </w:r>
    </w:p>
    <w:p>
      <w:pPr>
        <w:pStyle w:val="Text1"/>
        <w:rPr>
          <w:noProof/>
        </w:rPr>
      </w:pPr>
      <w:r>
        <w:rPr>
          <w:noProof/>
          <w:u w:val="single"/>
        </w:rPr>
        <w:t>En el orden</w:t>
      </w:r>
      <w:r>
        <w:rPr>
          <w:noProof/>
        </w:rPr>
        <w:t xml:space="preserve"> de las rúbricas del marco financiero plurianual y las líneas presupuestarias.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564"/>
      </w:tblGrid>
      <w:tr>
        <w:tc>
          <w:tcPr>
            <w:tcW w:w="1080" w:type="dxa"/>
            <w:vMerge w:val="restart"/>
            <w:vAlign w:val="center"/>
          </w:tcPr>
          <w:p>
            <w:pPr>
              <w:spacing w:before="60" w:after="60"/>
              <w:jc w:val="center"/>
              <w:rPr>
                <w:noProof/>
                <w:sz w:val="18"/>
              </w:rPr>
            </w:pPr>
            <w:r>
              <w:rPr>
                <w:noProof/>
                <w:sz w:val="18"/>
              </w:rPr>
              <w:t>Rúbrica del marco financiero plurianual</w:t>
            </w:r>
          </w:p>
        </w:tc>
        <w:tc>
          <w:tcPr>
            <w:tcW w:w="3960" w:type="dxa"/>
            <w:vAlign w:val="center"/>
          </w:tcPr>
          <w:p>
            <w:pPr>
              <w:spacing w:before="60" w:after="60"/>
              <w:jc w:val="center"/>
              <w:rPr>
                <w:noProof/>
              </w:rPr>
            </w:pPr>
            <w:r>
              <w:rPr>
                <w:noProof/>
                <w:sz w:val="20"/>
              </w:rPr>
              <w:t>Línea presupuestaria</w:t>
            </w:r>
          </w:p>
        </w:tc>
        <w:tc>
          <w:tcPr>
            <w:tcW w:w="1080" w:type="dxa"/>
            <w:vAlign w:val="center"/>
          </w:tcPr>
          <w:p>
            <w:pPr>
              <w:spacing w:before="60" w:after="60"/>
              <w:jc w:val="center"/>
              <w:rPr>
                <w:noProof/>
              </w:rPr>
            </w:pPr>
            <w:r>
              <w:rPr>
                <w:noProof/>
                <w:sz w:val="18"/>
              </w:rPr>
              <w:t xml:space="preserve">Tipo de </w:t>
            </w:r>
            <w:r>
              <w:rPr>
                <w:noProof/>
                <w:sz w:val="22"/>
              </w:rPr>
              <w:br/>
            </w:r>
            <w:r>
              <w:rPr>
                <w:noProof/>
                <w:sz w:val="18"/>
              </w:rPr>
              <w:t>gasto</w:t>
            </w:r>
          </w:p>
        </w:tc>
        <w:tc>
          <w:tcPr>
            <w:tcW w:w="4556" w:type="dxa"/>
            <w:gridSpan w:val="4"/>
            <w:vAlign w:val="center"/>
          </w:tcPr>
          <w:p>
            <w:pPr>
              <w:spacing w:before="60" w:after="60"/>
              <w:jc w:val="center"/>
              <w:rPr>
                <w:noProof/>
              </w:rPr>
            </w:pPr>
            <w:r>
              <w:rPr>
                <w:noProof/>
                <w:sz w:val="20"/>
              </w:rPr>
              <w:t xml:space="preserve">Contribución </w:t>
            </w:r>
          </w:p>
        </w:tc>
      </w:tr>
      <w:tr>
        <w:tc>
          <w:tcPr>
            <w:tcW w:w="1080" w:type="dxa"/>
            <w:vMerge/>
            <w:vAlign w:val="center"/>
          </w:tcPr>
          <w:p>
            <w:pPr>
              <w:rPr>
                <w:noProof/>
                <w:sz w:val="18"/>
              </w:rPr>
            </w:pPr>
          </w:p>
        </w:tc>
        <w:tc>
          <w:tcPr>
            <w:tcW w:w="3960" w:type="dxa"/>
            <w:vAlign w:val="center"/>
          </w:tcPr>
          <w:p>
            <w:pPr>
              <w:rPr>
                <w:noProof/>
              </w:rPr>
            </w:pPr>
            <w:r>
              <w:rPr>
                <w:noProof/>
                <w:sz w:val="20"/>
              </w:rPr>
              <w:t xml:space="preserve">Número </w:t>
            </w:r>
            <w:r>
              <w:rPr>
                <w:noProof/>
                <w:sz w:val="22"/>
              </w:rPr>
              <w:br/>
            </w:r>
          </w:p>
        </w:tc>
        <w:tc>
          <w:tcPr>
            <w:tcW w:w="1080" w:type="dxa"/>
            <w:vAlign w:val="center"/>
          </w:tcPr>
          <w:p>
            <w:pPr>
              <w:jc w:val="center"/>
              <w:rPr>
                <w:noProof/>
              </w:rPr>
            </w:pPr>
            <w:r>
              <w:rPr>
                <w:noProof/>
                <w:sz w:val="18"/>
              </w:rPr>
              <w:t>CD/CND</w:t>
            </w:r>
            <w:r>
              <w:rPr>
                <w:rStyle w:val="FootnoteReference"/>
                <w:noProof/>
                <w:sz w:val="18"/>
              </w:rPr>
              <w:footnoteReference w:id="21"/>
            </w:r>
          </w:p>
        </w:tc>
        <w:tc>
          <w:tcPr>
            <w:tcW w:w="956" w:type="dxa"/>
            <w:vAlign w:val="center"/>
          </w:tcPr>
          <w:p>
            <w:pPr>
              <w:jc w:val="center"/>
              <w:rPr>
                <w:noProof/>
              </w:rPr>
            </w:pPr>
            <w:r>
              <w:rPr>
                <w:noProof/>
                <w:sz w:val="18"/>
              </w:rPr>
              <w:t>de países de la AELC</w:t>
            </w:r>
            <w:r>
              <w:rPr>
                <w:rStyle w:val="FootnoteReference"/>
                <w:noProof/>
                <w:sz w:val="18"/>
              </w:rPr>
              <w:footnoteReference w:id="22"/>
            </w:r>
          </w:p>
        </w:tc>
        <w:tc>
          <w:tcPr>
            <w:tcW w:w="1080" w:type="dxa"/>
            <w:vAlign w:val="center"/>
          </w:tcPr>
          <w:p>
            <w:pPr>
              <w:jc w:val="center"/>
              <w:rPr>
                <w:noProof/>
                <w:sz w:val="18"/>
              </w:rPr>
            </w:pPr>
            <w:r>
              <w:rPr>
                <w:noProof/>
                <w:sz w:val="18"/>
              </w:rPr>
              <w:t>de países candidatos</w:t>
            </w:r>
            <w:r>
              <w:rPr>
                <w:rStyle w:val="FootnoteReference"/>
                <w:noProof/>
                <w:sz w:val="18"/>
              </w:rPr>
              <w:footnoteReference w:id="23"/>
            </w:r>
          </w:p>
        </w:tc>
        <w:tc>
          <w:tcPr>
            <w:tcW w:w="956" w:type="dxa"/>
            <w:vAlign w:val="center"/>
          </w:tcPr>
          <w:p>
            <w:pPr>
              <w:jc w:val="center"/>
              <w:rPr>
                <w:noProof/>
                <w:sz w:val="18"/>
              </w:rPr>
            </w:pPr>
            <w:r>
              <w:rPr>
                <w:noProof/>
                <w:sz w:val="18"/>
              </w:rPr>
              <w:t>de terceros países</w:t>
            </w:r>
          </w:p>
        </w:tc>
        <w:tc>
          <w:tcPr>
            <w:tcW w:w="1564" w:type="dxa"/>
            <w:vAlign w:val="center"/>
          </w:tcPr>
          <w:p>
            <w:pPr>
              <w:jc w:val="center"/>
              <w:rPr>
                <w:noProof/>
                <w:sz w:val="16"/>
                <w:szCs w:val="16"/>
              </w:rPr>
            </w:pPr>
            <w:r>
              <w:rPr>
                <w:noProof/>
                <w:sz w:val="16"/>
              </w:rPr>
              <w:t xml:space="preserve">a efectos de lo dispuesto en el artículo 21, apartado 2, letra b), del Reglamento Financiero </w:t>
            </w:r>
          </w:p>
        </w:tc>
      </w:tr>
      <w:tr>
        <w:tc>
          <w:tcPr>
            <w:tcW w:w="1080" w:type="dxa"/>
            <w:vAlign w:val="center"/>
          </w:tcPr>
          <w:p>
            <w:pPr>
              <w:jc w:val="center"/>
              <w:rPr>
                <w:noProof/>
              </w:rPr>
            </w:pPr>
            <w:r>
              <w:rPr>
                <w:noProof/>
              </w:rPr>
              <w:t>5</w:t>
            </w:r>
          </w:p>
        </w:tc>
        <w:tc>
          <w:tcPr>
            <w:tcW w:w="3960" w:type="dxa"/>
            <w:vAlign w:val="center"/>
          </w:tcPr>
          <w:p>
            <w:pPr>
              <w:spacing w:after="60"/>
              <w:rPr>
                <w:noProof/>
              </w:rPr>
            </w:pPr>
            <w:r>
              <w:rPr>
                <w:noProof/>
              </w:rPr>
              <w:t>Sección I – Parlamento Europeo</w:t>
            </w:r>
          </w:p>
        </w:tc>
        <w:tc>
          <w:tcPr>
            <w:tcW w:w="1080" w:type="dxa"/>
            <w:vAlign w:val="center"/>
          </w:tcPr>
          <w:p>
            <w:pPr>
              <w:jc w:val="center"/>
              <w:rPr>
                <w:noProof/>
              </w:rPr>
            </w:pPr>
            <w:r>
              <w:rPr>
                <w:noProof/>
                <w:sz w:val="18"/>
              </w:rPr>
              <w:t>CD/CND</w:t>
            </w:r>
          </w:p>
        </w:tc>
        <w:tc>
          <w:tcPr>
            <w:tcW w:w="956" w:type="dxa"/>
            <w:vAlign w:val="center"/>
          </w:tcPr>
          <w:p>
            <w:pPr>
              <w:jc w:val="center"/>
              <w:rPr>
                <w:noProof/>
                <w:sz w:val="20"/>
              </w:rPr>
            </w:pPr>
            <w:r>
              <w:rPr>
                <w:noProof/>
                <w:sz w:val="20"/>
              </w:rPr>
              <w:t>NO</w:t>
            </w:r>
          </w:p>
        </w:tc>
        <w:tc>
          <w:tcPr>
            <w:tcW w:w="1080" w:type="dxa"/>
            <w:vAlign w:val="center"/>
          </w:tcPr>
          <w:p>
            <w:pPr>
              <w:jc w:val="center"/>
              <w:rPr>
                <w:noProof/>
                <w:sz w:val="20"/>
              </w:rPr>
            </w:pPr>
            <w:r>
              <w:rPr>
                <w:noProof/>
                <w:sz w:val="20"/>
              </w:rPr>
              <w:t>NO</w:t>
            </w:r>
          </w:p>
        </w:tc>
        <w:tc>
          <w:tcPr>
            <w:tcW w:w="956" w:type="dxa"/>
            <w:vAlign w:val="center"/>
          </w:tcPr>
          <w:p>
            <w:pPr>
              <w:jc w:val="center"/>
              <w:rPr>
                <w:noProof/>
                <w:sz w:val="20"/>
              </w:rPr>
            </w:pPr>
            <w:r>
              <w:rPr>
                <w:noProof/>
                <w:sz w:val="20"/>
              </w:rPr>
              <w:t>NO</w:t>
            </w:r>
          </w:p>
        </w:tc>
        <w:tc>
          <w:tcPr>
            <w:tcW w:w="1564" w:type="dxa"/>
            <w:vAlign w:val="center"/>
          </w:tcPr>
          <w:p>
            <w:pPr>
              <w:jc w:val="center"/>
              <w:rPr>
                <w:noProof/>
                <w:sz w:val="20"/>
              </w:rPr>
            </w:pPr>
            <w:r>
              <w:rPr>
                <w:noProof/>
                <w:sz w:val="20"/>
              </w:rPr>
              <w:t>NO</w:t>
            </w:r>
          </w:p>
        </w:tc>
      </w:tr>
    </w:tbl>
    <w:p>
      <w:pPr>
        <w:rPr>
          <w:noProof/>
        </w:rPr>
        <w:sectPr>
          <w:pgSz w:w="11907" w:h="16839" w:code="9"/>
          <w:pgMar w:top="794" w:right="907" w:bottom="851" w:left="1361" w:header="510" w:footer="454" w:gutter="0"/>
          <w:cols w:space="720"/>
          <w:docGrid w:linePitch="326"/>
        </w:sectPr>
      </w:pPr>
    </w:p>
    <w:p>
      <w:pPr>
        <w:pStyle w:val="ManualHeading2"/>
        <w:rPr>
          <w:bCs/>
          <w:noProof/>
          <w:szCs w:val="24"/>
        </w:rPr>
      </w:pPr>
      <w:bookmarkStart w:id="53" w:name="_Toc514938685"/>
      <w:bookmarkStart w:id="54" w:name="_Toc524270808"/>
      <w:r>
        <w:t>3.2.</w:t>
      </w:r>
      <w:r>
        <w:tab/>
      </w:r>
      <w:r>
        <w:rPr>
          <w:noProof/>
        </w:rPr>
        <w:t>Incidencia estimada en los gastos</w:t>
      </w:r>
      <w:bookmarkEnd w:id="53"/>
      <w:bookmarkEnd w:id="54"/>
      <w:r>
        <w:rPr>
          <w:noProof/>
        </w:rPr>
        <w:t xml:space="preserve"> </w:t>
      </w:r>
    </w:p>
    <w:p>
      <w:pPr>
        <w:pStyle w:val="ManualHeading3"/>
        <w:rPr>
          <w:bCs/>
          <w:noProof/>
          <w:szCs w:val="24"/>
        </w:rPr>
      </w:pPr>
      <w:bookmarkStart w:id="55" w:name="_Toc514938686"/>
      <w:bookmarkStart w:id="56" w:name="_Toc524270809"/>
      <w:r>
        <w:t>3.2.1.</w:t>
      </w:r>
      <w:r>
        <w:tab/>
      </w:r>
      <w:r>
        <w:rPr>
          <w:noProof/>
        </w:rPr>
        <w:t>Resumen de la incidencia estimada en los gastos</w:t>
      </w:r>
      <w:bookmarkEnd w:id="55"/>
      <w:bookmarkEnd w:id="56"/>
      <w:r>
        <w:rPr>
          <w:noProof/>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noProof/>
              </w:rPr>
              <w:br w:type="page"/>
            </w:r>
            <w:r>
              <w:rPr>
                <w:b/>
                <w:noProof/>
                <w:sz w:val="22"/>
              </w:rPr>
              <w:t xml:space="preserve">Rúbrica del marco financiero </w:t>
            </w:r>
            <w:r>
              <w:rPr>
                <w:noProof/>
                <w:sz w:val="22"/>
              </w:rPr>
              <w:br/>
            </w:r>
            <w:r>
              <w:rPr>
                <w:b/>
                <w:noProof/>
                <w:sz w:val="22"/>
              </w:rPr>
              <w:t xml:space="preserve">plurianual </w:t>
            </w:r>
          </w:p>
        </w:tc>
        <w:tc>
          <w:tcPr>
            <w:tcW w:w="1080" w:type="dxa"/>
            <w:shd w:val="thinDiagStripe" w:color="C0C0C0" w:fill="auto"/>
            <w:vAlign w:val="center"/>
          </w:tcPr>
          <w:p>
            <w:pPr>
              <w:spacing w:before="60" w:after="60"/>
              <w:jc w:val="center"/>
              <w:rPr>
                <w:noProof/>
              </w:rPr>
            </w:pPr>
            <w:r>
              <w:rPr>
                <w:b/>
                <w:noProof/>
                <w:sz w:val="22"/>
              </w:rPr>
              <w:t>5</w:t>
            </w:r>
          </w:p>
        </w:tc>
        <w:tc>
          <w:tcPr>
            <w:tcW w:w="7817" w:type="dxa"/>
            <w:vAlign w:val="center"/>
          </w:tcPr>
          <w:p>
            <w:pPr>
              <w:spacing w:before="60" w:after="60"/>
              <w:rPr>
                <w:noProof/>
              </w:rPr>
            </w:pPr>
            <w:r>
              <w:rPr>
                <w:noProof/>
                <w:sz w:val="22"/>
              </w:rPr>
              <w:t>«Gastos administrativos»</w:t>
            </w:r>
          </w:p>
        </w:tc>
      </w:tr>
    </w:tbl>
    <w:p>
      <w:pPr>
        <w:jc w:val="right"/>
        <w:rPr>
          <w:noProof/>
          <w:sz w:val="20"/>
        </w:rPr>
      </w:pPr>
      <w:r>
        <w:rPr>
          <w:noProof/>
          <w:sz w:val="20"/>
        </w:rPr>
        <w:t>En millones EUR (al tercer decimal)</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tc>
          <w:tcPr>
            <w:tcW w:w="3960" w:type="dxa"/>
            <w:tcBorders>
              <w:top w:val="nil"/>
              <w:left w:val="nil"/>
              <w:right w:val="nil"/>
            </w:tcBorders>
            <w:vAlign w:val="center"/>
          </w:tcPr>
          <w:p>
            <w:pPr>
              <w:jc w:val="center"/>
              <w:rPr>
                <w:noProof/>
              </w:rPr>
            </w:pPr>
          </w:p>
        </w:tc>
        <w:tc>
          <w:tcPr>
            <w:tcW w:w="1560" w:type="dxa"/>
            <w:tcBorders>
              <w:top w:val="nil"/>
              <w:left w:val="nil"/>
              <w:right w:val="nil"/>
            </w:tcBorders>
          </w:tcPr>
          <w:p>
            <w:pPr>
              <w:rPr>
                <w:noProof/>
                <w:sz w:val="20"/>
              </w:rPr>
            </w:pPr>
          </w:p>
        </w:tc>
        <w:tc>
          <w:tcPr>
            <w:tcW w:w="534" w:type="dxa"/>
            <w:tcBorders>
              <w:top w:val="nil"/>
              <w:left w:val="nil"/>
            </w:tcBorders>
          </w:tcPr>
          <w:p>
            <w:pPr>
              <w:jc w:val="center"/>
              <w:rPr>
                <w:noProof/>
                <w:sz w:val="20"/>
              </w:rPr>
            </w:pPr>
          </w:p>
        </w:tc>
        <w:tc>
          <w:tcPr>
            <w:tcW w:w="868" w:type="dxa"/>
            <w:vAlign w:val="center"/>
          </w:tcPr>
          <w:p>
            <w:pPr>
              <w:jc w:val="center"/>
              <w:rPr>
                <w:noProof/>
                <w:sz w:val="20"/>
              </w:rPr>
            </w:pPr>
            <w:r>
              <w:rPr>
                <w:noProof/>
                <w:sz w:val="20"/>
              </w:rPr>
              <w:t>Año</w:t>
            </w:r>
            <w:r>
              <w:rPr>
                <w:noProof/>
                <w:sz w:val="22"/>
              </w:rPr>
              <w:br/>
            </w:r>
            <w:r>
              <w:rPr>
                <w:b/>
                <w:noProof/>
                <w:sz w:val="20"/>
              </w:rPr>
              <w:t>N</w:t>
            </w:r>
          </w:p>
        </w:tc>
        <w:tc>
          <w:tcPr>
            <w:tcW w:w="868" w:type="dxa"/>
            <w:vAlign w:val="center"/>
          </w:tcPr>
          <w:p>
            <w:pPr>
              <w:jc w:val="center"/>
              <w:rPr>
                <w:noProof/>
                <w:sz w:val="20"/>
              </w:rPr>
            </w:pPr>
            <w:r>
              <w:rPr>
                <w:noProof/>
                <w:sz w:val="20"/>
              </w:rPr>
              <w:t>Año</w:t>
            </w:r>
            <w:r>
              <w:rPr>
                <w:noProof/>
                <w:sz w:val="22"/>
              </w:rPr>
              <w:br/>
            </w:r>
            <w:r>
              <w:rPr>
                <w:b/>
                <w:noProof/>
                <w:sz w:val="20"/>
              </w:rPr>
              <w:t>N+1</w:t>
            </w:r>
          </w:p>
        </w:tc>
        <w:tc>
          <w:tcPr>
            <w:tcW w:w="868" w:type="dxa"/>
            <w:vAlign w:val="center"/>
          </w:tcPr>
          <w:p>
            <w:pPr>
              <w:jc w:val="center"/>
              <w:rPr>
                <w:noProof/>
                <w:sz w:val="20"/>
              </w:rPr>
            </w:pPr>
            <w:r>
              <w:rPr>
                <w:noProof/>
                <w:sz w:val="20"/>
              </w:rPr>
              <w:t>Año</w:t>
            </w:r>
            <w:r>
              <w:rPr>
                <w:noProof/>
                <w:sz w:val="22"/>
              </w:rPr>
              <w:br/>
            </w:r>
            <w:r>
              <w:rPr>
                <w:b/>
                <w:noProof/>
                <w:sz w:val="20"/>
              </w:rPr>
              <w:t>N+2</w:t>
            </w:r>
          </w:p>
        </w:tc>
        <w:tc>
          <w:tcPr>
            <w:tcW w:w="868" w:type="dxa"/>
            <w:vAlign w:val="center"/>
          </w:tcPr>
          <w:p>
            <w:pPr>
              <w:jc w:val="center"/>
              <w:rPr>
                <w:noProof/>
                <w:sz w:val="20"/>
              </w:rPr>
            </w:pPr>
            <w:r>
              <w:rPr>
                <w:noProof/>
                <w:sz w:val="20"/>
              </w:rPr>
              <w:t>Año</w:t>
            </w:r>
            <w:r>
              <w:rPr>
                <w:noProof/>
                <w:sz w:val="22"/>
              </w:rPr>
              <w:br/>
            </w:r>
            <w:r>
              <w:rPr>
                <w:b/>
                <w:noProof/>
                <w:sz w:val="20"/>
              </w:rPr>
              <w:t>N+3</w:t>
            </w:r>
          </w:p>
        </w:tc>
        <w:tc>
          <w:tcPr>
            <w:tcW w:w="2604" w:type="dxa"/>
            <w:gridSpan w:val="3"/>
            <w:vAlign w:val="center"/>
          </w:tcPr>
          <w:p>
            <w:pPr>
              <w:jc w:val="center"/>
              <w:rPr>
                <w:b/>
                <w:noProof/>
                <w:sz w:val="18"/>
              </w:rPr>
            </w:pPr>
            <w:r>
              <w:rPr>
                <w:noProof/>
                <w:sz w:val="18"/>
              </w:rPr>
              <w:t xml:space="preserve">Insértense tantos años como sea necesario para reflejar la duración de la incidencia (véase el punto 1.6) </w:t>
            </w:r>
          </w:p>
        </w:tc>
        <w:tc>
          <w:tcPr>
            <w:tcW w:w="1777" w:type="dxa"/>
            <w:vAlign w:val="center"/>
          </w:tcPr>
          <w:p>
            <w:pPr>
              <w:jc w:val="center"/>
              <w:rPr>
                <w:b/>
                <w:noProof/>
                <w:sz w:val="20"/>
              </w:rPr>
            </w:pPr>
            <w:r>
              <w:rPr>
                <w:b/>
                <w:noProof/>
                <w:sz w:val="20"/>
              </w:rPr>
              <w:t>TOTAL</w:t>
            </w:r>
          </w:p>
        </w:tc>
      </w:tr>
      <w:tr>
        <w:trPr>
          <w:gridAfter w:val="10"/>
          <w:wAfter w:w="9947" w:type="dxa"/>
        </w:trPr>
        <w:tc>
          <w:tcPr>
            <w:tcW w:w="3960" w:type="dxa"/>
            <w:vAlign w:val="center"/>
          </w:tcPr>
          <w:p>
            <w:pPr>
              <w:spacing w:before="60" w:after="60"/>
              <w:jc w:val="center"/>
              <w:rPr>
                <w:noProof/>
              </w:rPr>
            </w:pPr>
            <w:r>
              <w:rPr>
                <w:noProof/>
                <w:sz w:val="22"/>
              </w:rPr>
              <w:t xml:space="preserve">Parlamento Europeo </w:t>
            </w:r>
          </w:p>
        </w:tc>
      </w:tr>
      <w:tr>
        <w:trPr>
          <w:trHeight w:val="313"/>
        </w:trPr>
        <w:tc>
          <w:tcPr>
            <w:tcW w:w="6054" w:type="dxa"/>
            <w:gridSpan w:val="3"/>
            <w:vAlign w:val="center"/>
          </w:tcPr>
          <w:p>
            <w:pPr>
              <w:spacing w:before="20" w:after="20"/>
              <w:rPr>
                <w:noProof/>
              </w:rPr>
            </w:pPr>
            <w:r>
              <w:rPr>
                <w:noProof/>
                <w:sz w:val="22"/>
              </w:rPr>
              <w:sym w:font="Wingdings" w:char="F09F"/>
            </w:r>
            <w:r>
              <w:rPr>
                <w:noProof/>
                <w:sz w:val="22"/>
              </w:rPr>
              <w:t xml:space="preserve"> Recursos humanos </w:t>
            </w:r>
          </w:p>
        </w:tc>
        <w:tc>
          <w:tcPr>
            <w:tcW w:w="868" w:type="dxa"/>
            <w:vAlign w:val="center"/>
          </w:tcPr>
          <w:p>
            <w:pPr>
              <w:spacing w:before="20" w:after="20"/>
              <w:jc w:val="right"/>
              <w:rPr>
                <w:noProof/>
                <w:sz w:val="20"/>
              </w:rPr>
            </w:pPr>
            <w:r>
              <w:rPr>
                <w:noProof/>
                <w:sz w:val="20"/>
              </w:rPr>
              <w:t>1,43</w:t>
            </w:r>
          </w:p>
        </w:tc>
        <w:tc>
          <w:tcPr>
            <w:tcW w:w="868" w:type="dxa"/>
            <w:vAlign w:val="center"/>
          </w:tcPr>
          <w:p>
            <w:pPr>
              <w:spacing w:before="20" w:after="20"/>
              <w:jc w:val="right"/>
              <w:rPr>
                <w:noProof/>
                <w:sz w:val="20"/>
              </w:rPr>
            </w:pPr>
            <w:r>
              <w:rPr>
                <w:b/>
                <w:noProof/>
                <w:sz w:val="20"/>
              </w:rPr>
              <w:t>1,43</w:t>
            </w:r>
          </w:p>
        </w:tc>
        <w:tc>
          <w:tcPr>
            <w:tcW w:w="868" w:type="dxa"/>
            <w:vAlign w:val="center"/>
          </w:tcPr>
          <w:p>
            <w:pPr>
              <w:spacing w:before="20" w:after="20"/>
              <w:jc w:val="right"/>
              <w:rPr>
                <w:noProof/>
                <w:sz w:val="20"/>
              </w:rPr>
            </w:pPr>
            <w:r>
              <w:rPr>
                <w:b/>
                <w:noProof/>
                <w:sz w:val="20"/>
              </w:rPr>
              <w:t>1,43</w:t>
            </w:r>
          </w:p>
        </w:tc>
        <w:tc>
          <w:tcPr>
            <w:tcW w:w="868" w:type="dxa"/>
            <w:vAlign w:val="center"/>
          </w:tcPr>
          <w:p>
            <w:pPr>
              <w:spacing w:before="20" w:after="20"/>
              <w:jc w:val="right"/>
              <w:rPr>
                <w:noProof/>
                <w:sz w:val="20"/>
              </w:rPr>
            </w:pPr>
            <w:r>
              <w:rPr>
                <w:b/>
                <w:noProof/>
                <w:sz w:val="20"/>
              </w:rPr>
              <w:t>1,43</w:t>
            </w:r>
          </w:p>
        </w:tc>
        <w:tc>
          <w:tcPr>
            <w:tcW w:w="868" w:type="dxa"/>
            <w:vAlign w:val="center"/>
          </w:tcPr>
          <w:p>
            <w:pPr>
              <w:spacing w:before="20" w:after="20"/>
              <w:jc w:val="right"/>
              <w:rPr>
                <w:noProof/>
                <w:sz w:val="20"/>
              </w:rPr>
            </w:pPr>
            <w:r>
              <w:rPr>
                <w:b/>
                <w:noProof/>
                <w:sz w:val="20"/>
              </w:rPr>
              <w:t>1,43</w:t>
            </w:r>
          </w:p>
        </w:tc>
        <w:tc>
          <w:tcPr>
            <w:tcW w:w="868" w:type="dxa"/>
            <w:vAlign w:val="center"/>
          </w:tcPr>
          <w:p>
            <w:pPr>
              <w:spacing w:before="20" w:after="20"/>
              <w:jc w:val="right"/>
              <w:rPr>
                <w:noProof/>
                <w:sz w:val="20"/>
              </w:rPr>
            </w:pPr>
            <w:r>
              <w:rPr>
                <w:b/>
                <w:noProof/>
                <w:sz w:val="20"/>
              </w:rPr>
              <w:t>1,43</w:t>
            </w:r>
          </w:p>
        </w:tc>
        <w:tc>
          <w:tcPr>
            <w:tcW w:w="868" w:type="dxa"/>
            <w:vAlign w:val="center"/>
          </w:tcPr>
          <w:p>
            <w:pPr>
              <w:spacing w:before="20" w:after="20"/>
              <w:jc w:val="right"/>
              <w:rPr>
                <w:b/>
                <w:noProof/>
                <w:sz w:val="20"/>
              </w:rPr>
            </w:pPr>
            <w:r>
              <w:rPr>
                <w:b/>
                <w:noProof/>
                <w:sz w:val="20"/>
              </w:rPr>
              <w:t>1,43</w:t>
            </w:r>
          </w:p>
        </w:tc>
        <w:tc>
          <w:tcPr>
            <w:tcW w:w="1777" w:type="dxa"/>
            <w:vAlign w:val="center"/>
          </w:tcPr>
          <w:p>
            <w:pPr>
              <w:spacing w:before="20" w:after="20"/>
              <w:jc w:val="right"/>
              <w:rPr>
                <w:b/>
                <w:noProof/>
                <w:sz w:val="20"/>
              </w:rPr>
            </w:pPr>
            <w:r>
              <w:rPr>
                <w:b/>
                <w:noProof/>
                <w:sz w:val="20"/>
              </w:rPr>
              <w:t>10,01</w:t>
            </w:r>
          </w:p>
        </w:tc>
      </w:tr>
      <w:tr>
        <w:trPr>
          <w:trHeight w:val="351"/>
        </w:trPr>
        <w:tc>
          <w:tcPr>
            <w:tcW w:w="6054" w:type="dxa"/>
            <w:gridSpan w:val="3"/>
            <w:vAlign w:val="center"/>
          </w:tcPr>
          <w:p>
            <w:pPr>
              <w:spacing w:before="20" w:after="20"/>
              <w:rPr>
                <w:noProof/>
              </w:rPr>
            </w:pPr>
            <w:r>
              <w:rPr>
                <w:noProof/>
                <w:sz w:val="22"/>
              </w:rPr>
              <w:sym w:font="Wingdings" w:char="F09F"/>
            </w:r>
            <w:r>
              <w:rPr>
                <w:noProof/>
                <w:sz w:val="22"/>
              </w:rPr>
              <w:t xml:space="preserve"> Otros gastos administrativos</w:t>
            </w: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r>
        <w:tc>
          <w:tcPr>
            <w:tcW w:w="3960" w:type="dxa"/>
            <w:vAlign w:val="center"/>
          </w:tcPr>
          <w:p>
            <w:pPr>
              <w:jc w:val="center"/>
              <w:rPr>
                <w:b/>
                <w:noProof/>
              </w:rPr>
            </w:pPr>
            <w:r>
              <w:rPr>
                <w:b/>
                <w:noProof/>
                <w:sz w:val="22"/>
              </w:rPr>
              <w:t>TOTAL Parlamento Europeo</w:t>
            </w:r>
          </w:p>
        </w:tc>
        <w:tc>
          <w:tcPr>
            <w:tcW w:w="2094" w:type="dxa"/>
            <w:gridSpan w:val="2"/>
            <w:vAlign w:val="center"/>
          </w:tcPr>
          <w:p>
            <w:pPr>
              <w:rPr>
                <w:noProof/>
                <w:sz w:val="14"/>
              </w:rPr>
            </w:pPr>
            <w:r>
              <w:rPr>
                <w:noProof/>
                <w:sz w:val="18"/>
              </w:rPr>
              <w:t xml:space="preserve">Créditos </w:t>
            </w:r>
          </w:p>
        </w:tc>
        <w:tc>
          <w:tcPr>
            <w:tcW w:w="868" w:type="dxa"/>
            <w:vAlign w:val="center"/>
          </w:tcPr>
          <w:p>
            <w:pPr>
              <w:spacing w:before="60" w:after="60"/>
              <w:jc w:val="right"/>
              <w:rPr>
                <w:noProof/>
                <w:sz w:val="20"/>
              </w:rPr>
            </w:pPr>
            <w:r>
              <w:rPr>
                <w:noProof/>
                <w:sz w:val="20"/>
              </w:rPr>
              <w:t>1,43</w:t>
            </w:r>
          </w:p>
        </w:tc>
        <w:tc>
          <w:tcPr>
            <w:tcW w:w="868" w:type="dxa"/>
            <w:vAlign w:val="center"/>
          </w:tcPr>
          <w:p>
            <w:pPr>
              <w:spacing w:before="20" w:after="20"/>
              <w:jc w:val="right"/>
              <w:rPr>
                <w:noProof/>
                <w:sz w:val="20"/>
              </w:rPr>
            </w:pPr>
            <w:r>
              <w:rPr>
                <w:b/>
                <w:noProof/>
                <w:sz w:val="20"/>
              </w:rPr>
              <w:t>1,43</w:t>
            </w:r>
          </w:p>
        </w:tc>
        <w:tc>
          <w:tcPr>
            <w:tcW w:w="868" w:type="dxa"/>
            <w:vAlign w:val="center"/>
          </w:tcPr>
          <w:p>
            <w:pPr>
              <w:spacing w:before="20" w:after="20"/>
              <w:jc w:val="right"/>
              <w:rPr>
                <w:noProof/>
                <w:sz w:val="20"/>
              </w:rPr>
            </w:pPr>
            <w:r>
              <w:rPr>
                <w:b/>
                <w:noProof/>
                <w:sz w:val="20"/>
              </w:rPr>
              <w:t>1,43</w:t>
            </w:r>
          </w:p>
        </w:tc>
        <w:tc>
          <w:tcPr>
            <w:tcW w:w="868" w:type="dxa"/>
            <w:vAlign w:val="center"/>
          </w:tcPr>
          <w:p>
            <w:pPr>
              <w:spacing w:before="20" w:after="20"/>
              <w:jc w:val="right"/>
              <w:rPr>
                <w:noProof/>
                <w:sz w:val="20"/>
              </w:rPr>
            </w:pPr>
            <w:r>
              <w:rPr>
                <w:b/>
                <w:noProof/>
                <w:sz w:val="20"/>
              </w:rPr>
              <w:t>1,43</w:t>
            </w:r>
          </w:p>
        </w:tc>
        <w:tc>
          <w:tcPr>
            <w:tcW w:w="868" w:type="dxa"/>
            <w:vAlign w:val="center"/>
          </w:tcPr>
          <w:p>
            <w:pPr>
              <w:spacing w:before="20" w:after="20"/>
              <w:jc w:val="right"/>
              <w:rPr>
                <w:noProof/>
                <w:sz w:val="20"/>
              </w:rPr>
            </w:pPr>
            <w:r>
              <w:rPr>
                <w:b/>
                <w:noProof/>
                <w:sz w:val="20"/>
              </w:rPr>
              <w:t>1,43</w:t>
            </w:r>
          </w:p>
        </w:tc>
        <w:tc>
          <w:tcPr>
            <w:tcW w:w="868" w:type="dxa"/>
            <w:vAlign w:val="center"/>
          </w:tcPr>
          <w:p>
            <w:pPr>
              <w:spacing w:before="20" w:after="20"/>
              <w:jc w:val="right"/>
              <w:rPr>
                <w:noProof/>
                <w:sz w:val="20"/>
              </w:rPr>
            </w:pPr>
            <w:r>
              <w:rPr>
                <w:b/>
                <w:noProof/>
                <w:sz w:val="20"/>
              </w:rPr>
              <w:t>1,43</w:t>
            </w:r>
          </w:p>
        </w:tc>
        <w:tc>
          <w:tcPr>
            <w:tcW w:w="868" w:type="dxa"/>
            <w:vAlign w:val="center"/>
          </w:tcPr>
          <w:p>
            <w:pPr>
              <w:spacing w:before="20" w:after="20"/>
              <w:jc w:val="right"/>
              <w:rPr>
                <w:b/>
                <w:noProof/>
                <w:sz w:val="20"/>
              </w:rPr>
            </w:pPr>
            <w:r>
              <w:rPr>
                <w:b/>
                <w:noProof/>
                <w:sz w:val="20"/>
              </w:rPr>
              <w:t>1,43</w:t>
            </w:r>
          </w:p>
        </w:tc>
        <w:tc>
          <w:tcPr>
            <w:tcW w:w="1777" w:type="dxa"/>
            <w:vAlign w:val="center"/>
          </w:tcPr>
          <w:p>
            <w:pPr>
              <w:spacing w:before="20" w:after="20"/>
              <w:jc w:val="right"/>
              <w:rPr>
                <w:b/>
                <w:noProof/>
                <w:sz w:val="20"/>
              </w:rPr>
            </w:pPr>
            <w:r>
              <w:rPr>
                <w:b/>
                <w:noProof/>
                <w:sz w:val="20"/>
              </w:rPr>
              <w:t>10,01</w:t>
            </w:r>
          </w:p>
        </w:tc>
      </w:tr>
    </w:tbl>
    <w:p>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tc>
          <w:tcPr>
            <w:tcW w:w="3960" w:type="dxa"/>
            <w:shd w:val="thinDiagStripe" w:color="C0C0C0" w:fill="auto"/>
            <w:vAlign w:val="center"/>
          </w:tcPr>
          <w:p>
            <w:pPr>
              <w:jc w:val="center"/>
              <w:rPr>
                <w:b/>
                <w:noProof/>
              </w:rPr>
            </w:pPr>
            <w:r>
              <w:rPr>
                <w:b/>
                <w:noProof/>
                <w:sz w:val="22"/>
              </w:rPr>
              <w:t>TOTAL de los créditos</w:t>
            </w:r>
            <w:r>
              <w:rPr>
                <w:noProof/>
                <w:sz w:val="22"/>
              </w:rPr>
              <w:br/>
            </w:r>
            <w:r>
              <w:rPr>
                <w:b/>
                <w:noProof/>
                <w:sz w:val="22"/>
              </w:rPr>
              <w:t>Al margen de la RÚBRICA 5</w:t>
            </w:r>
            <w:r>
              <w:rPr>
                <w:noProof/>
                <w:sz w:val="22"/>
              </w:rPr>
              <w:br/>
              <w:t>del marco financiero plurianual</w:t>
            </w:r>
            <w:r>
              <w:rPr>
                <w:b/>
                <w:noProof/>
                <w:sz w:val="22"/>
              </w:rPr>
              <w:t xml:space="preserve"> </w:t>
            </w:r>
          </w:p>
        </w:tc>
        <w:tc>
          <w:tcPr>
            <w:tcW w:w="2094" w:type="dxa"/>
            <w:vAlign w:val="center"/>
          </w:tcPr>
          <w:p>
            <w:pPr>
              <w:spacing w:before="40" w:after="40"/>
              <w:rPr>
                <w:noProof/>
              </w:rPr>
            </w:pPr>
            <w:r>
              <w:rPr>
                <w:noProof/>
                <w:sz w:val="18"/>
              </w:rPr>
              <w:t>(Total de los compromisos = total de los pagos)</w:t>
            </w:r>
          </w:p>
        </w:tc>
        <w:tc>
          <w:tcPr>
            <w:tcW w:w="868" w:type="dxa"/>
            <w:vAlign w:val="center"/>
          </w:tcPr>
          <w:p>
            <w:pPr>
              <w:spacing w:before="20" w:after="20"/>
              <w:jc w:val="right"/>
              <w:rPr>
                <w:noProof/>
                <w:sz w:val="20"/>
              </w:rPr>
            </w:pPr>
            <w:r>
              <w:rPr>
                <w:noProof/>
                <w:sz w:val="20"/>
              </w:rPr>
              <w:t>1,43</w:t>
            </w:r>
          </w:p>
        </w:tc>
        <w:tc>
          <w:tcPr>
            <w:tcW w:w="868" w:type="dxa"/>
            <w:vAlign w:val="center"/>
          </w:tcPr>
          <w:p>
            <w:pPr>
              <w:spacing w:before="20" w:after="20"/>
              <w:jc w:val="right"/>
              <w:rPr>
                <w:noProof/>
                <w:sz w:val="20"/>
              </w:rPr>
            </w:pPr>
            <w:r>
              <w:rPr>
                <w:b/>
                <w:noProof/>
                <w:sz w:val="20"/>
              </w:rPr>
              <w:t>1,43</w:t>
            </w:r>
          </w:p>
        </w:tc>
        <w:tc>
          <w:tcPr>
            <w:tcW w:w="868" w:type="dxa"/>
            <w:vAlign w:val="center"/>
          </w:tcPr>
          <w:p>
            <w:pPr>
              <w:spacing w:before="20" w:after="20"/>
              <w:jc w:val="right"/>
              <w:rPr>
                <w:noProof/>
                <w:sz w:val="20"/>
              </w:rPr>
            </w:pPr>
            <w:r>
              <w:rPr>
                <w:b/>
                <w:noProof/>
                <w:sz w:val="20"/>
              </w:rPr>
              <w:t>1,43</w:t>
            </w:r>
          </w:p>
        </w:tc>
        <w:tc>
          <w:tcPr>
            <w:tcW w:w="868" w:type="dxa"/>
            <w:vAlign w:val="center"/>
          </w:tcPr>
          <w:p>
            <w:pPr>
              <w:spacing w:before="20" w:after="20"/>
              <w:jc w:val="right"/>
              <w:rPr>
                <w:noProof/>
                <w:sz w:val="20"/>
              </w:rPr>
            </w:pPr>
            <w:r>
              <w:rPr>
                <w:b/>
                <w:noProof/>
                <w:sz w:val="20"/>
              </w:rPr>
              <w:t>1,43</w:t>
            </w:r>
          </w:p>
        </w:tc>
        <w:tc>
          <w:tcPr>
            <w:tcW w:w="868" w:type="dxa"/>
            <w:vAlign w:val="center"/>
          </w:tcPr>
          <w:p>
            <w:pPr>
              <w:spacing w:before="20" w:after="20"/>
              <w:jc w:val="right"/>
              <w:rPr>
                <w:noProof/>
                <w:sz w:val="20"/>
              </w:rPr>
            </w:pPr>
            <w:r>
              <w:rPr>
                <w:b/>
                <w:noProof/>
                <w:sz w:val="20"/>
              </w:rPr>
              <w:t>1,43</w:t>
            </w:r>
          </w:p>
        </w:tc>
        <w:tc>
          <w:tcPr>
            <w:tcW w:w="868" w:type="dxa"/>
            <w:vAlign w:val="center"/>
          </w:tcPr>
          <w:p>
            <w:pPr>
              <w:spacing w:before="20" w:after="20"/>
              <w:jc w:val="right"/>
              <w:rPr>
                <w:noProof/>
                <w:sz w:val="20"/>
              </w:rPr>
            </w:pPr>
            <w:r>
              <w:rPr>
                <w:b/>
                <w:noProof/>
                <w:sz w:val="20"/>
              </w:rPr>
              <w:t>1,43</w:t>
            </w:r>
          </w:p>
        </w:tc>
        <w:tc>
          <w:tcPr>
            <w:tcW w:w="868" w:type="dxa"/>
            <w:vAlign w:val="center"/>
          </w:tcPr>
          <w:p>
            <w:pPr>
              <w:spacing w:before="20" w:after="20"/>
              <w:jc w:val="right"/>
              <w:rPr>
                <w:b/>
                <w:noProof/>
                <w:sz w:val="20"/>
              </w:rPr>
            </w:pPr>
            <w:r>
              <w:rPr>
                <w:b/>
                <w:noProof/>
                <w:sz w:val="20"/>
              </w:rPr>
              <w:t>1,43</w:t>
            </w:r>
          </w:p>
        </w:tc>
        <w:tc>
          <w:tcPr>
            <w:tcW w:w="1777" w:type="dxa"/>
            <w:vAlign w:val="center"/>
          </w:tcPr>
          <w:p>
            <w:pPr>
              <w:spacing w:before="20" w:after="20"/>
              <w:jc w:val="right"/>
              <w:rPr>
                <w:b/>
                <w:noProof/>
                <w:sz w:val="20"/>
              </w:rPr>
            </w:pPr>
            <w:r>
              <w:rPr>
                <w:b/>
                <w:noProof/>
                <w:sz w:val="20"/>
              </w:rPr>
              <w:t>10,01</w:t>
            </w:r>
          </w:p>
        </w:tc>
      </w:tr>
    </w:tbl>
    <w:p>
      <w:pPr>
        <w:jc w:val="right"/>
        <w:rPr>
          <w:noProof/>
          <w:sz w:val="20"/>
        </w:rPr>
      </w:pPr>
      <w:r>
        <w:rPr>
          <w:noProof/>
          <w:sz w:val="20"/>
        </w:rPr>
        <w:t>En millones EUR (al tercer decimal)</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tc>
          <w:tcPr>
            <w:tcW w:w="3960" w:type="dxa"/>
            <w:tcBorders>
              <w:top w:val="nil"/>
              <w:left w:val="nil"/>
              <w:right w:val="nil"/>
            </w:tcBorders>
            <w:vAlign w:val="center"/>
          </w:tcPr>
          <w:p>
            <w:pPr>
              <w:jc w:val="center"/>
              <w:rPr>
                <w:noProof/>
              </w:rPr>
            </w:pPr>
          </w:p>
        </w:tc>
        <w:tc>
          <w:tcPr>
            <w:tcW w:w="1560" w:type="dxa"/>
            <w:tcBorders>
              <w:top w:val="nil"/>
              <w:left w:val="nil"/>
              <w:right w:val="nil"/>
            </w:tcBorders>
          </w:tcPr>
          <w:p>
            <w:pPr>
              <w:rPr>
                <w:noProof/>
                <w:sz w:val="20"/>
              </w:rPr>
            </w:pPr>
          </w:p>
        </w:tc>
        <w:tc>
          <w:tcPr>
            <w:tcW w:w="534" w:type="dxa"/>
            <w:tcBorders>
              <w:top w:val="nil"/>
              <w:left w:val="nil"/>
            </w:tcBorders>
          </w:tcPr>
          <w:p>
            <w:pPr>
              <w:jc w:val="center"/>
              <w:rPr>
                <w:noProof/>
                <w:sz w:val="20"/>
              </w:rPr>
            </w:pPr>
          </w:p>
        </w:tc>
        <w:tc>
          <w:tcPr>
            <w:tcW w:w="868" w:type="dxa"/>
            <w:vAlign w:val="center"/>
          </w:tcPr>
          <w:p>
            <w:pPr>
              <w:jc w:val="center"/>
              <w:rPr>
                <w:noProof/>
                <w:sz w:val="20"/>
              </w:rPr>
            </w:pPr>
            <w:r>
              <w:rPr>
                <w:noProof/>
                <w:sz w:val="20"/>
              </w:rPr>
              <w:t>Año</w:t>
            </w:r>
            <w:r>
              <w:rPr>
                <w:noProof/>
                <w:sz w:val="22"/>
              </w:rPr>
              <w:br/>
            </w:r>
            <w:r>
              <w:rPr>
                <w:b/>
                <w:noProof/>
                <w:sz w:val="20"/>
              </w:rPr>
              <w:t>N</w:t>
            </w:r>
            <w:r>
              <w:rPr>
                <w:rStyle w:val="FootnoteReference"/>
                <w:b/>
                <w:noProof/>
                <w:sz w:val="20"/>
              </w:rPr>
              <w:footnoteReference w:id="24"/>
            </w:r>
          </w:p>
        </w:tc>
        <w:tc>
          <w:tcPr>
            <w:tcW w:w="868" w:type="dxa"/>
            <w:vAlign w:val="center"/>
          </w:tcPr>
          <w:p>
            <w:pPr>
              <w:jc w:val="center"/>
              <w:rPr>
                <w:noProof/>
                <w:sz w:val="20"/>
              </w:rPr>
            </w:pPr>
            <w:r>
              <w:rPr>
                <w:noProof/>
                <w:sz w:val="20"/>
              </w:rPr>
              <w:t>Año</w:t>
            </w:r>
            <w:r>
              <w:rPr>
                <w:noProof/>
                <w:sz w:val="22"/>
              </w:rPr>
              <w:br/>
            </w:r>
            <w:r>
              <w:rPr>
                <w:b/>
                <w:noProof/>
                <w:sz w:val="20"/>
              </w:rPr>
              <w:t>N+1</w:t>
            </w:r>
          </w:p>
        </w:tc>
        <w:tc>
          <w:tcPr>
            <w:tcW w:w="868" w:type="dxa"/>
            <w:vAlign w:val="center"/>
          </w:tcPr>
          <w:p>
            <w:pPr>
              <w:jc w:val="center"/>
              <w:rPr>
                <w:noProof/>
                <w:sz w:val="20"/>
              </w:rPr>
            </w:pPr>
            <w:r>
              <w:rPr>
                <w:noProof/>
                <w:sz w:val="20"/>
              </w:rPr>
              <w:t>Año</w:t>
            </w:r>
            <w:r>
              <w:rPr>
                <w:noProof/>
                <w:sz w:val="22"/>
              </w:rPr>
              <w:br/>
            </w:r>
            <w:r>
              <w:rPr>
                <w:b/>
                <w:noProof/>
                <w:sz w:val="20"/>
              </w:rPr>
              <w:t>N+2</w:t>
            </w:r>
          </w:p>
        </w:tc>
        <w:tc>
          <w:tcPr>
            <w:tcW w:w="868" w:type="dxa"/>
            <w:vAlign w:val="center"/>
          </w:tcPr>
          <w:p>
            <w:pPr>
              <w:jc w:val="center"/>
              <w:rPr>
                <w:noProof/>
                <w:sz w:val="20"/>
              </w:rPr>
            </w:pPr>
            <w:r>
              <w:rPr>
                <w:noProof/>
                <w:sz w:val="20"/>
              </w:rPr>
              <w:t>Año</w:t>
            </w:r>
            <w:r>
              <w:rPr>
                <w:noProof/>
                <w:sz w:val="22"/>
              </w:rPr>
              <w:br/>
            </w:r>
            <w:r>
              <w:rPr>
                <w:b/>
                <w:noProof/>
                <w:sz w:val="20"/>
              </w:rPr>
              <w:t>N+3</w:t>
            </w:r>
          </w:p>
        </w:tc>
        <w:tc>
          <w:tcPr>
            <w:tcW w:w="2604" w:type="dxa"/>
            <w:gridSpan w:val="3"/>
            <w:vAlign w:val="center"/>
          </w:tcPr>
          <w:p>
            <w:pPr>
              <w:jc w:val="center"/>
              <w:rPr>
                <w:b/>
                <w:noProof/>
                <w:sz w:val="18"/>
              </w:rPr>
            </w:pPr>
            <w:r>
              <w:rPr>
                <w:noProof/>
                <w:sz w:val="18"/>
              </w:rPr>
              <w:t>Insértense tantos años como sea necesario para reflejar la duración de la incidencia (véase el punto 1.6)</w:t>
            </w:r>
          </w:p>
        </w:tc>
        <w:tc>
          <w:tcPr>
            <w:tcW w:w="1777" w:type="dxa"/>
            <w:vAlign w:val="center"/>
          </w:tcPr>
          <w:p>
            <w:pPr>
              <w:jc w:val="center"/>
              <w:rPr>
                <w:b/>
                <w:noProof/>
                <w:sz w:val="20"/>
              </w:rPr>
            </w:pPr>
            <w:r>
              <w:rPr>
                <w:b/>
                <w:noProof/>
                <w:sz w:val="20"/>
              </w:rPr>
              <w:t>TOTAL</w:t>
            </w:r>
          </w:p>
        </w:tc>
      </w:tr>
      <w:tr>
        <w:tc>
          <w:tcPr>
            <w:tcW w:w="3960" w:type="dxa"/>
            <w:vMerge w:val="restart"/>
            <w:shd w:val="clear" w:color="auto" w:fill="C0C0C0"/>
            <w:vAlign w:val="center"/>
          </w:tcPr>
          <w:p>
            <w:pPr>
              <w:jc w:val="center"/>
              <w:rPr>
                <w:b/>
                <w:noProof/>
              </w:rPr>
            </w:pPr>
            <w:r>
              <w:rPr>
                <w:b/>
                <w:noProof/>
                <w:sz w:val="22"/>
              </w:rPr>
              <w:t xml:space="preserve">TOTAL de los créditos </w:t>
            </w:r>
            <w:r>
              <w:rPr>
                <w:noProof/>
                <w:sz w:val="22"/>
              </w:rPr>
              <w:br/>
            </w:r>
            <w:r>
              <w:rPr>
                <w:b/>
                <w:noProof/>
                <w:sz w:val="22"/>
              </w:rPr>
              <w:t>de las RÚBRICAS 1 a 5</w:t>
            </w:r>
            <w:r>
              <w:rPr>
                <w:noProof/>
                <w:sz w:val="22"/>
              </w:rPr>
              <w:br/>
              <w:t>del marco financiero plurianual</w:t>
            </w:r>
            <w:r>
              <w:rPr>
                <w:b/>
                <w:noProof/>
                <w:sz w:val="22"/>
              </w:rPr>
              <w:t xml:space="preserve"> </w:t>
            </w:r>
          </w:p>
        </w:tc>
        <w:tc>
          <w:tcPr>
            <w:tcW w:w="2094" w:type="dxa"/>
            <w:gridSpan w:val="2"/>
            <w:vAlign w:val="center"/>
          </w:tcPr>
          <w:p>
            <w:pPr>
              <w:rPr>
                <w:noProof/>
                <w:sz w:val="14"/>
              </w:rPr>
            </w:pPr>
            <w:r>
              <w:rPr>
                <w:noProof/>
                <w:sz w:val="18"/>
              </w:rPr>
              <w:t>Compromisos</w:t>
            </w:r>
          </w:p>
        </w:tc>
        <w:tc>
          <w:tcPr>
            <w:tcW w:w="868" w:type="dxa"/>
            <w:vAlign w:val="center"/>
          </w:tcPr>
          <w:p>
            <w:pPr>
              <w:spacing w:before="60" w:after="60"/>
              <w:jc w:val="right"/>
              <w:rPr>
                <w:noProof/>
                <w:sz w:val="20"/>
              </w:rPr>
            </w:pPr>
            <w:r>
              <w:rPr>
                <w:noProof/>
                <w:sz w:val="20"/>
              </w:rPr>
              <w:t>1,43</w:t>
            </w:r>
          </w:p>
        </w:tc>
        <w:tc>
          <w:tcPr>
            <w:tcW w:w="868" w:type="dxa"/>
            <w:vAlign w:val="center"/>
          </w:tcPr>
          <w:p>
            <w:pPr>
              <w:spacing w:before="60" w:after="60"/>
              <w:jc w:val="right"/>
              <w:rPr>
                <w:noProof/>
                <w:sz w:val="20"/>
              </w:rPr>
            </w:pPr>
            <w:r>
              <w:rPr>
                <w:b/>
                <w:noProof/>
                <w:sz w:val="20"/>
              </w:rPr>
              <w:t>1,43</w:t>
            </w:r>
          </w:p>
        </w:tc>
        <w:tc>
          <w:tcPr>
            <w:tcW w:w="868" w:type="dxa"/>
            <w:vAlign w:val="center"/>
          </w:tcPr>
          <w:p>
            <w:pPr>
              <w:spacing w:before="60" w:after="60"/>
              <w:jc w:val="right"/>
              <w:rPr>
                <w:noProof/>
                <w:sz w:val="20"/>
              </w:rPr>
            </w:pPr>
            <w:r>
              <w:rPr>
                <w:b/>
                <w:noProof/>
                <w:sz w:val="20"/>
              </w:rPr>
              <w:t>1,43</w:t>
            </w:r>
          </w:p>
        </w:tc>
        <w:tc>
          <w:tcPr>
            <w:tcW w:w="868" w:type="dxa"/>
            <w:vAlign w:val="center"/>
          </w:tcPr>
          <w:p>
            <w:pPr>
              <w:spacing w:before="60" w:after="60"/>
              <w:jc w:val="right"/>
              <w:rPr>
                <w:noProof/>
                <w:sz w:val="20"/>
              </w:rPr>
            </w:pPr>
            <w:r>
              <w:rPr>
                <w:b/>
                <w:noProof/>
                <w:sz w:val="20"/>
              </w:rPr>
              <w:t>1,43</w:t>
            </w:r>
          </w:p>
        </w:tc>
        <w:tc>
          <w:tcPr>
            <w:tcW w:w="868" w:type="dxa"/>
            <w:vAlign w:val="center"/>
          </w:tcPr>
          <w:p>
            <w:pPr>
              <w:spacing w:before="60" w:after="60"/>
              <w:jc w:val="right"/>
              <w:rPr>
                <w:noProof/>
                <w:sz w:val="20"/>
              </w:rPr>
            </w:pPr>
            <w:r>
              <w:rPr>
                <w:b/>
                <w:noProof/>
                <w:sz w:val="20"/>
              </w:rPr>
              <w:t>1,43</w:t>
            </w:r>
          </w:p>
        </w:tc>
        <w:tc>
          <w:tcPr>
            <w:tcW w:w="868" w:type="dxa"/>
            <w:vAlign w:val="center"/>
          </w:tcPr>
          <w:p>
            <w:pPr>
              <w:spacing w:before="60" w:after="60"/>
              <w:jc w:val="right"/>
              <w:rPr>
                <w:noProof/>
                <w:sz w:val="20"/>
              </w:rPr>
            </w:pPr>
            <w:r>
              <w:rPr>
                <w:b/>
                <w:noProof/>
                <w:sz w:val="20"/>
              </w:rPr>
              <w:t>1,43</w:t>
            </w:r>
          </w:p>
        </w:tc>
        <w:tc>
          <w:tcPr>
            <w:tcW w:w="868" w:type="dxa"/>
            <w:vAlign w:val="center"/>
          </w:tcPr>
          <w:p>
            <w:pPr>
              <w:spacing w:before="60" w:after="60"/>
              <w:jc w:val="right"/>
              <w:rPr>
                <w:b/>
                <w:noProof/>
                <w:sz w:val="20"/>
              </w:rPr>
            </w:pPr>
            <w:r>
              <w:rPr>
                <w:b/>
                <w:noProof/>
                <w:sz w:val="20"/>
              </w:rPr>
              <w:t>1,43</w:t>
            </w:r>
          </w:p>
        </w:tc>
        <w:tc>
          <w:tcPr>
            <w:tcW w:w="1777" w:type="dxa"/>
            <w:vAlign w:val="center"/>
          </w:tcPr>
          <w:p>
            <w:pPr>
              <w:spacing w:before="60" w:after="60"/>
              <w:jc w:val="right"/>
              <w:rPr>
                <w:b/>
                <w:noProof/>
                <w:sz w:val="20"/>
              </w:rPr>
            </w:pPr>
            <w:r>
              <w:rPr>
                <w:b/>
                <w:noProof/>
                <w:sz w:val="20"/>
              </w:rPr>
              <w:t>10,01</w:t>
            </w:r>
          </w:p>
        </w:tc>
      </w:tr>
      <w:tr>
        <w:tc>
          <w:tcPr>
            <w:tcW w:w="3960" w:type="dxa"/>
            <w:vMerge/>
            <w:vAlign w:val="center"/>
          </w:tcPr>
          <w:p>
            <w:pPr>
              <w:rPr>
                <w:b/>
                <w:noProof/>
              </w:rPr>
            </w:pPr>
          </w:p>
        </w:tc>
        <w:tc>
          <w:tcPr>
            <w:tcW w:w="2094" w:type="dxa"/>
            <w:gridSpan w:val="2"/>
            <w:vAlign w:val="center"/>
          </w:tcPr>
          <w:p>
            <w:pPr>
              <w:rPr>
                <w:noProof/>
                <w:sz w:val="14"/>
              </w:rPr>
            </w:pPr>
            <w:r>
              <w:rPr>
                <w:noProof/>
                <w:sz w:val="18"/>
              </w:rPr>
              <w:t>Pagos</w:t>
            </w:r>
          </w:p>
        </w:tc>
        <w:tc>
          <w:tcPr>
            <w:tcW w:w="868" w:type="dxa"/>
            <w:vAlign w:val="center"/>
          </w:tcPr>
          <w:p>
            <w:pPr>
              <w:spacing w:before="60" w:after="60"/>
              <w:jc w:val="right"/>
              <w:rPr>
                <w:noProof/>
                <w:sz w:val="20"/>
              </w:rPr>
            </w:pPr>
            <w:r>
              <w:rPr>
                <w:noProof/>
                <w:sz w:val="20"/>
              </w:rPr>
              <w:t>1,43</w:t>
            </w:r>
          </w:p>
        </w:tc>
        <w:tc>
          <w:tcPr>
            <w:tcW w:w="868" w:type="dxa"/>
            <w:vAlign w:val="center"/>
          </w:tcPr>
          <w:p>
            <w:pPr>
              <w:spacing w:before="60" w:after="60"/>
              <w:jc w:val="right"/>
              <w:rPr>
                <w:noProof/>
                <w:sz w:val="20"/>
              </w:rPr>
            </w:pPr>
            <w:r>
              <w:rPr>
                <w:b/>
                <w:noProof/>
                <w:sz w:val="20"/>
              </w:rPr>
              <w:t>1,43</w:t>
            </w:r>
          </w:p>
        </w:tc>
        <w:tc>
          <w:tcPr>
            <w:tcW w:w="868" w:type="dxa"/>
            <w:vAlign w:val="center"/>
          </w:tcPr>
          <w:p>
            <w:pPr>
              <w:spacing w:before="60" w:after="60"/>
              <w:jc w:val="right"/>
              <w:rPr>
                <w:noProof/>
                <w:sz w:val="20"/>
              </w:rPr>
            </w:pPr>
            <w:r>
              <w:rPr>
                <w:b/>
                <w:noProof/>
                <w:sz w:val="20"/>
              </w:rPr>
              <w:t>1,43</w:t>
            </w:r>
          </w:p>
        </w:tc>
        <w:tc>
          <w:tcPr>
            <w:tcW w:w="868" w:type="dxa"/>
            <w:vAlign w:val="center"/>
          </w:tcPr>
          <w:p>
            <w:pPr>
              <w:spacing w:before="60" w:after="60"/>
              <w:jc w:val="right"/>
              <w:rPr>
                <w:noProof/>
                <w:sz w:val="20"/>
              </w:rPr>
            </w:pPr>
            <w:r>
              <w:rPr>
                <w:b/>
                <w:noProof/>
                <w:sz w:val="20"/>
              </w:rPr>
              <w:t>1,43</w:t>
            </w:r>
          </w:p>
        </w:tc>
        <w:tc>
          <w:tcPr>
            <w:tcW w:w="868" w:type="dxa"/>
            <w:vAlign w:val="center"/>
          </w:tcPr>
          <w:p>
            <w:pPr>
              <w:spacing w:before="60" w:after="60"/>
              <w:jc w:val="right"/>
              <w:rPr>
                <w:noProof/>
                <w:sz w:val="20"/>
              </w:rPr>
            </w:pPr>
            <w:r>
              <w:rPr>
                <w:b/>
                <w:noProof/>
                <w:sz w:val="20"/>
              </w:rPr>
              <w:t>1,43</w:t>
            </w:r>
          </w:p>
        </w:tc>
        <w:tc>
          <w:tcPr>
            <w:tcW w:w="868" w:type="dxa"/>
            <w:vAlign w:val="center"/>
          </w:tcPr>
          <w:p>
            <w:pPr>
              <w:spacing w:before="60" w:after="60"/>
              <w:jc w:val="right"/>
              <w:rPr>
                <w:noProof/>
                <w:sz w:val="20"/>
              </w:rPr>
            </w:pPr>
            <w:r>
              <w:rPr>
                <w:b/>
                <w:noProof/>
                <w:sz w:val="20"/>
              </w:rPr>
              <w:t>1,43</w:t>
            </w:r>
          </w:p>
        </w:tc>
        <w:tc>
          <w:tcPr>
            <w:tcW w:w="868" w:type="dxa"/>
            <w:vAlign w:val="center"/>
          </w:tcPr>
          <w:p>
            <w:pPr>
              <w:spacing w:before="60" w:after="60"/>
              <w:jc w:val="right"/>
              <w:rPr>
                <w:b/>
                <w:noProof/>
                <w:sz w:val="20"/>
              </w:rPr>
            </w:pPr>
            <w:r>
              <w:rPr>
                <w:b/>
                <w:noProof/>
                <w:sz w:val="20"/>
              </w:rPr>
              <w:t>1,43</w:t>
            </w:r>
          </w:p>
        </w:tc>
        <w:tc>
          <w:tcPr>
            <w:tcW w:w="1777" w:type="dxa"/>
            <w:vAlign w:val="center"/>
          </w:tcPr>
          <w:p>
            <w:pPr>
              <w:spacing w:before="60" w:after="60"/>
              <w:jc w:val="right"/>
              <w:rPr>
                <w:b/>
                <w:noProof/>
                <w:sz w:val="20"/>
              </w:rPr>
            </w:pPr>
            <w:r>
              <w:rPr>
                <w:b/>
                <w:noProof/>
                <w:sz w:val="20"/>
              </w:rPr>
              <w:t>10,01</w:t>
            </w:r>
          </w:p>
        </w:tc>
      </w:tr>
    </w:tbl>
    <w:p>
      <w:pPr>
        <w:rPr>
          <w:noProof/>
        </w:rPr>
        <w:sectPr>
          <w:headerReference w:type="default" r:id="rId18"/>
          <w:footerReference w:type="default" r:id="rId19"/>
          <w:headerReference w:type="first" r:id="rId20"/>
          <w:footerReference w:type="first" r:id="rId21"/>
          <w:pgSz w:w="16839" w:h="11907" w:orient="landscape" w:code="9"/>
          <w:pgMar w:top="1134" w:right="1077" w:bottom="902" w:left="1247" w:header="709" w:footer="510" w:gutter="0"/>
          <w:cols w:space="720"/>
          <w:docGrid w:linePitch="326"/>
        </w:sectPr>
      </w:pPr>
    </w:p>
    <w:p>
      <w:pPr>
        <w:pStyle w:val="ManualHeading3"/>
        <w:rPr>
          <w:bCs/>
          <w:noProof/>
          <w:szCs w:val="24"/>
        </w:rPr>
      </w:pPr>
      <w:bookmarkStart w:id="57" w:name="_Toc514938687"/>
      <w:bookmarkStart w:id="58" w:name="_Toc524270810"/>
      <w:r>
        <w:t>3.2.2.</w:t>
      </w:r>
      <w:r>
        <w:tab/>
      </w:r>
      <w:r>
        <w:rPr>
          <w:noProof/>
        </w:rPr>
        <w:t>Incidencia estimada en los créditos de [organismo]</w:t>
      </w:r>
      <w:bookmarkEnd w:id="57"/>
      <w:bookmarkEnd w:id="58"/>
      <w:r>
        <w:rPr>
          <w:noProof/>
        </w:rPr>
        <w:t xml:space="preserve"> </w:t>
      </w:r>
    </w:p>
    <w:p>
      <w:pPr>
        <w:pStyle w:val="ListDash1"/>
        <w:rPr>
          <w:noProof/>
        </w:rPr>
      </w:pPr>
      <w:r>
        <w:rPr>
          <w:noProof/>
        </w:rPr>
        <w:t>X</w:t>
      </w:r>
      <w:r>
        <w:rPr>
          <w:noProof/>
        </w:rPr>
        <w:tab/>
        <w:t xml:space="preserve">La propuesta/iniciativa no exige la utilización de créditos de operaciones. </w:t>
      </w:r>
    </w:p>
    <w:p>
      <w:pPr>
        <w:pStyle w:val="ListDash1"/>
        <w:rPr>
          <w:noProof/>
        </w:rPr>
      </w:pPr>
      <w:r>
        <w:rPr>
          <w:noProof/>
        </w:rPr>
        <w:sym w:font="Wingdings" w:char="F0A8"/>
      </w:r>
      <w:r>
        <w:rPr>
          <w:noProof/>
        </w:rPr>
        <w:tab/>
        <w:t>La propuesta/iniciativa exige la utilización de créditos de operaciones, tal como se explica a continuación:</w:t>
      </w:r>
    </w:p>
    <w:p>
      <w:pPr>
        <w:jc w:val="right"/>
        <w:rPr>
          <w:noProof/>
          <w:sz w:val="20"/>
        </w:rPr>
      </w:pPr>
      <w:r>
        <w:rPr>
          <w:noProof/>
          <w:sz w:val="20"/>
        </w:rPr>
        <w:t>Créditos de compromiso en millones EUR (al tercer decimal)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trPr>
          <w:jc w:val="center"/>
        </w:trPr>
        <w:tc>
          <w:tcPr>
            <w:tcW w:w="1423" w:type="dxa"/>
            <w:vMerge w:val="restart"/>
            <w:vAlign w:val="center"/>
          </w:tcPr>
          <w:p>
            <w:pPr>
              <w:ind w:right="-29"/>
              <w:jc w:val="center"/>
              <w:rPr>
                <w:b/>
                <w:noProof/>
                <w:sz w:val="18"/>
              </w:rPr>
            </w:pPr>
            <w:r>
              <w:rPr>
                <w:b/>
                <w:noProof/>
                <w:sz w:val="18"/>
              </w:rPr>
              <w:t xml:space="preserve">Indíquense los objetivos y los resultados </w:t>
            </w:r>
          </w:p>
          <w:p>
            <w:pPr>
              <w:ind w:right="-29"/>
              <w:jc w:val="center"/>
              <w:rPr>
                <w:b/>
                <w:noProof/>
                <w:sz w:val="18"/>
              </w:rPr>
            </w:pPr>
          </w:p>
          <w:p>
            <w:pPr>
              <w:ind w:right="-29"/>
              <w:jc w:val="center"/>
              <w:rPr>
                <w:noProof/>
                <w:sz w:val="18"/>
              </w:rPr>
            </w:pPr>
            <w:r>
              <w:rPr>
                <w:noProof/>
                <w:sz w:val="18"/>
              </w:rPr>
              <w:sym w:font="Wingdings" w:char="F0F2"/>
            </w:r>
          </w:p>
        </w:tc>
        <w:tc>
          <w:tcPr>
            <w:tcW w:w="720" w:type="dxa"/>
            <w:vAlign w:val="center"/>
          </w:tcPr>
          <w:p>
            <w:pPr>
              <w:ind w:right="-29"/>
              <w:jc w:val="center"/>
              <w:rPr>
                <w:noProof/>
                <w:sz w:val="18"/>
              </w:rPr>
            </w:pPr>
          </w:p>
        </w:tc>
        <w:tc>
          <w:tcPr>
            <w:tcW w:w="701" w:type="dxa"/>
            <w:vAlign w:val="center"/>
          </w:tcPr>
          <w:p>
            <w:pPr>
              <w:ind w:right="-29"/>
              <w:jc w:val="center"/>
              <w:rPr>
                <w:noProof/>
                <w:sz w:val="18"/>
              </w:rPr>
            </w:pPr>
          </w:p>
        </w:tc>
        <w:tc>
          <w:tcPr>
            <w:tcW w:w="1224" w:type="dxa"/>
            <w:gridSpan w:val="2"/>
            <w:tcBorders>
              <w:left w:val="nil"/>
            </w:tcBorders>
            <w:vAlign w:val="center"/>
          </w:tcPr>
          <w:p>
            <w:pPr>
              <w:ind w:right="-29"/>
              <w:jc w:val="center"/>
              <w:rPr>
                <w:noProof/>
                <w:sz w:val="18"/>
              </w:rPr>
            </w:pPr>
            <w:r>
              <w:rPr>
                <w:noProof/>
                <w:sz w:val="18"/>
              </w:rPr>
              <w:t>Año</w:t>
            </w:r>
            <w:r>
              <w:rPr>
                <w:noProof/>
                <w:sz w:val="22"/>
              </w:rPr>
              <w:br/>
            </w:r>
            <w:r>
              <w:rPr>
                <w:b/>
                <w:noProof/>
                <w:sz w:val="18"/>
              </w:rPr>
              <w:t>N</w:t>
            </w:r>
          </w:p>
        </w:tc>
        <w:tc>
          <w:tcPr>
            <w:tcW w:w="1260" w:type="dxa"/>
            <w:gridSpan w:val="2"/>
            <w:vAlign w:val="center"/>
          </w:tcPr>
          <w:p>
            <w:pPr>
              <w:ind w:right="-29"/>
              <w:jc w:val="center"/>
              <w:rPr>
                <w:noProof/>
                <w:sz w:val="18"/>
              </w:rPr>
            </w:pPr>
            <w:r>
              <w:rPr>
                <w:noProof/>
                <w:sz w:val="18"/>
              </w:rPr>
              <w:t>Año</w:t>
            </w:r>
            <w:r>
              <w:rPr>
                <w:noProof/>
                <w:sz w:val="22"/>
              </w:rPr>
              <w:br/>
            </w:r>
            <w:r>
              <w:rPr>
                <w:b/>
                <w:noProof/>
                <w:sz w:val="18"/>
              </w:rPr>
              <w:t>N+1</w:t>
            </w:r>
          </w:p>
        </w:tc>
        <w:tc>
          <w:tcPr>
            <w:tcW w:w="1440" w:type="dxa"/>
            <w:gridSpan w:val="2"/>
            <w:vAlign w:val="center"/>
          </w:tcPr>
          <w:p>
            <w:pPr>
              <w:ind w:right="-29"/>
              <w:jc w:val="center"/>
              <w:rPr>
                <w:noProof/>
                <w:sz w:val="18"/>
              </w:rPr>
            </w:pPr>
            <w:r>
              <w:rPr>
                <w:noProof/>
                <w:sz w:val="18"/>
              </w:rPr>
              <w:t>Año</w:t>
            </w:r>
            <w:r>
              <w:rPr>
                <w:noProof/>
                <w:sz w:val="22"/>
              </w:rPr>
              <w:br/>
            </w:r>
            <w:r>
              <w:rPr>
                <w:b/>
                <w:noProof/>
                <w:sz w:val="18"/>
              </w:rPr>
              <w:t>N+2</w:t>
            </w:r>
          </w:p>
        </w:tc>
        <w:tc>
          <w:tcPr>
            <w:tcW w:w="1620" w:type="dxa"/>
            <w:gridSpan w:val="3"/>
            <w:vAlign w:val="center"/>
          </w:tcPr>
          <w:p>
            <w:pPr>
              <w:ind w:right="-29"/>
              <w:jc w:val="center"/>
              <w:rPr>
                <w:noProof/>
                <w:sz w:val="18"/>
              </w:rPr>
            </w:pPr>
            <w:r>
              <w:rPr>
                <w:noProof/>
                <w:sz w:val="18"/>
              </w:rPr>
              <w:t>Año</w:t>
            </w:r>
            <w:r>
              <w:rPr>
                <w:noProof/>
                <w:sz w:val="22"/>
              </w:rPr>
              <w:br/>
            </w:r>
            <w:r>
              <w:rPr>
                <w:b/>
                <w:noProof/>
                <w:sz w:val="18"/>
              </w:rPr>
              <w:t>N+3</w:t>
            </w:r>
          </w:p>
        </w:tc>
        <w:tc>
          <w:tcPr>
            <w:tcW w:w="3600" w:type="dxa"/>
            <w:gridSpan w:val="6"/>
            <w:vAlign w:val="center"/>
          </w:tcPr>
          <w:p>
            <w:pPr>
              <w:jc w:val="center"/>
              <w:rPr>
                <w:b/>
                <w:noProof/>
                <w:sz w:val="18"/>
              </w:rPr>
            </w:pPr>
            <w:r>
              <w:rPr>
                <w:noProof/>
                <w:sz w:val="18"/>
              </w:rPr>
              <w:t>Insértense tantos años como sea necesario para reflejar la duración de la incidencia (véase el punto 1.6)</w:t>
            </w:r>
          </w:p>
        </w:tc>
        <w:tc>
          <w:tcPr>
            <w:tcW w:w="1620" w:type="dxa"/>
            <w:gridSpan w:val="2"/>
            <w:tcBorders>
              <w:left w:val="nil"/>
              <w:bottom w:val="nil"/>
            </w:tcBorders>
            <w:vAlign w:val="center"/>
          </w:tcPr>
          <w:p>
            <w:pPr>
              <w:ind w:right="-29"/>
              <w:jc w:val="center"/>
              <w:rPr>
                <w:noProof/>
                <w:sz w:val="18"/>
              </w:rPr>
            </w:pPr>
            <w:r>
              <w:rPr>
                <w:b/>
                <w:noProof/>
                <w:sz w:val="18"/>
              </w:rPr>
              <w:t>TOTAL</w:t>
            </w:r>
          </w:p>
        </w:tc>
      </w:tr>
      <w:tr>
        <w:trPr>
          <w:jc w:val="center"/>
        </w:trPr>
        <w:tc>
          <w:tcPr>
            <w:tcW w:w="1423" w:type="dxa"/>
            <w:vMerge/>
            <w:vAlign w:val="center"/>
          </w:tcPr>
          <w:p>
            <w:pPr>
              <w:rPr>
                <w:noProof/>
                <w:sz w:val="18"/>
              </w:rPr>
            </w:pPr>
          </w:p>
        </w:tc>
        <w:tc>
          <w:tcPr>
            <w:tcW w:w="12185" w:type="dxa"/>
            <w:gridSpan w:val="19"/>
            <w:vAlign w:val="center"/>
          </w:tcPr>
          <w:p>
            <w:pPr>
              <w:spacing w:before="60" w:after="60"/>
              <w:ind w:right="-29"/>
              <w:jc w:val="center"/>
              <w:rPr>
                <w:noProof/>
                <w:sz w:val="18"/>
              </w:rPr>
            </w:pPr>
            <w:r>
              <w:rPr>
                <w:b/>
                <w:noProof/>
                <w:sz w:val="18"/>
              </w:rPr>
              <w:t>RESULTADOS</w:t>
            </w:r>
          </w:p>
        </w:tc>
      </w:tr>
      <w:tr>
        <w:trPr>
          <w:cantSplit/>
          <w:trHeight w:val="1134"/>
          <w:jc w:val="center"/>
        </w:trPr>
        <w:tc>
          <w:tcPr>
            <w:tcW w:w="1423" w:type="dxa"/>
            <w:vMerge/>
            <w:vAlign w:val="center"/>
          </w:tcPr>
          <w:p>
            <w:pPr>
              <w:rPr>
                <w:noProof/>
                <w:sz w:val="18"/>
              </w:rPr>
            </w:pPr>
          </w:p>
        </w:tc>
        <w:tc>
          <w:tcPr>
            <w:tcW w:w="720" w:type="dxa"/>
            <w:vAlign w:val="center"/>
          </w:tcPr>
          <w:p>
            <w:pPr>
              <w:jc w:val="center"/>
              <w:rPr>
                <w:noProof/>
                <w:sz w:val="18"/>
              </w:rPr>
            </w:pPr>
            <w:r>
              <w:rPr>
                <w:noProof/>
                <w:sz w:val="18"/>
              </w:rPr>
              <w:t>Tipo</w:t>
            </w:r>
            <w:r>
              <w:rPr>
                <w:rStyle w:val="FootnoteReference"/>
                <w:noProof/>
                <w:sz w:val="18"/>
              </w:rPr>
              <w:footnoteReference w:id="25"/>
            </w:r>
          </w:p>
        </w:tc>
        <w:tc>
          <w:tcPr>
            <w:tcW w:w="701" w:type="dxa"/>
            <w:vAlign w:val="center"/>
          </w:tcPr>
          <w:p>
            <w:pPr>
              <w:jc w:val="center"/>
              <w:rPr>
                <w:noProof/>
              </w:rPr>
            </w:pPr>
            <w:r>
              <w:rPr>
                <w:noProof/>
                <w:sz w:val="18"/>
              </w:rPr>
              <w:t>Coste medio</w:t>
            </w:r>
          </w:p>
        </w:tc>
        <w:tc>
          <w:tcPr>
            <w:tcW w:w="504" w:type="dxa"/>
            <w:tcBorders>
              <w:left w:val="nil"/>
              <w:right w:val="dashSmallGap" w:sz="4" w:space="0" w:color="auto"/>
            </w:tcBorders>
            <w:shd w:val="pct10" w:color="auto" w:fill="auto"/>
            <w:textDirection w:val="btLr"/>
            <w:vAlign w:val="center"/>
          </w:tcPr>
          <w:p>
            <w:pPr>
              <w:ind w:left="113" w:right="113"/>
              <w:jc w:val="center"/>
              <w:rPr>
                <w:noProof/>
              </w:rPr>
            </w:pPr>
            <w:r>
              <w:rPr>
                <w:noProof/>
                <w:sz w:val="18"/>
              </w:rPr>
              <w:t>No</w:t>
            </w:r>
          </w:p>
        </w:tc>
        <w:tc>
          <w:tcPr>
            <w:tcW w:w="720" w:type="dxa"/>
            <w:tcBorders>
              <w:left w:val="dashSmallGap" w:sz="4" w:space="0" w:color="auto"/>
            </w:tcBorders>
            <w:shd w:val="pct10" w:color="auto" w:fill="auto"/>
            <w:vAlign w:val="center"/>
          </w:tcPr>
          <w:p>
            <w:pPr>
              <w:jc w:val="center"/>
              <w:rPr>
                <w:noProof/>
                <w:sz w:val="18"/>
              </w:rPr>
            </w:pPr>
            <w:r>
              <w:rPr>
                <w:noProof/>
                <w:sz w:val="18"/>
              </w:rPr>
              <w:t>Coste</w:t>
            </w:r>
          </w:p>
        </w:tc>
        <w:tc>
          <w:tcPr>
            <w:tcW w:w="540" w:type="dxa"/>
            <w:tcBorders>
              <w:right w:val="dashSmallGap" w:sz="4" w:space="0" w:color="auto"/>
            </w:tcBorders>
            <w:shd w:val="pct10" w:color="auto" w:fill="auto"/>
            <w:textDirection w:val="btLr"/>
            <w:vAlign w:val="center"/>
          </w:tcPr>
          <w:p>
            <w:pPr>
              <w:ind w:left="113" w:right="113"/>
              <w:jc w:val="center"/>
              <w:rPr>
                <w:noProof/>
              </w:rPr>
            </w:pPr>
            <w:r>
              <w:rPr>
                <w:noProof/>
                <w:sz w:val="18"/>
              </w:rPr>
              <w:t>No</w:t>
            </w:r>
          </w:p>
        </w:tc>
        <w:tc>
          <w:tcPr>
            <w:tcW w:w="720" w:type="dxa"/>
            <w:tcBorders>
              <w:left w:val="dashSmallGap" w:sz="4" w:space="0" w:color="auto"/>
            </w:tcBorders>
            <w:shd w:val="pct10" w:color="auto" w:fill="auto"/>
            <w:vAlign w:val="center"/>
          </w:tcPr>
          <w:p>
            <w:pPr>
              <w:jc w:val="center"/>
              <w:rPr>
                <w:noProof/>
                <w:sz w:val="18"/>
              </w:rPr>
            </w:pPr>
            <w:r>
              <w:rPr>
                <w:noProof/>
                <w:sz w:val="18"/>
              </w:rPr>
              <w:t>Coste</w:t>
            </w:r>
          </w:p>
        </w:tc>
        <w:tc>
          <w:tcPr>
            <w:tcW w:w="720" w:type="dxa"/>
            <w:tcBorders>
              <w:right w:val="dashSmallGap" w:sz="4" w:space="0" w:color="auto"/>
            </w:tcBorders>
            <w:shd w:val="pct10" w:color="auto" w:fill="auto"/>
            <w:textDirection w:val="btLr"/>
            <w:vAlign w:val="center"/>
          </w:tcPr>
          <w:p>
            <w:pPr>
              <w:ind w:left="113" w:right="113"/>
              <w:jc w:val="center"/>
              <w:rPr>
                <w:noProof/>
              </w:rPr>
            </w:pPr>
            <w:r>
              <w:rPr>
                <w:noProof/>
                <w:sz w:val="18"/>
              </w:rPr>
              <w:t>No</w:t>
            </w:r>
          </w:p>
        </w:tc>
        <w:tc>
          <w:tcPr>
            <w:tcW w:w="720" w:type="dxa"/>
            <w:tcBorders>
              <w:left w:val="dashSmallGap" w:sz="4" w:space="0" w:color="auto"/>
            </w:tcBorders>
            <w:shd w:val="pct10" w:color="auto" w:fill="auto"/>
            <w:vAlign w:val="center"/>
          </w:tcPr>
          <w:p>
            <w:pPr>
              <w:jc w:val="center"/>
              <w:rPr>
                <w:noProof/>
                <w:sz w:val="18"/>
              </w:rPr>
            </w:pPr>
            <w:r>
              <w:rPr>
                <w:noProof/>
                <w:sz w:val="18"/>
              </w:rPr>
              <w:t>Coste</w:t>
            </w:r>
          </w:p>
        </w:tc>
        <w:tc>
          <w:tcPr>
            <w:tcW w:w="900" w:type="dxa"/>
            <w:tcBorders>
              <w:right w:val="dashSmallGap" w:sz="4" w:space="0" w:color="auto"/>
            </w:tcBorders>
            <w:shd w:val="pct10" w:color="auto" w:fill="auto"/>
            <w:textDirection w:val="btLr"/>
            <w:vAlign w:val="center"/>
          </w:tcPr>
          <w:p>
            <w:pPr>
              <w:ind w:left="113" w:right="113"/>
              <w:jc w:val="center"/>
              <w:rPr>
                <w:noProof/>
              </w:rPr>
            </w:pPr>
            <w:r>
              <w:rPr>
                <w:noProof/>
                <w:sz w:val="18"/>
              </w:rPr>
              <w:t>No</w:t>
            </w:r>
          </w:p>
        </w:tc>
        <w:tc>
          <w:tcPr>
            <w:tcW w:w="720" w:type="dxa"/>
            <w:gridSpan w:val="2"/>
            <w:tcBorders>
              <w:left w:val="dashSmallGap" w:sz="4" w:space="0" w:color="auto"/>
            </w:tcBorders>
            <w:shd w:val="pct10" w:color="auto" w:fill="auto"/>
            <w:vAlign w:val="center"/>
          </w:tcPr>
          <w:p>
            <w:pPr>
              <w:jc w:val="center"/>
              <w:rPr>
                <w:noProof/>
                <w:sz w:val="18"/>
              </w:rPr>
            </w:pPr>
            <w:r>
              <w:rPr>
                <w:noProof/>
                <w:sz w:val="18"/>
              </w:rPr>
              <w:t>Coste</w:t>
            </w:r>
          </w:p>
        </w:tc>
        <w:tc>
          <w:tcPr>
            <w:tcW w:w="540" w:type="dxa"/>
            <w:tcBorders>
              <w:right w:val="dashSmallGap" w:sz="4" w:space="0" w:color="auto"/>
            </w:tcBorders>
            <w:shd w:val="pct10" w:color="auto" w:fill="auto"/>
            <w:textDirection w:val="btLr"/>
            <w:vAlign w:val="center"/>
          </w:tcPr>
          <w:p>
            <w:pPr>
              <w:ind w:left="113" w:right="113"/>
              <w:jc w:val="center"/>
              <w:rPr>
                <w:noProof/>
              </w:rPr>
            </w:pPr>
            <w:r>
              <w:rPr>
                <w:noProof/>
                <w:sz w:val="18"/>
              </w:rPr>
              <w:t>No</w:t>
            </w:r>
          </w:p>
        </w:tc>
        <w:tc>
          <w:tcPr>
            <w:tcW w:w="648" w:type="dxa"/>
            <w:tcBorders>
              <w:left w:val="dashSmallGap" w:sz="4" w:space="0" w:color="auto"/>
            </w:tcBorders>
            <w:shd w:val="pct10" w:color="auto" w:fill="auto"/>
            <w:vAlign w:val="center"/>
          </w:tcPr>
          <w:p>
            <w:pPr>
              <w:jc w:val="center"/>
              <w:rPr>
                <w:noProof/>
                <w:sz w:val="18"/>
              </w:rPr>
            </w:pPr>
            <w:r>
              <w:rPr>
                <w:noProof/>
                <w:sz w:val="18"/>
              </w:rPr>
              <w:t>Coste</w:t>
            </w:r>
          </w:p>
        </w:tc>
        <w:tc>
          <w:tcPr>
            <w:tcW w:w="432" w:type="dxa"/>
            <w:tcBorders>
              <w:right w:val="dashSmallGap" w:sz="4" w:space="0" w:color="auto"/>
            </w:tcBorders>
            <w:shd w:val="pct10" w:color="auto" w:fill="auto"/>
            <w:textDirection w:val="btLr"/>
            <w:vAlign w:val="center"/>
          </w:tcPr>
          <w:p>
            <w:pPr>
              <w:ind w:left="113" w:right="113"/>
              <w:jc w:val="center"/>
              <w:rPr>
                <w:noProof/>
              </w:rPr>
            </w:pPr>
            <w:r>
              <w:rPr>
                <w:noProof/>
                <w:sz w:val="18"/>
              </w:rPr>
              <w:t>No</w:t>
            </w:r>
          </w:p>
        </w:tc>
        <w:tc>
          <w:tcPr>
            <w:tcW w:w="720" w:type="dxa"/>
            <w:tcBorders>
              <w:left w:val="dashSmallGap" w:sz="4" w:space="0" w:color="auto"/>
            </w:tcBorders>
            <w:shd w:val="pct10" w:color="auto" w:fill="auto"/>
            <w:vAlign w:val="center"/>
          </w:tcPr>
          <w:p>
            <w:pPr>
              <w:jc w:val="center"/>
              <w:rPr>
                <w:noProof/>
                <w:sz w:val="18"/>
              </w:rPr>
            </w:pPr>
            <w:r>
              <w:rPr>
                <w:noProof/>
                <w:sz w:val="18"/>
              </w:rPr>
              <w:t>Coste</w:t>
            </w:r>
          </w:p>
        </w:tc>
        <w:tc>
          <w:tcPr>
            <w:tcW w:w="540" w:type="dxa"/>
            <w:tcBorders>
              <w:right w:val="dashSmallGap" w:sz="4" w:space="0" w:color="auto"/>
            </w:tcBorders>
            <w:shd w:val="pct10" w:color="auto" w:fill="auto"/>
            <w:textDirection w:val="btLr"/>
            <w:vAlign w:val="center"/>
          </w:tcPr>
          <w:p>
            <w:pPr>
              <w:ind w:left="113" w:right="113"/>
              <w:jc w:val="center"/>
              <w:rPr>
                <w:noProof/>
              </w:rPr>
            </w:pPr>
            <w:r>
              <w:rPr>
                <w:noProof/>
                <w:sz w:val="18"/>
              </w:rPr>
              <w:t>No</w:t>
            </w:r>
          </w:p>
        </w:tc>
        <w:tc>
          <w:tcPr>
            <w:tcW w:w="720" w:type="dxa"/>
            <w:tcBorders>
              <w:left w:val="dashSmallGap" w:sz="4" w:space="0" w:color="auto"/>
            </w:tcBorders>
            <w:shd w:val="pct10" w:color="auto" w:fill="auto"/>
            <w:vAlign w:val="center"/>
          </w:tcPr>
          <w:p>
            <w:pPr>
              <w:jc w:val="center"/>
              <w:rPr>
                <w:noProof/>
                <w:sz w:val="18"/>
              </w:rPr>
            </w:pPr>
            <w:r>
              <w:rPr>
                <w:noProof/>
                <w:sz w:val="18"/>
              </w:rPr>
              <w:t>Coste</w:t>
            </w:r>
          </w:p>
        </w:tc>
        <w:tc>
          <w:tcPr>
            <w:tcW w:w="720" w:type="dxa"/>
            <w:tcBorders>
              <w:right w:val="dashSmallGap" w:sz="4" w:space="0" w:color="auto"/>
            </w:tcBorders>
            <w:shd w:val="pct10" w:color="auto" w:fill="auto"/>
            <w:vAlign w:val="center"/>
          </w:tcPr>
          <w:p>
            <w:pPr>
              <w:jc w:val="center"/>
              <w:rPr>
                <w:noProof/>
                <w:sz w:val="18"/>
              </w:rPr>
            </w:pPr>
            <w:r>
              <w:rPr>
                <w:noProof/>
                <w:sz w:val="18"/>
              </w:rPr>
              <w:t>Número total</w:t>
            </w:r>
          </w:p>
        </w:tc>
        <w:tc>
          <w:tcPr>
            <w:tcW w:w="900" w:type="dxa"/>
            <w:tcBorders>
              <w:left w:val="dashSmallGap" w:sz="4" w:space="0" w:color="auto"/>
            </w:tcBorders>
            <w:shd w:val="pct10" w:color="auto" w:fill="auto"/>
            <w:vAlign w:val="center"/>
          </w:tcPr>
          <w:p>
            <w:pPr>
              <w:jc w:val="center"/>
              <w:rPr>
                <w:noProof/>
              </w:rPr>
            </w:pPr>
            <w:r>
              <w:rPr>
                <w:noProof/>
                <w:sz w:val="18"/>
              </w:rPr>
              <w:t>Coste total</w:t>
            </w:r>
          </w:p>
        </w:tc>
      </w:tr>
      <w:tr>
        <w:trPr>
          <w:jc w:val="center"/>
        </w:trPr>
        <w:tc>
          <w:tcPr>
            <w:tcW w:w="2844" w:type="dxa"/>
            <w:gridSpan w:val="3"/>
            <w:vAlign w:val="center"/>
          </w:tcPr>
          <w:p>
            <w:pPr>
              <w:spacing w:before="60" w:after="60"/>
              <w:ind w:right="-29"/>
              <w:jc w:val="center"/>
              <w:rPr>
                <w:noProof/>
                <w:sz w:val="18"/>
              </w:rPr>
            </w:pPr>
            <w:r>
              <w:rPr>
                <w:noProof/>
                <w:sz w:val="18"/>
              </w:rPr>
              <w:t>OBJETIVO ESPECÍFICO N.° 1</w:t>
            </w:r>
            <w:r>
              <w:rPr>
                <w:rStyle w:val="FootnoteReference"/>
                <w:noProof/>
                <w:sz w:val="18"/>
              </w:rPr>
              <w:footnoteReference w:id="26"/>
            </w:r>
            <w:r>
              <w:rPr>
                <w:noProof/>
                <w:sz w:val="18"/>
              </w:rPr>
              <w:t>…</w:t>
            </w:r>
          </w:p>
        </w:tc>
        <w:tc>
          <w:tcPr>
            <w:tcW w:w="504" w:type="dxa"/>
            <w:tcBorders>
              <w:top w:val="nil"/>
              <w:left w:val="nil"/>
              <w:bottom w:val="nil"/>
              <w:right w:val="nil"/>
            </w:tcBorders>
          </w:tcPr>
          <w:p>
            <w:pPr>
              <w:spacing w:before="60" w:after="60"/>
              <w:ind w:right="-29"/>
              <w:jc w:val="center"/>
              <w:rPr>
                <w:noProof/>
                <w:sz w:val="18"/>
              </w:rPr>
            </w:pPr>
          </w:p>
        </w:tc>
        <w:tc>
          <w:tcPr>
            <w:tcW w:w="720" w:type="dxa"/>
            <w:tcBorders>
              <w:top w:val="nil"/>
              <w:left w:val="nil"/>
              <w:bottom w:val="nil"/>
              <w:right w:val="nil"/>
            </w:tcBorders>
          </w:tcPr>
          <w:p>
            <w:pPr>
              <w:spacing w:before="60" w:after="60"/>
              <w:ind w:right="-29"/>
              <w:jc w:val="center"/>
              <w:rPr>
                <w:noProof/>
                <w:sz w:val="18"/>
              </w:rPr>
            </w:pPr>
          </w:p>
        </w:tc>
        <w:tc>
          <w:tcPr>
            <w:tcW w:w="540" w:type="dxa"/>
            <w:tcBorders>
              <w:top w:val="nil"/>
              <w:left w:val="nil"/>
              <w:bottom w:val="nil"/>
              <w:right w:val="nil"/>
            </w:tcBorders>
          </w:tcPr>
          <w:p>
            <w:pPr>
              <w:spacing w:before="60" w:after="60"/>
              <w:ind w:right="-29"/>
              <w:jc w:val="center"/>
              <w:rPr>
                <w:noProof/>
                <w:sz w:val="18"/>
              </w:rPr>
            </w:pPr>
          </w:p>
        </w:tc>
        <w:tc>
          <w:tcPr>
            <w:tcW w:w="720" w:type="dxa"/>
            <w:tcBorders>
              <w:top w:val="nil"/>
              <w:left w:val="nil"/>
              <w:bottom w:val="nil"/>
              <w:right w:val="nil"/>
            </w:tcBorders>
          </w:tcPr>
          <w:p>
            <w:pPr>
              <w:spacing w:before="60" w:after="60"/>
              <w:ind w:right="-29"/>
              <w:jc w:val="center"/>
              <w:rPr>
                <w:noProof/>
                <w:sz w:val="18"/>
              </w:rPr>
            </w:pPr>
          </w:p>
        </w:tc>
        <w:tc>
          <w:tcPr>
            <w:tcW w:w="720" w:type="dxa"/>
            <w:tcBorders>
              <w:top w:val="nil"/>
              <w:left w:val="nil"/>
              <w:bottom w:val="nil"/>
              <w:right w:val="nil"/>
            </w:tcBorders>
          </w:tcPr>
          <w:p>
            <w:pPr>
              <w:spacing w:before="60" w:after="60"/>
              <w:ind w:right="-29"/>
              <w:jc w:val="center"/>
              <w:rPr>
                <w:noProof/>
                <w:sz w:val="18"/>
              </w:rPr>
            </w:pPr>
          </w:p>
        </w:tc>
        <w:tc>
          <w:tcPr>
            <w:tcW w:w="720" w:type="dxa"/>
            <w:tcBorders>
              <w:top w:val="nil"/>
              <w:left w:val="nil"/>
              <w:bottom w:val="nil"/>
              <w:right w:val="nil"/>
            </w:tcBorders>
          </w:tcPr>
          <w:p>
            <w:pPr>
              <w:spacing w:before="60" w:after="60"/>
              <w:ind w:right="-29"/>
              <w:jc w:val="center"/>
              <w:rPr>
                <w:noProof/>
                <w:sz w:val="18"/>
              </w:rPr>
            </w:pPr>
          </w:p>
        </w:tc>
        <w:tc>
          <w:tcPr>
            <w:tcW w:w="900" w:type="dxa"/>
            <w:tcBorders>
              <w:top w:val="nil"/>
              <w:left w:val="nil"/>
              <w:bottom w:val="nil"/>
              <w:right w:val="nil"/>
            </w:tcBorders>
          </w:tcPr>
          <w:p>
            <w:pPr>
              <w:spacing w:before="60" w:after="60"/>
              <w:ind w:right="-29"/>
              <w:jc w:val="center"/>
              <w:rPr>
                <w:noProof/>
                <w:sz w:val="18"/>
              </w:rPr>
            </w:pPr>
          </w:p>
        </w:tc>
        <w:tc>
          <w:tcPr>
            <w:tcW w:w="720" w:type="dxa"/>
            <w:gridSpan w:val="2"/>
            <w:tcBorders>
              <w:top w:val="nil"/>
              <w:left w:val="nil"/>
              <w:bottom w:val="nil"/>
              <w:right w:val="nil"/>
            </w:tcBorders>
          </w:tcPr>
          <w:p>
            <w:pPr>
              <w:spacing w:before="60" w:after="60"/>
              <w:ind w:right="-29"/>
              <w:jc w:val="center"/>
              <w:rPr>
                <w:noProof/>
                <w:sz w:val="18"/>
              </w:rPr>
            </w:pPr>
          </w:p>
        </w:tc>
        <w:tc>
          <w:tcPr>
            <w:tcW w:w="540" w:type="dxa"/>
            <w:tcBorders>
              <w:top w:val="nil"/>
              <w:left w:val="nil"/>
              <w:bottom w:val="nil"/>
              <w:right w:val="nil"/>
            </w:tcBorders>
          </w:tcPr>
          <w:p>
            <w:pPr>
              <w:spacing w:before="60" w:after="60"/>
              <w:ind w:right="-29"/>
              <w:jc w:val="center"/>
              <w:rPr>
                <w:noProof/>
                <w:sz w:val="18"/>
              </w:rPr>
            </w:pPr>
          </w:p>
        </w:tc>
        <w:tc>
          <w:tcPr>
            <w:tcW w:w="648" w:type="dxa"/>
            <w:tcBorders>
              <w:top w:val="nil"/>
              <w:left w:val="nil"/>
              <w:bottom w:val="nil"/>
              <w:right w:val="nil"/>
            </w:tcBorders>
          </w:tcPr>
          <w:p>
            <w:pPr>
              <w:spacing w:before="60" w:after="60"/>
              <w:ind w:right="-29"/>
              <w:jc w:val="center"/>
              <w:rPr>
                <w:noProof/>
                <w:sz w:val="18"/>
              </w:rPr>
            </w:pPr>
          </w:p>
        </w:tc>
        <w:tc>
          <w:tcPr>
            <w:tcW w:w="432" w:type="dxa"/>
            <w:tcBorders>
              <w:top w:val="nil"/>
              <w:left w:val="nil"/>
              <w:bottom w:val="nil"/>
              <w:right w:val="nil"/>
            </w:tcBorders>
          </w:tcPr>
          <w:p>
            <w:pPr>
              <w:spacing w:before="60" w:after="60"/>
              <w:ind w:right="-29"/>
              <w:jc w:val="center"/>
              <w:rPr>
                <w:noProof/>
                <w:sz w:val="18"/>
              </w:rPr>
            </w:pPr>
          </w:p>
        </w:tc>
        <w:tc>
          <w:tcPr>
            <w:tcW w:w="720" w:type="dxa"/>
            <w:tcBorders>
              <w:top w:val="nil"/>
              <w:left w:val="nil"/>
              <w:bottom w:val="nil"/>
              <w:right w:val="nil"/>
            </w:tcBorders>
          </w:tcPr>
          <w:p>
            <w:pPr>
              <w:spacing w:before="60" w:after="60"/>
              <w:ind w:right="-29"/>
              <w:jc w:val="center"/>
              <w:rPr>
                <w:noProof/>
                <w:sz w:val="18"/>
              </w:rPr>
            </w:pPr>
          </w:p>
        </w:tc>
        <w:tc>
          <w:tcPr>
            <w:tcW w:w="540" w:type="dxa"/>
            <w:tcBorders>
              <w:top w:val="nil"/>
              <w:left w:val="nil"/>
              <w:bottom w:val="nil"/>
              <w:right w:val="nil"/>
            </w:tcBorders>
          </w:tcPr>
          <w:p>
            <w:pPr>
              <w:spacing w:before="60" w:after="60"/>
              <w:ind w:right="-29"/>
              <w:jc w:val="center"/>
              <w:rPr>
                <w:noProof/>
                <w:sz w:val="18"/>
              </w:rPr>
            </w:pPr>
          </w:p>
        </w:tc>
        <w:tc>
          <w:tcPr>
            <w:tcW w:w="720" w:type="dxa"/>
            <w:tcBorders>
              <w:top w:val="nil"/>
              <w:left w:val="nil"/>
              <w:bottom w:val="nil"/>
              <w:right w:val="nil"/>
            </w:tcBorders>
          </w:tcPr>
          <w:p>
            <w:pPr>
              <w:spacing w:before="60" w:after="60"/>
              <w:ind w:right="-29"/>
              <w:jc w:val="center"/>
              <w:rPr>
                <w:noProof/>
                <w:sz w:val="18"/>
              </w:rPr>
            </w:pPr>
          </w:p>
        </w:tc>
        <w:tc>
          <w:tcPr>
            <w:tcW w:w="720" w:type="dxa"/>
            <w:tcBorders>
              <w:top w:val="nil"/>
              <w:left w:val="nil"/>
              <w:bottom w:val="nil"/>
              <w:right w:val="nil"/>
            </w:tcBorders>
          </w:tcPr>
          <w:p>
            <w:pPr>
              <w:spacing w:before="60" w:after="60"/>
              <w:ind w:right="-29"/>
              <w:jc w:val="center"/>
              <w:rPr>
                <w:noProof/>
                <w:sz w:val="18"/>
              </w:rPr>
            </w:pPr>
          </w:p>
        </w:tc>
        <w:tc>
          <w:tcPr>
            <w:tcW w:w="900" w:type="dxa"/>
            <w:tcBorders>
              <w:top w:val="nil"/>
              <w:left w:val="nil"/>
              <w:bottom w:val="nil"/>
              <w:right w:val="nil"/>
            </w:tcBorders>
          </w:tcPr>
          <w:p>
            <w:pPr>
              <w:spacing w:before="60" w:after="60"/>
              <w:ind w:right="-29"/>
              <w:jc w:val="center"/>
              <w:rPr>
                <w:noProof/>
                <w:sz w:val="18"/>
              </w:rPr>
            </w:pPr>
          </w:p>
        </w:tc>
      </w:tr>
      <w:tr>
        <w:trPr>
          <w:trHeight w:hRule="exact" w:val="369"/>
          <w:jc w:val="center"/>
        </w:trPr>
        <w:tc>
          <w:tcPr>
            <w:tcW w:w="1423" w:type="dxa"/>
          </w:tcPr>
          <w:p>
            <w:pPr>
              <w:ind w:right="-29"/>
              <w:jc w:val="center"/>
              <w:rPr>
                <w:noProof/>
                <w:sz w:val="18"/>
              </w:rPr>
            </w:pPr>
            <w:r>
              <w:rPr>
                <w:noProof/>
                <w:sz w:val="18"/>
              </w:rPr>
              <w:t>- Resultado</w:t>
            </w:r>
          </w:p>
        </w:tc>
        <w:tc>
          <w:tcPr>
            <w:tcW w:w="720" w:type="dxa"/>
          </w:tcPr>
          <w:p>
            <w:pPr>
              <w:ind w:right="-29"/>
              <w:jc w:val="center"/>
              <w:rPr>
                <w:noProof/>
                <w:sz w:val="18"/>
              </w:rPr>
            </w:pPr>
          </w:p>
        </w:tc>
        <w:tc>
          <w:tcPr>
            <w:tcW w:w="701" w:type="dxa"/>
          </w:tcPr>
          <w:p>
            <w:pPr>
              <w:ind w:right="-29"/>
              <w:jc w:val="center"/>
              <w:rPr>
                <w:noProof/>
                <w:sz w:val="18"/>
              </w:rPr>
            </w:pPr>
          </w:p>
        </w:tc>
        <w:tc>
          <w:tcPr>
            <w:tcW w:w="504" w:type="dxa"/>
            <w:tcBorders>
              <w:right w:val="dashSmallGap" w:sz="4" w:space="0" w:color="auto"/>
            </w:tcBorders>
          </w:tcPr>
          <w:p>
            <w:pPr>
              <w:ind w:right="-29"/>
              <w:jc w:val="center"/>
              <w:rPr>
                <w:noProof/>
                <w:sz w:val="18"/>
              </w:rPr>
            </w:pPr>
          </w:p>
        </w:tc>
        <w:tc>
          <w:tcPr>
            <w:tcW w:w="720" w:type="dxa"/>
            <w:tcBorders>
              <w:left w:val="dashSmallGap" w:sz="4" w:space="0" w:color="auto"/>
            </w:tcBorders>
          </w:tcPr>
          <w:p>
            <w:pPr>
              <w:ind w:right="-29"/>
              <w:jc w:val="center"/>
              <w:rPr>
                <w:noProof/>
                <w:sz w:val="18"/>
              </w:rPr>
            </w:pPr>
          </w:p>
        </w:tc>
        <w:tc>
          <w:tcPr>
            <w:tcW w:w="540" w:type="dxa"/>
            <w:tcBorders>
              <w:right w:val="dashSmallGap" w:sz="4" w:space="0" w:color="auto"/>
            </w:tcBorders>
          </w:tcPr>
          <w:p>
            <w:pPr>
              <w:ind w:right="-29"/>
              <w:jc w:val="center"/>
              <w:rPr>
                <w:noProof/>
                <w:sz w:val="18"/>
              </w:rPr>
            </w:pPr>
          </w:p>
        </w:tc>
        <w:tc>
          <w:tcPr>
            <w:tcW w:w="720" w:type="dxa"/>
            <w:tcBorders>
              <w:left w:val="dashSmallGap" w:sz="4" w:space="0" w:color="auto"/>
            </w:tcBorders>
          </w:tcPr>
          <w:p>
            <w:pPr>
              <w:ind w:right="-29"/>
              <w:jc w:val="center"/>
              <w:rPr>
                <w:noProof/>
                <w:sz w:val="18"/>
              </w:rPr>
            </w:pPr>
          </w:p>
        </w:tc>
        <w:tc>
          <w:tcPr>
            <w:tcW w:w="720" w:type="dxa"/>
            <w:tcBorders>
              <w:right w:val="dashSmallGap" w:sz="4" w:space="0" w:color="auto"/>
            </w:tcBorders>
          </w:tcPr>
          <w:p>
            <w:pPr>
              <w:ind w:right="-29"/>
              <w:jc w:val="center"/>
              <w:rPr>
                <w:noProof/>
                <w:sz w:val="18"/>
              </w:rPr>
            </w:pPr>
          </w:p>
        </w:tc>
        <w:tc>
          <w:tcPr>
            <w:tcW w:w="720" w:type="dxa"/>
            <w:tcBorders>
              <w:left w:val="dashSmallGap" w:sz="4" w:space="0" w:color="auto"/>
            </w:tcBorders>
          </w:tcPr>
          <w:p>
            <w:pPr>
              <w:ind w:right="-29"/>
              <w:jc w:val="center"/>
              <w:rPr>
                <w:noProof/>
                <w:sz w:val="18"/>
              </w:rPr>
            </w:pPr>
          </w:p>
        </w:tc>
        <w:tc>
          <w:tcPr>
            <w:tcW w:w="900" w:type="dxa"/>
            <w:tcBorders>
              <w:right w:val="dashSmallGap" w:sz="4" w:space="0" w:color="auto"/>
            </w:tcBorders>
          </w:tcPr>
          <w:p>
            <w:pPr>
              <w:ind w:right="-29"/>
              <w:jc w:val="center"/>
              <w:rPr>
                <w:noProof/>
                <w:sz w:val="18"/>
              </w:rPr>
            </w:pPr>
          </w:p>
        </w:tc>
        <w:tc>
          <w:tcPr>
            <w:tcW w:w="720" w:type="dxa"/>
            <w:gridSpan w:val="2"/>
            <w:tcBorders>
              <w:left w:val="dashSmallGap" w:sz="4" w:space="0" w:color="auto"/>
            </w:tcBorders>
          </w:tcPr>
          <w:p>
            <w:pPr>
              <w:ind w:right="-29"/>
              <w:jc w:val="center"/>
              <w:rPr>
                <w:noProof/>
                <w:sz w:val="18"/>
              </w:rPr>
            </w:pPr>
          </w:p>
        </w:tc>
        <w:tc>
          <w:tcPr>
            <w:tcW w:w="540" w:type="dxa"/>
            <w:tcBorders>
              <w:right w:val="dashSmallGap" w:sz="4" w:space="0" w:color="auto"/>
            </w:tcBorders>
          </w:tcPr>
          <w:p>
            <w:pPr>
              <w:ind w:right="-29"/>
              <w:jc w:val="center"/>
              <w:rPr>
                <w:noProof/>
                <w:sz w:val="18"/>
              </w:rPr>
            </w:pPr>
          </w:p>
        </w:tc>
        <w:tc>
          <w:tcPr>
            <w:tcW w:w="648" w:type="dxa"/>
            <w:tcBorders>
              <w:left w:val="dashSmallGap" w:sz="4" w:space="0" w:color="auto"/>
            </w:tcBorders>
          </w:tcPr>
          <w:p>
            <w:pPr>
              <w:ind w:right="-29"/>
              <w:jc w:val="center"/>
              <w:rPr>
                <w:noProof/>
                <w:sz w:val="18"/>
              </w:rPr>
            </w:pPr>
          </w:p>
        </w:tc>
        <w:tc>
          <w:tcPr>
            <w:tcW w:w="432" w:type="dxa"/>
            <w:tcBorders>
              <w:right w:val="dashSmallGap" w:sz="4" w:space="0" w:color="auto"/>
            </w:tcBorders>
          </w:tcPr>
          <w:p>
            <w:pPr>
              <w:ind w:right="-29"/>
              <w:jc w:val="center"/>
              <w:rPr>
                <w:noProof/>
                <w:sz w:val="18"/>
              </w:rPr>
            </w:pPr>
          </w:p>
        </w:tc>
        <w:tc>
          <w:tcPr>
            <w:tcW w:w="720" w:type="dxa"/>
            <w:tcBorders>
              <w:left w:val="dashSmallGap" w:sz="4" w:space="0" w:color="auto"/>
            </w:tcBorders>
          </w:tcPr>
          <w:p>
            <w:pPr>
              <w:ind w:right="-29"/>
              <w:jc w:val="center"/>
              <w:rPr>
                <w:noProof/>
                <w:sz w:val="18"/>
              </w:rPr>
            </w:pPr>
          </w:p>
        </w:tc>
        <w:tc>
          <w:tcPr>
            <w:tcW w:w="540" w:type="dxa"/>
            <w:tcBorders>
              <w:right w:val="dashSmallGap" w:sz="4" w:space="0" w:color="auto"/>
            </w:tcBorders>
          </w:tcPr>
          <w:p>
            <w:pPr>
              <w:ind w:right="-29"/>
              <w:jc w:val="center"/>
              <w:rPr>
                <w:noProof/>
                <w:sz w:val="18"/>
              </w:rPr>
            </w:pPr>
          </w:p>
        </w:tc>
        <w:tc>
          <w:tcPr>
            <w:tcW w:w="720" w:type="dxa"/>
            <w:tcBorders>
              <w:left w:val="dashSmallGap" w:sz="4" w:space="0" w:color="auto"/>
            </w:tcBorders>
          </w:tcPr>
          <w:p>
            <w:pPr>
              <w:ind w:right="-29"/>
              <w:jc w:val="center"/>
              <w:rPr>
                <w:noProof/>
                <w:sz w:val="18"/>
              </w:rPr>
            </w:pPr>
          </w:p>
        </w:tc>
        <w:tc>
          <w:tcPr>
            <w:tcW w:w="720" w:type="dxa"/>
          </w:tcPr>
          <w:p>
            <w:pPr>
              <w:ind w:right="-29"/>
              <w:jc w:val="center"/>
              <w:rPr>
                <w:noProof/>
                <w:sz w:val="18"/>
              </w:rPr>
            </w:pPr>
          </w:p>
        </w:tc>
        <w:tc>
          <w:tcPr>
            <w:tcW w:w="900" w:type="dxa"/>
          </w:tcPr>
          <w:p>
            <w:pPr>
              <w:ind w:right="-29"/>
              <w:jc w:val="center"/>
              <w:rPr>
                <w:noProof/>
                <w:sz w:val="18"/>
              </w:rPr>
            </w:pPr>
          </w:p>
        </w:tc>
      </w:tr>
      <w:tr>
        <w:trPr>
          <w:trHeight w:hRule="exact" w:val="369"/>
          <w:jc w:val="center"/>
        </w:trPr>
        <w:tc>
          <w:tcPr>
            <w:tcW w:w="1423" w:type="dxa"/>
          </w:tcPr>
          <w:p>
            <w:pPr>
              <w:ind w:right="-29"/>
              <w:jc w:val="center"/>
              <w:rPr>
                <w:noProof/>
                <w:sz w:val="18"/>
              </w:rPr>
            </w:pPr>
            <w:r>
              <w:rPr>
                <w:noProof/>
                <w:sz w:val="18"/>
              </w:rPr>
              <w:t>- Resultado</w:t>
            </w:r>
          </w:p>
        </w:tc>
        <w:tc>
          <w:tcPr>
            <w:tcW w:w="720" w:type="dxa"/>
          </w:tcPr>
          <w:p>
            <w:pPr>
              <w:ind w:right="-29"/>
              <w:jc w:val="center"/>
              <w:rPr>
                <w:noProof/>
                <w:sz w:val="18"/>
              </w:rPr>
            </w:pPr>
          </w:p>
        </w:tc>
        <w:tc>
          <w:tcPr>
            <w:tcW w:w="701" w:type="dxa"/>
          </w:tcPr>
          <w:p>
            <w:pPr>
              <w:ind w:right="-29"/>
              <w:jc w:val="center"/>
              <w:rPr>
                <w:noProof/>
                <w:sz w:val="18"/>
              </w:rPr>
            </w:pPr>
          </w:p>
        </w:tc>
        <w:tc>
          <w:tcPr>
            <w:tcW w:w="504" w:type="dxa"/>
            <w:tcBorders>
              <w:right w:val="dashSmallGap" w:sz="4" w:space="0" w:color="auto"/>
            </w:tcBorders>
          </w:tcPr>
          <w:p>
            <w:pPr>
              <w:ind w:right="-29"/>
              <w:jc w:val="center"/>
              <w:rPr>
                <w:noProof/>
                <w:sz w:val="18"/>
              </w:rPr>
            </w:pPr>
          </w:p>
        </w:tc>
        <w:tc>
          <w:tcPr>
            <w:tcW w:w="720" w:type="dxa"/>
            <w:tcBorders>
              <w:left w:val="dashSmallGap" w:sz="4" w:space="0" w:color="auto"/>
            </w:tcBorders>
          </w:tcPr>
          <w:p>
            <w:pPr>
              <w:ind w:right="-29"/>
              <w:jc w:val="center"/>
              <w:rPr>
                <w:noProof/>
                <w:sz w:val="18"/>
              </w:rPr>
            </w:pPr>
          </w:p>
        </w:tc>
        <w:tc>
          <w:tcPr>
            <w:tcW w:w="540" w:type="dxa"/>
            <w:tcBorders>
              <w:right w:val="dashSmallGap" w:sz="4" w:space="0" w:color="auto"/>
            </w:tcBorders>
          </w:tcPr>
          <w:p>
            <w:pPr>
              <w:ind w:right="-29"/>
              <w:jc w:val="center"/>
              <w:rPr>
                <w:noProof/>
                <w:sz w:val="18"/>
              </w:rPr>
            </w:pPr>
          </w:p>
        </w:tc>
        <w:tc>
          <w:tcPr>
            <w:tcW w:w="720" w:type="dxa"/>
            <w:tcBorders>
              <w:left w:val="dashSmallGap" w:sz="4" w:space="0" w:color="auto"/>
            </w:tcBorders>
          </w:tcPr>
          <w:p>
            <w:pPr>
              <w:ind w:right="-29"/>
              <w:jc w:val="center"/>
              <w:rPr>
                <w:noProof/>
                <w:sz w:val="18"/>
              </w:rPr>
            </w:pPr>
          </w:p>
        </w:tc>
        <w:tc>
          <w:tcPr>
            <w:tcW w:w="720" w:type="dxa"/>
            <w:tcBorders>
              <w:right w:val="dashSmallGap" w:sz="4" w:space="0" w:color="auto"/>
            </w:tcBorders>
          </w:tcPr>
          <w:p>
            <w:pPr>
              <w:ind w:right="-29"/>
              <w:jc w:val="center"/>
              <w:rPr>
                <w:noProof/>
                <w:sz w:val="18"/>
              </w:rPr>
            </w:pPr>
          </w:p>
        </w:tc>
        <w:tc>
          <w:tcPr>
            <w:tcW w:w="720" w:type="dxa"/>
            <w:tcBorders>
              <w:left w:val="dashSmallGap" w:sz="4" w:space="0" w:color="auto"/>
            </w:tcBorders>
          </w:tcPr>
          <w:p>
            <w:pPr>
              <w:ind w:right="-29"/>
              <w:jc w:val="center"/>
              <w:rPr>
                <w:noProof/>
                <w:sz w:val="18"/>
              </w:rPr>
            </w:pPr>
          </w:p>
        </w:tc>
        <w:tc>
          <w:tcPr>
            <w:tcW w:w="900" w:type="dxa"/>
            <w:tcBorders>
              <w:right w:val="dashSmallGap" w:sz="4" w:space="0" w:color="auto"/>
            </w:tcBorders>
          </w:tcPr>
          <w:p>
            <w:pPr>
              <w:ind w:right="-29"/>
              <w:jc w:val="center"/>
              <w:rPr>
                <w:noProof/>
                <w:sz w:val="18"/>
              </w:rPr>
            </w:pPr>
          </w:p>
        </w:tc>
        <w:tc>
          <w:tcPr>
            <w:tcW w:w="720" w:type="dxa"/>
            <w:gridSpan w:val="2"/>
            <w:tcBorders>
              <w:left w:val="dashSmallGap" w:sz="4" w:space="0" w:color="auto"/>
            </w:tcBorders>
          </w:tcPr>
          <w:p>
            <w:pPr>
              <w:ind w:right="-29"/>
              <w:jc w:val="center"/>
              <w:rPr>
                <w:noProof/>
                <w:sz w:val="18"/>
              </w:rPr>
            </w:pPr>
          </w:p>
        </w:tc>
        <w:tc>
          <w:tcPr>
            <w:tcW w:w="540" w:type="dxa"/>
            <w:tcBorders>
              <w:right w:val="dashSmallGap" w:sz="4" w:space="0" w:color="auto"/>
            </w:tcBorders>
          </w:tcPr>
          <w:p>
            <w:pPr>
              <w:ind w:right="-29"/>
              <w:jc w:val="center"/>
              <w:rPr>
                <w:noProof/>
                <w:sz w:val="18"/>
              </w:rPr>
            </w:pPr>
          </w:p>
        </w:tc>
        <w:tc>
          <w:tcPr>
            <w:tcW w:w="648" w:type="dxa"/>
            <w:tcBorders>
              <w:left w:val="dashSmallGap" w:sz="4" w:space="0" w:color="auto"/>
            </w:tcBorders>
          </w:tcPr>
          <w:p>
            <w:pPr>
              <w:ind w:right="-29"/>
              <w:jc w:val="center"/>
              <w:rPr>
                <w:noProof/>
                <w:sz w:val="18"/>
              </w:rPr>
            </w:pPr>
          </w:p>
        </w:tc>
        <w:tc>
          <w:tcPr>
            <w:tcW w:w="432" w:type="dxa"/>
            <w:tcBorders>
              <w:right w:val="dashSmallGap" w:sz="4" w:space="0" w:color="auto"/>
            </w:tcBorders>
          </w:tcPr>
          <w:p>
            <w:pPr>
              <w:ind w:right="-29"/>
              <w:jc w:val="center"/>
              <w:rPr>
                <w:noProof/>
                <w:sz w:val="18"/>
              </w:rPr>
            </w:pPr>
          </w:p>
        </w:tc>
        <w:tc>
          <w:tcPr>
            <w:tcW w:w="720" w:type="dxa"/>
            <w:tcBorders>
              <w:left w:val="dashSmallGap" w:sz="4" w:space="0" w:color="auto"/>
            </w:tcBorders>
          </w:tcPr>
          <w:p>
            <w:pPr>
              <w:ind w:right="-29"/>
              <w:jc w:val="center"/>
              <w:rPr>
                <w:noProof/>
                <w:sz w:val="18"/>
              </w:rPr>
            </w:pPr>
          </w:p>
        </w:tc>
        <w:tc>
          <w:tcPr>
            <w:tcW w:w="540" w:type="dxa"/>
            <w:tcBorders>
              <w:right w:val="dashSmallGap" w:sz="4" w:space="0" w:color="auto"/>
            </w:tcBorders>
          </w:tcPr>
          <w:p>
            <w:pPr>
              <w:ind w:right="-29"/>
              <w:jc w:val="center"/>
              <w:rPr>
                <w:noProof/>
                <w:sz w:val="18"/>
              </w:rPr>
            </w:pPr>
          </w:p>
        </w:tc>
        <w:tc>
          <w:tcPr>
            <w:tcW w:w="720" w:type="dxa"/>
            <w:tcBorders>
              <w:left w:val="dashSmallGap" w:sz="4" w:space="0" w:color="auto"/>
            </w:tcBorders>
          </w:tcPr>
          <w:p>
            <w:pPr>
              <w:ind w:right="-29"/>
              <w:jc w:val="center"/>
              <w:rPr>
                <w:noProof/>
                <w:sz w:val="18"/>
              </w:rPr>
            </w:pPr>
          </w:p>
        </w:tc>
        <w:tc>
          <w:tcPr>
            <w:tcW w:w="720" w:type="dxa"/>
          </w:tcPr>
          <w:p>
            <w:pPr>
              <w:ind w:right="-29"/>
              <w:jc w:val="center"/>
              <w:rPr>
                <w:noProof/>
                <w:sz w:val="18"/>
              </w:rPr>
            </w:pPr>
          </w:p>
        </w:tc>
        <w:tc>
          <w:tcPr>
            <w:tcW w:w="900" w:type="dxa"/>
          </w:tcPr>
          <w:p>
            <w:pPr>
              <w:ind w:right="-29"/>
              <w:jc w:val="center"/>
              <w:rPr>
                <w:noProof/>
                <w:sz w:val="18"/>
              </w:rPr>
            </w:pPr>
          </w:p>
        </w:tc>
      </w:tr>
      <w:tr>
        <w:trPr>
          <w:trHeight w:hRule="exact" w:val="369"/>
          <w:jc w:val="center"/>
        </w:trPr>
        <w:tc>
          <w:tcPr>
            <w:tcW w:w="1423" w:type="dxa"/>
          </w:tcPr>
          <w:p>
            <w:pPr>
              <w:ind w:right="-29"/>
              <w:jc w:val="center"/>
              <w:rPr>
                <w:noProof/>
                <w:sz w:val="18"/>
              </w:rPr>
            </w:pPr>
            <w:r>
              <w:rPr>
                <w:noProof/>
                <w:sz w:val="18"/>
              </w:rPr>
              <w:t>- Resultado</w:t>
            </w:r>
          </w:p>
        </w:tc>
        <w:tc>
          <w:tcPr>
            <w:tcW w:w="720" w:type="dxa"/>
          </w:tcPr>
          <w:p>
            <w:pPr>
              <w:ind w:right="-29"/>
              <w:jc w:val="center"/>
              <w:rPr>
                <w:noProof/>
                <w:sz w:val="18"/>
              </w:rPr>
            </w:pPr>
          </w:p>
        </w:tc>
        <w:tc>
          <w:tcPr>
            <w:tcW w:w="701" w:type="dxa"/>
          </w:tcPr>
          <w:p>
            <w:pPr>
              <w:ind w:right="-29"/>
              <w:jc w:val="center"/>
              <w:rPr>
                <w:noProof/>
                <w:sz w:val="18"/>
              </w:rPr>
            </w:pPr>
          </w:p>
        </w:tc>
        <w:tc>
          <w:tcPr>
            <w:tcW w:w="504" w:type="dxa"/>
          </w:tcPr>
          <w:p>
            <w:pPr>
              <w:ind w:right="-29"/>
              <w:jc w:val="center"/>
              <w:rPr>
                <w:noProof/>
                <w:sz w:val="18"/>
              </w:rPr>
            </w:pPr>
          </w:p>
        </w:tc>
        <w:tc>
          <w:tcPr>
            <w:tcW w:w="720" w:type="dxa"/>
          </w:tcPr>
          <w:p>
            <w:pPr>
              <w:ind w:right="-29"/>
              <w:jc w:val="center"/>
              <w:rPr>
                <w:noProof/>
                <w:sz w:val="18"/>
              </w:rPr>
            </w:pPr>
          </w:p>
        </w:tc>
        <w:tc>
          <w:tcPr>
            <w:tcW w:w="540" w:type="dxa"/>
          </w:tcPr>
          <w:p>
            <w:pPr>
              <w:ind w:right="-29"/>
              <w:jc w:val="center"/>
              <w:rPr>
                <w:noProof/>
                <w:sz w:val="18"/>
              </w:rPr>
            </w:pPr>
          </w:p>
        </w:tc>
        <w:tc>
          <w:tcPr>
            <w:tcW w:w="720" w:type="dxa"/>
          </w:tcPr>
          <w:p>
            <w:pPr>
              <w:ind w:right="-29"/>
              <w:jc w:val="center"/>
              <w:rPr>
                <w:noProof/>
                <w:sz w:val="18"/>
              </w:rPr>
            </w:pPr>
          </w:p>
        </w:tc>
        <w:tc>
          <w:tcPr>
            <w:tcW w:w="720" w:type="dxa"/>
          </w:tcPr>
          <w:p>
            <w:pPr>
              <w:ind w:right="-29"/>
              <w:jc w:val="center"/>
              <w:rPr>
                <w:noProof/>
                <w:sz w:val="18"/>
              </w:rPr>
            </w:pPr>
          </w:p>
        </w:tc>
        <w:tc>
          <w:tcPr>
            <w:tcW w:w="720" w:type="dxa"/>
          </w:tcPr>
          <w:p>
            <w:pPr>
              <w:ind w:right="-29"/>
              <w:jc w:val="center"/>
              <w:rPr>
                <w:noProof/>
                <w:sz w:val="18"/>
              </w:rPr>
            </w:pPr>
          </w:p>
        </w:tc>
        <w:tc>
          <w:tcPr>
            <w:tcW w:w="900" w:type="dxa"/>
          </w:tcPr>
          <w:p>
            <w:pPr>
              <w:ind w:right="-29"/>
              <w:jc w:val="center"/>
              <w:rPr>
                <w:noProof/>
                <w:sz w:val="18"/>
              </w:rPr>
            </w:pPr>
          </w:p>
        </w:tc>
        <w:tc>
          <w:tcPr>
            <w:tcW w:w="720" w:type="dxa"/>
            <w:gridSpan w:val="2"/>
          </w:tcPr>
          <w:p>
            <w:pPr>
              <w:ind w:right="-29"/>
              <w:jc w:val="center"/>
              <w:rPr>
                <w:noProof/>
                <w:sz w:val="18"/>
              </w:rPr>
            </w:pPr>
          </w:p>
        </w:tc>
        <w:tc>
          <w:tcPr>
            <w:tcW w:w="540" w:type="dxa"/>
          </w:tcPr>
          <w:p>
            <w:pPr>
              <w:ind w:right="-29"/>
              <w:jc w:val="center"/>
              <w:rPr>
                <w:noProof/>
                <w:sz w:val="18"/>
              </w:rPr>
            </w:pPr>
          </w:p>
        </w:tc>
        <w:tc>
          <w:tcPr>
            <w:tcW w:w="648" w:type="dxa"/>
          </w:tcPr>
          <w:p>
            <w:pPr>
              <w:ind w:right="-29"/>
              <w:jc w:val="center"/>
              <w:rPr>
                <w:noProof/>
                <w:sz w:val="18"/>
              </w:rPr>
            </w:pPr>
          </w:p>
        </w:tc>
        <w:tc>
          <w:tcPr>
            <w:tcW w:w="432" w:type="dxa"/>
          </w:tcPr>
          <w:p>
            <w:pPr>
              <w:ind w:right="-29"/>
              <w:jc w:val="center"/>
              <w:rPr>
                <w:noProof/>
                <w:sz w:val="18"/>
              </w:rPr>
            </w:pPr>
          </w:p>
        </w:tc>
        <w:tc>
          <w:tcPr>
            <w:tcW w:w="720" w:type="dxa"/>
          </w:tcPr>
          <w:p>
            <w:pPr>
              <w:ind w:right="-29"/>
              <w:jc w:val="center"/>
              <w:rPr>
                <w:noProof/>
                <w:sz w:val="18"/>
              </w:rPr>
            </w:pPr>
          </w:p>
        </w:tc>
        <w:tc>
          <w:tcPr>
            <w:tcW w:w="540" w:type="dxa"/>
          </w:tcPr>
          <w:p>
            <w:pPr>
              <w:ind w:right="-29"/>
              <w:jc w:val="center"/>
              <w:rPr>
                <w:noProof/>
                <w:sz w:val="18"/>
              </w:rPr>
            </w:pPr>
          </w:p>
        </w:tc>
        <w:tc>
          <w:tcPr>
            <w:tcW w:w="720" w:type="dxa"/>
          </w:tcPr>
          <w:p>
            <w:pPr>
              <w:ind w:right="-29"/>
              <w:jc w:val="center"/>
              <w:rPr>
                <w:noProof/>
                <w:sz w:val="18"/>
              </w:rPr>
            </w:pPr>
          </w:p>
        </w:tc>
        <w:tc>
          <w:tcPr>
            <w:tcW w:w="720" w:type="dxa"/>
          </w:tcPr>
          <w:p>
            <w:pPr>
              <w:ind w:right="-29"/>
              <w:jc w:val="center"/>
              <w:rPr>
                <w:noProof/>
                <w:sz w:val="18"/>
              </w:rPr>
            </w:pPr>
          </w:p>
        </w:tc>
        <w:tc>
          <w:tcPr>
            <w:tcW w:w="900" w:type="dxa"/>
          </w:tcPr>
          <w:p>
            <w:pPr>
              <w:ind w:right="-29"/>
              <w:jc w:val="center"/>
              <w:rPr>
                <w:noProof/>
                <w:sz w:val="18"/>
              </w:rPr>
            </w:pPr>
          </w:p>
        </w:tc>
      </w:tr>
      <w:tr>
        <w:trPr>
          <w:jc w:val="center"/>
        </w:trPr>
        <w:tc>
          <w:tcPr>
            <w:tcW w:w="2844" w:type="dxa"/>
            <w:gridSpan w:val="3"/>
            <w:tcBorders>
              <w:bottom w:val="single" w:sz="12" w:space="0" w:color="auto"/>
            </w:tcBorders>
            <w:vAlign w:val="center"/>
          </w:tcPr>
          <w:p>
            <w:pPr>
              <w:ind w:right="-29"/>
              <w:jc w:val="center"/>
              <w:rPr>
                <w:noProof/>
                <w:sz w:val="18"/>
              </w:rPr>
            </w:pPr>
            <w:r>
              <w:rPr>
                <w:noProof/>
                <w:sz w:val="18"/>
              </w:rPr>
              <w:t>Subtotal del objetivo específico n.º 1</w:t>
            </w:r>
          </w:p>
        </w:tc>
        <w:tc>
          <w:tcPr>
            <w:tcW w:w="504" w:type="dxa"/>
            <w:tcBorders>
              <w:bottom w:val="single" w:sz="12" w:space="0" w:color="auto"/>
            </w:tcBorders>
          </w:tcPr>
          <w:p>
            <w:pPr>
              <w:ind w:right="-29"/>
              <w:jc w:val="center"/>
              <w:rPr>
                <w:noProof/>
                <w:sz w:val="18"/>
              </w:rPr>
            </w:pPr>
          </w:p>
        </w:tc>
        <w:tc>
          <w:tcPr>
            <w:tcW w:w="720" w:type="dxa"/>
            <w:tcBorders>
              <w:bottom w:val="single" w:sz="12" w:space="0" w:color="auto"/>
            </w:tcBorders>
          </w:tcPr>
          <w:p>
            <w:pPr>
              <w:ind w:right="-29"/>
              <w:jc w:val="center"/>
              <w:rPr>
                <w:noProof/>
                <w:sz w:val="18"/>
              </w:rPr>
            </w:pPr>
          </w:p>
        </w:tc>
        <w:tc>
          <w:tcPr>
            <w:tcW w:w="540" w:type="dxa"/>
            <w:tcBorders>
              <w:bottom w:val="single" w:sz="12" w:space="0" w:color="auto"/>
            </w:tcBorders>
          </w:tcPr>
          <w:p>
            <w:pPr>
              <w:ind w:right="-29"/>
              <w:jc w:val="center"/>
              <w:rPr>
                <w:noProof/>
                <w:sz w:val="18"/>
              </w:rPr>
            </w:pPr>
          </w:p>
        </w:tc>
        <w:tc>
          <w:tcPr>
            <w:tcW w:w="720" w:type="dxa"/>
            <w:tcBorders>
              <w:bottom w:val="single" w:sz="12" w:space="0" w:color="auto"/>
            </w:tcBorders>
          </w:tcPr>
          <w:p>
            <w:pPr>
              <w:ind w:right="-29"/>
              <w:jc w:val="center"/>
              <w:rPr>
                <w:noProof/>
                <w:sz w:val="18"/>
              </w:rPr>
            </w:pPr>
          </w:p>
        </w:tc>
        <w:tc>
          <w:tcPr>
            <w:tcW w:w="720" w:type="dxa"/>
            <w:tcBorders>
              <w:bottom w:val="single" w:sz="12" w:space="0" w:color="auto"/>
            </w:tcBorders>
          </w:tcPr>
          <w:p>
            <w:pPr>
              <w:ind w:right="-29"/>
              <w:jc w:val="center"/>
              <w:rPr>
                <w:noProof/>
                <w:sz w:val="18"/>
              </w:rPr>
            </w:pPr>
          </w:p>
        </w:tc>
        <w:tc>
          <w:tcPr>
            <w:tcW w:w="720" w:type="dxa"/>
            <w:tcBorders>
              <w:bottom w:val="single" w:sz="12" w:space="0" w:color="auto"/>
            </w:tcBorders>
          </w:tcPr>
          <w:p>
            <w:pPr>
              <w:ind w:right="-29"/>
              <w:jc w:val="center"/>
              <w:rPr>
                <w:noProof/>
                <w:sz w:val="18"/>
              </w:rPr>
            </w:pPr>
          </w:p>
        </w:tc>
        <w:tc>
          <w:tcPr>
            <w:tcW w:w="900" w:type="dxa"/>
            <w:tcBorders>
              <w:bottom w:val="single" w:sz="12" w:space="0" w:color="auto"/>
            </w:tcBorders>
          </w:tcPr>
          <w:p>
            <w:pPr>
              <w:ind w:right="-29"/>
              <w:jc w:val="center"/>
              <w:rPr>
                <w:noProof/>
                <w:sz w:val="18"/>
              </w:rPr>
            </w:pPr>
          </w:p>
        </w:tc>
        <w:tc>
          <w:tcPr>
            <w:tcW w:w="720" w:type="dxa"/>
            <w:gridSpan w:val="2"/>
            <w:tcBorders>
              <w:bottom w:val="single" w:sz="12" w:space="0" w:color="auto"/>
            </w:tcBorders>
          </w:tcPr>
          <w:p>
            <w:pPr>
              <w:ind w:right="-29"/>
              <w:jc w:val="center"/>
              <w:rPr>
                <w:noProof/>
                <w:sz w:val="18"/>
              </w:rPr>
            </w:pPr>
          </w:p>
        </w:tc>
        <w:tc>
          <w:tcPr>
            <w:tcW w:w="540" w:type="dxa"/>
            <w:tcBorders>
              <w:bottom w:val="single" w:sz="12" w:space="0" w:color="auto"/>
            </w:tcBorders>
          </w:tcPr>
          <w:p>
            <w:pPr>
              <w:ind w:right="-29"/>
              <w:jc w:val="center"/>
              <w:rPr>
                <w:noProof/>
                <w:sz w:val="18"/>
              </w:rPr>
            </w:pPr>
          </w:p>
        </w:tc>
        <w:tc>
          <w:tcPr>
            <w:tcW w:w="648" w:type="dxa"/>
            <w:tcBorders>
              <w:bottom w:val="single" w:sz="12" w:space="0" w:color="auto"/>
            </w:tcBorders>
          </w:tcPr>
          <w:p>
            <w:pPr>
              <w:ind w:right="-29"/>
              <w:jc w:val="center"/>
              <w:rPr>
                <w:noProof/>
                <w:sz w:val="18"/>
              </w:rPr>
            </w:pPr>
          </w:p>
        </w:tc>
        <w:tc>
          <w:tcPr>
            <w:tcW w:w="432" w:type="dxa"/>
            <w:tcBorders>
              <w:bottom w:val="single" w:sz="12" w:space="0" w:color="auto"/>
            </w:tcBorders>
          </w:tcPr>
          <w:p>
            <w:pPr>
              <w:ind w:right="-29"/>
              <w:jc w:val="center"/>
              <w:rPr>
                <w:noProof/>
                <w:sz w:val="18"/>
              </w:rPr>
            </w:pPr>
          </w:p>
        </w:tc>
        <w:tc>
          <w:tcPr>
            <w:tcW w:w="720" w:type="dxa"/>
            <w:tcBorders>
              <w:bottom w:val="single" w:sz="12" w:space="0" w:color="auto"/>
            </w:tcBorders>
          </w:tcPr>
          <w:p>
            <w:pPr>
              <w:ind w:right="-29"/>
              <w:jc w:val="center"/>
              <w:rPr>
                <w:noProof/>
                <w:sz w:val="18"/>
              </w:rPr>
            </w:pPr>
          </w:p>
        </w:tc>
        <w:tc>
          <w:tcPr>
            <w:tcW w:w="540" w:type="dxa"/>
            <w:tcBorders>
              <w:bottom w:val="single" w:sz="12" w:space="0" w:color="auto"/>
            </w:tcBorders>
          </w:tcPr>
          <w:p>
            <w:pPr>
              <w:ind w:right="-29"/>
              <w:jc w:val="center"/>
              <w:rPr>
                <w:noProof/>
                <w:sz w:val="18"/>
              </w:rPr>
            </w:pPr>
          </w:p>
        </w:tc>
        <w:tc>
          <w:tcPr>
            <w:tcW w:w="720" w:type="dxa"/>
            <w:tcBorders>
              <w:bottom w:val="single" w:sz="12" w:space="0" w:color="auto"/>
            </w:tcBorders>
          </w:tcPr>
          <w:p>
            <w:pPr>
              <w:ind w:right="-29"/>
              <w:jc w:val="center"/>
              <w:rPr>
                <w:noProof/>
                <w:sz w:val="18"/>
              </w:rPr>
            </w:pPr>
          </w:p>
        </w:tc>
        <w:tc>
          <w:tcPr>
            <w:tcW w:w="720" w:type="dxa"/>
            <w:tcBorders>
              <w:bottom w:val="single" w:sz="12" w:space="0" w:color="auto"/>
            </w:tcBorders>
          </w:tcPr>
          <w:p>
            <w:pPr>
              <w:ind w:right="-29"/>
              <w:jc w:val="center"/>
              <w:rPr>
                <w:noProof/>
                <w:sz w:val="18"/>
              </w:rPr>
            </w:pPr>
          </w:p>
        </w:tc>
        <w:tc>
          <w:tcPr>
            <w:tcW w:w="900" w:type="dxa"/>
            <w:tcBorders>
              <w:bottom w:val="single" w:sz="12" w:space="0" w:color="auto"/>
            </w:tcBorders>
          </w:tcPr>
          <w:p>
            <w:pPr>
              <w:ind w:right="-29"/>
              <w:jc w:val="center"/>
              <w:rPr>
                <w:noProof/>
                <w:sz w:val="18"/>
              </w:rPr>
            </w:pPr>
          </w:p>
        </w:tc>
      </w:tr>
      <w:tr>
        <w:trPr>
          <w:jc w:val="center"/>
        </w:trPr>
        <w:tc>
          <w:tcPr>
            <w:tcW w:w="2844" w:type="dxa"/>
            <w:gridSpan w:val="3"/>
            <w:vAlign w:val="center"/>
          </w:tcPr>
          <w:p>
            <w:pPr>
              <w:spacing w:before="60" w:after="60"/>
              <w:ind w:right="-29"/>
              <w:jc w:val="center"/>
              <w:rPr>
                <w:noProof/>
                <w:sz w:val="18"/>
              </w:rPr>
            </w:pPr>
            <w:r>
              <w:rPr>
                <w:noProof/>
                <w:sz w:val="18"/>
              </w:rPr>
              <w:t>OBJETIVO ESPECÍFICO N.° 2</w:t>
            </w:r>
          </w:p>
        </w:tc>
        <w:tc>
          <w:tcPr>
            <w:tcW w:w="504" w:type="dxa"/>
            <w:tcBorders>
              <w:top w:val="nil"/>
              <w:left w:val="nil"/>
              <w:bottom w:val="nil"/>
              <w:right w:val="nil"/>
            </w:tcBorders>
          </w:tcPr>
          <w:p>
            <w:pPr>
              <w:spacing w:before="60" w:after="60"/>
              <w:ind w:right="-29"/>
              <w:jc w:val="center"/>
              <w:rPr>
                <w:noProof/>
                <w:sz w:val="18"/>
              </w:rPr>
            </w:pPr>
          </w:p>
        </w:tc>
        <w:tc>
          <w:tcPr>
            <w:tcW w:w="720" w:type="dxa"/>
            <w:tcBorders>
              <w:top w:val="nil"/>
              <w:left w:val="nil"/>
              <w:bottom w:val="nil"/>
              <w:right w:val="nil"/>
            </w:tcBorders>
          </w:tcPr>
          <w:p>
            <w:pPr>
              <w:spacing w:before="60" w:after="60"/>
              <w:ind w:right="-29"/>
              <w:jc w:val="center"/>
              <w:rPr>
                <w:noProof/>
                <w:sz w:val="18"/>
              </w:rPr>
            </w:pPr>
          </w:p>
        </w:tc>
        <w:tc>
          <w:tcPr>
            <w:tcW w:w="540" w:type="dxa"/>
            <w:tcBorders>
              <w:top w:val="nil"/>
              <w:left w:val="nil"/>
              <w:bottom w:val="nil"/>
              <w:right w:val="nil"/>
            </w:tcBorders>
          </w:tcPr>
          <w:p>
            <w:pPr>
              <w:spacing w:before="60" w:after="60"/>
              <w:ind w:right="-29"/>
              <w:jc w:val="center"/>
              <w:rPr>
                <w:noProof/>
                <w:sz w:val="18"/>
              </w:rPr>
            </w:pPr>
          </w:p>
        </w:tc>
        <w:tc>
          <w:tcPr>
            <w:tcW w:w="720" w:type="dxa"/>
            <w:tcBorders>
              <w:top w:val="nil"/>
              <w:left w:val="nil"/>
              <w:bottom w:val="nil"/>
              <w:right w:val="nil"/>
            </w:tcBorders>
          </w:tcPr>
          <w:p>
            <w:pPr>
              <w:spacing w:before="60" w:after="60"/>
              <w:ind w:right="-29"/>
              <w:jc w:val="center"/>
              <w:rPr>
                <w:noProof/>
                <w:sz w:val="18"/>
              </w:rPr>
            </w:pPr>
          </w:p>
        </w:tc>
        <w:tc>
          <w:tcPr>
            <w:tcW w:w="720" w:type="dxa"/>
            <w:tcBorders>
              <w:top w:val="nil"/>
              <w:left w:val="nil"/>
              <w:bottom w:val="nil"/>
              <w:right w:val="nil"/>
            </w:tcBorders>
          </w:tcPr>
          <w:p>
            <w:pPr>
              <w:spacing w:before="60" w:after="60"/>
              <w:ind w:right="-29"/>
              <w:jc w:val="center"/>
              <w:rPr>
                <w:noProof/>
                <w:sz w:val="18"/>
              </w:rPr>
            </w:pPr>
          </w:p>
        </w:tc>
        <w:tc>
          <w:tcPr>
            <w:tcW w:w="720" w:type="dxa"/>
            <w:tcBorders>
              <w:top w:val="nil"/>
              <w:left w:val="nil"/>
              <w:bottom w:val="nil"/>
              <w:right w:val="nil"/>
            </w:tcBorders>
          </w:tcPr>
          <w:p>
            <w:pPr>
              <w:spacing w:before="60" w:after="60"/>
              <w:ind w:right="-29"/>
              <w:jc w:val="center"/>
              <w:rPr>
                <w:noProof/>
                <w:sz w:val="18"/>
              </w:rPr>
            </w:pPr>
          </w:p>
        </w:tc>
        <w:tc>
          <w:tcPr>
            <w:tcW w:w="900" w:type="dxa"/>
            <w:tcBorders>
              <w:top w:val="nil"/>
              <w:left w:val="nil"/>
              <w:bottom w:val="nil"/>
              <w:right w:val="nil"/>
            </w:tcBorders>
          </w:tcPr>
          <w:p>
            <w:pPr>
              <w:spacing w:before="60" w:after="60"/>
              <w:ind w:right="-29"/>
              <w:jc w:val="center"/>
              <w:rPr>
                <w:noProof/>
                <w:sz w:val="18"/>
              </w:rPr>
            </w:pPr>
          </w:p>
        </w:tc>
        <w:tc>
          <w:tcPr>
            <w:tcW w:w="720" w:type="dxa"/>
            <w:gridSpan w:val="2"/>
            <w:tcBorders>
              <w:top w:val="nil"/>
              <w:left w:val="nil"/>
              <w:bottom w:val="nil"/>
              <w:right w:val="nil"/>
            </w:tcBorders>
          </w:tcPr>
          <w:p>
            <w:pPr>
              <w:spacing w:before="60" w:after="60"/>
              <w:ind w:right="-29"/>
              <w:jc w:val="center"/>
              <w:rPr>
                <w:noProof/>
                <w:sz w:val="18"/>
              </w:rPr>
            </w:pPr>
          </w:p>
        </w:tc>
        <w:tc>
          <w:tcPr>
            <w:tcW w:w="540" w:type="dxa"/>
            <w:tcBorders>
              <w:top w:val="nil"/>
              <w:left w:val="nil"/>
              <w:bottom w:val="nil"/>
              <w:right w:val="nil"/>
            </w:tcBorders>
          </w:tcPr>
          <w:p>
            <w:pPr>
              <w:spacing w:before="60" w:after="60"/>
              <w:ind w:right="-29"/>
              <w:jc w:val="center"/>
              <w:rPr>
                <w:noProof/>
                <w:sz w:val="18"/>
              </w:rPr>
            </w:pPr>
          </w:p>
        </w:tc>
        <w:tc>
          <w:tcPr>
            <w:tcW w:w="648" w:type="dxa"/>
            <w:tcBorders>
              <w:top w:val="nil"/>
              <w:left w:val="nil"/>
              <w:bottom w:val="nil"/>
              <w:right w:val="nil"/>
            </w:tcBorders>
          </w:tcPr>
          <w:p>
            <w:pPr>
              <w:spacing w:before="60" w:after="60"/>
              <w:ind w:right="-29"/>
              <w:jc w:val="center"/>
              <w:rPr>
                <w:noProof/>
                <w:sz w:val="18"/>
              </w:rPr>
            </w:pPr>
          </w:p>
        </w:tc>
        <w:tc>
          <w:tcPr>
            <w:tcW w:w="432" w:type="dxa"/>
            <w:tcBorders>
              <w:top w:val="nil"/>
              <w:left w:val="nil"/>
              <w:bottom w:val="nil"/>
              <w:right w:val="nil"/>
            </w:tcBorders>
          </w:tcPr>
          <w:p>
            <w:pPr>
              <w:spacing w:before="60" w:after="60"/>
              <w:ind w:right="-29"/>
              <w:jc w:val="center"/>
              <w:rPr>
                <w:noProof/>
                <w:sz w:val="18"/>
              </w:rPr>
            </w:pPr>
          </w:p>
        </w:tc>
        <w:tc>
          <w:tcPr>
            <w:tcW w:w="720" w:type="dxa"/>
            <w:tcBorders>
              <w:top w:val="nil"/>
              <w:left w:val="nil"/>
              <w:bottom w:val="nil"/>
              <w:right w:val="nil"/>
            </w:tcBorders>
          </w:tcPr>
          <w:p>
            <w:pPr>
              <w:spacing w:before="60" w:after="60"/>
              <w:ind w:right="-29"/>
              <w:jc w:val="center"/>
              <w:rPr>
                <w:noProof/>
                <w:sz w:val="18"/>
              </w:rPr>
            </w:pPr>
          </w:p>
        </w:tc>
        <w:tc>
          <w:tcPr>
            <w:tcW w:w="540" w:type="dxa"/>
            <w:tcBorders>
              <w:top w:val="nil"/>
              <w:left w:val="nil"/>
              <w:bottom w:val="nil"/>
              <w:right w:val="nil"/>
            </w:tcBorders>
          </w:tcPr>
          <w:p>
            <w:pPr>
              <w:spacing w:before="60" w:after="60"/>
              <w:ind w:right="-29"/>
              <w:jc w:val="center"/>
              <w:rPr>
                <w:noProof/>
                <w:sz w:val="18"/>
              </w:rPr>
            </w:pPr>
          </w:p>
        </w:tc>
        <w:tc>
          <w:tcPr>
            <w:tcW w:w="720" w:type="dxa"/>
            <w:tcBorders>
              <w:top w:val="nil"/>
              <w:left w:val="nil"/>
              <w:bottom w:val="nil"/>
              <w:right w:val="nil"/>
            </w:tcBorders>
          </w:tcPr>
          <w:p>
            <w:pPr>
              <w:spacing w:before="60" w:after="60"/>
              <w:ind w:right="-29"/>
              <w:jc w:val="center"/>
              <w:rPr>
                <w:noProof/>
                <w:sz w:val="18"/>
              </w:rPr>
            </w:pPr>
          </w:p>
        </w:tc>
        <w:tc>
          <w:tcPr>
            <w:tcW w:w="720" w:type="dxa"/>
            <w:tcBorders>
              <w:top w:val="nil"/>
              <w:left w:val="nil"/>
              <w:bottom w:val="nil"/>
              <w:right w:val="nil"/>
            </w:tcBorders>
          </w:tcPr>
          <w:p>
            <w:pPr>
              <w:spacing w:before="60" w:after="60"/>
              <w:ind w:right="-29"/>
              <w:jc w:val="center"/>
              <w:rPr>
                <w:noProof/>
                <w:sz w:val="18"/>
              </w:rPr>
            </w:pPr>
          </w:p>
        </w:tc>
        <w:tc>
          <w:tcPr>
            <w:tcW w:w="900" w:type="dxa"/>
            <w:tcBorders>
              <w:top w:val="nil"/>
              <w:left w:val="nil"/>
              <w:bottom w:val="nil"/>
              <w:right w:val="nil"/>
            </w:tcBorders>
          </w:tcPr>
          <w:p>
            <w:pPr>
              <w:spacing w:before="60" w:after="60"/>
              <w:ind w:right="-29"/>
              <w:jc w:val="center"/>
              <w:rPr>
                <w:noProof/>
                <w:sz w:val="18"/>
              </w:rPr>
            </w:pPr>
          </w:p>
        </w:tc>
      </w:tr>
      <w:tr>
        <w:trPr>
          <w:trHeight w:hRule="exact" w:val="369"/>
          <w:jc w:val="center"/>
        </w:trPr>
        <w:tc>
          <w:tcPr>
            <w:tcW w:w="1423" w:type="dxa"/>
          </w:tcPr>
          <w:p>
            <w:pPr>
              <w:ind w:right="-29"/>
              <w:jc w:val="center"/>
              <w:rPr>
                <w:noProof/>
                <w:sz w:val="18"/>
              </w:rPr>
            </w:pPr>
            <w:r>
              <w:rPr>
                <w:noProof/>
                <w:sz w:val="18"/>
              </w:rPr>
              <w:t>- Resultado</w:t>
            </w:r>
          </w:p>
        </w:tc>
        <w:tc>
          <w:tcPr>
            <w:tcW w:w="720" w:type="dxa"/>
          </w:tcPr>
          <w:p>
            <w:pPr>
              <w:ind w:right="-29"/>
              <w:jc w:val="center"/>
              <w:rPr>
                <w:noProof/>
                <w:sz w:val="18"/>
              </w:rPr>
            </w:pPr>
          </w:p>
        </w:tc>
        <w:tc>
          <w:tcPr>
            <w:tcW w:w="701" w:type="dxa"/>
          </w:tcPr>
          <w:p>
            <w:pPr>
              <w:ind w:right="-29"/>
              <w:jc w:val="center"/>
              <w:rPr>
                <w:noProof/>
                <w:sz w:val="18"/>
              </w:rPr>
            </w:pPr>
          </w:p>
        </w:tc>
        <w:tc>
          <w:tcPr>
            <w:tcW w:w="504" w:type="dxa"/>
          </w:tcPr>
          <w:p>
            <w:pPr>
              <w:ind w:right="-29"/>
              <w:jc w:val="center"/>
              <w:rPr>
                <w:noProof/>
                <w:sz w:val="18"/>
              </w:rPr>
            </w:pPr>
          </w:p>
        </w:tc>
        <w:tc>
          <w:tcPr>
            <w:tcW w:w="720" w:type="dxa"/>
          </w:tcPr>
          <w:p>
            <w:pPr>
              <w:ind w:right="-29"/>
              <w:jc w:val="center"/>
              <w:rPr>
                <w:noProof/>
                <w:sz w:val="18"/>
              </w:rPr>
            </w:pPr>
          </w:p>
        </w:tc>
        <w:tc>
          <w:tcPr>
            <w:tcW w:w="540" w:type="dxa"/>
          </w:tcPr>
          <w:p>
            <w:pPr>
              <w:ind w:right="-29"/>
              <w:jc w:val="center"/>
              <w:rPr>
                <w:noProof/>
                <w:sz w:val="18"/>
              </w:rPr>
            </w:pPr>
          </w:p>
        </w:tc>
        <w:tc>
          <w:tcPr>
            <w:tcW w:w="720" w:type="dxa"/>
          </w:tcPr>
          <w:p>
            <w:pPr>
              <w:ind w:right="-29"/>
              <w:jc w:val="center"/>
              <w:rPr>
                <w:noProof/>
                <w:sz w:val="18"/>
              </w:rPr>
            </w:pPr>
          </w:p>
        </w:tc>
        <w:tc>
          <w:tcPr>
            <w:tcW w:w="720" w:type="dxa"/>
          </w:tcPr>
          <w:p>
            <w:pPr>
              <w:ind w:right="-29"/>
              <w:jc w:val="center"/>
              <w:rPr>
                <w:noProof/>
                <w:sz w:val="18"/>
              </w:rPr>
            </w:pPr>
          </w:p>
        </w:tc>
        <w:tc>
          <w:tcPr>
            <w:tcW w:w="720" w:type="dxa"/>
          </w:tcPr>
          <w:p>
            <w:pPr>
              <w:ind w:right="-29"/>
              <w:jc w:val="center"/>
              <w:rPr>
                <w:noProof/>
                <w:sz w:val="18"/>
              </w:rPr>
            </w:pPr>
          </w:p>
        </w:tc>
        <w:tc>
          <w:tcPr>
            <w:tcW w:w="900" w:type="dxa"/>
          </w:tcPr>
          <w:p>
            <w:pPr>
              <w:ind w:right="-29"/>
              <w:jc w:val="center"/>
              <w:rPr>
                <w:noProof/>
                <w:sz w:val="18"/>
              </w:rPr>
            </w:pPr>
          </w:p>
        </w:tc>
        <w:tc>
          <w:tcPr>
            <w:tcW w:w="720" w:type="dxa"/>
            <w:gridSpan w:val="2"/>
          </w:tcPr>
          <w:p>
            <w:pPr>
              <w:ind w:right="-29"/>
              <w:jc w:val="center"/>
              <w:rPr>
                <w:noProof/>
                <w:sz w:val="18"/>
              </w:rPr>
            </w:pPr>
          </w:p>
        </w:tc>
        <w:tc>
          <w:tcPr>
            <w:tcW w:w="540" w:type="dxa"/>
          </w:tcPr>
          <w:p>
            <w:pPr>
              <w:ind w:right="-29"/>
              <w:jc w:val="center"/>
              <w:rPr>
                <w:noProof/>
                <w:sz w:val="18"/>
              </w:rPr>
            </w:pPr>
          </w:p>
        </w:tc>
        <w:tc>
          <w:tcPr>
            <w:tcW w:w="648" w:type="dxa"/>
          </w:tcPr>
          <w:p>
            <w:pPr>
              <w:ind w:right="-29"/>
              <w:jc w:val="center"/>
              <w:rPr>
                <w:noProof/>
                <w:sz w:val="18"/>
              </w:rPr>
            </w:pPr>
          </w:p>
        </w:tc>
        <w:tc>
          <w:tcPr>
            <w:tcW w:w="432" w:type="dxa"/>
          </w:tcPr>
          <w:p>
            <w:pPr>
              <w:ind w:right="-29"/>
              <w:jc w:val="center"/>
              <w:rPr>
                <w:noProof/>
                <w:sz w:val="18"/>
              </w:rPr>
            </w:pPr>
          </w:p>
        </w:tc>
        <w:tc>
          <w:tcPr>
            <w:tcW w:w="720" w:type="dxa"/>
          </w:tcPr>
          <w:p>
            <w:pPr>
              <w:ind w:right="-29"/>
              <w:jc w:val="center"/>
              <w:rPr>
                <w:noProof/>
                <w:sz w:val="18"/>
              </w:rPr>
            </w:pPr>
          </w:p>
        </w:tc>
        <w:tc>
          <w:tcPr>
            <w:tcW w:w="540" w:type="dxa"/>
          </w:tcPr>
          <w:p>
            <w:pPr>
              <w:ind w:right="-29"/>
              <w:jc w:val="center"/>
              <w:rPr>
                <w:noProof/>
                <w:sz w:val="18"/>
              </w:rPr>
            </w:pPr>
          </w:p>
        </w:tc>
        <w:tc>
          <w:tcPr>
            <w:tcW w:w="720" w:type="dxa"/>
          </w:tcPr>
          <w:p>
            <w:pPr>
              <w:ind w:right="-29"/>
              <w:jc w:val="center"/>
              <w:rPr>
                <w:noProof/>
                <w:sz w:val="18"/>
              </w:rPr>
            </w:pPr>
          </w:p>
        </w:tc>
        <w:tc>
          <w:tcPr>
            <w:tcW w:w="720" w:type="dxa"/>
          </w:tcPr>
          <w:p>
            <w:pPr>
              <w:ind w:right="-29"/>
              <w:jc w:val="center"/>
              <w:rPr>
                <w:noProof/>
                <w:sz w:val="18"/>
              </w:rPr>
            </w:pPr>
          </w:p>
        </w:tc>
        <w:tc>
          <w:tcPr>
            <w:tcW w:w="900" w:type="dxa"/>
          </w:tcPr>
          <w:p>
            <w:pPr>
              <w:ind w:right="-29"/>
              <w:jc w:val="center"/>
              <w:rPr>
                <w:noProof/>
                <w:sz w:val="18"/>
              </w:rPr>
            </w:pPr>
          </w:p>
        </w:tc>
      </w:tr>
      <w:tr>
        <w:trPr>
          <w:jc w:val="center"/>
        </w:trPr>
        <w:tc>
          <w:tcPr>
            <w:tcW w:w="2844" w:type="dxa"/>
            <w:gridSpan w:val="3"/>
            <w:tcBorders>
              <w:bottom w:val="single" w:sz="12" w:space="0" w:color="auto"/>
            </w:tcBorders>
            <w:vAlign w:val="center"/>
          </w:tcPr>
          <w:p>
            <w:pPr>
              <w:jc w:val="center"/>
              <w:rPr>
                <w:noProof/>
                <w:sz w:val="18"/>
              </w:rPr>
            </w:pPr>
            <w:r>
              <w:rPr>
                <w:noProof/>
                <w:sz w:val="18"/>
              </w:rPr>
              <w:t>Subtotal del objetivo específico n.º 2</w:t>
            </w:r>
          </w:p>
        </w:tc>
        <w:tc>
          <w:tcPr>
            <w:tcW w:w="504" w:type="dxa"/>
            <w:tcBorders>
              <w:bottom w:val="single" w:sz="12" w:space="0" w:color="auto"/>
            </w:tcBorders>
          </w:tcPr>
          <w:p>
            <w:pPr>
              <w:ind w:right="-29"/>
              <w:jc w:val="center"/>
              <w:rPr>
                <w:noProof/>
                <w:sz w:val="18"/>
              </w:rPr>
            </w:pPr>
          </w:p>
        </w:tc>
        <w:tc>
          <w:tcPr>
            <w:tcW w:w="720" w:type="dxa"/>
            <w:tcBorders>
              <w:bottom w:val="single" w:sz="12" w:space="0" w:color="auto"/>
            </w:tcBorders>
          </w:tcPr>
          <w:p>
            <w:pPr>
              <w:ind w:right="-29"/>
              <w:jc w:val="center"/>
              <w:rPr>
                <w:noProof/>
                <w:sz w:val="18"/>
              </w:rPr>
            </w:pPr>
          </w:p>
        </w:tc>
        <w:tc>
          <w:tcPr>
            <w:tcW w:w="540" w:type="dxa"/>
            <w:tcBorders>
              <w:bottom w:val="single" w:sz="12" w:space="0" w:color="auto"/>
            </w:tcBorders>
          </w:tcPr>
          <w:p>
            <w:pPr>
              <w:ind w:right="-29"/>
              <w:jc w:val="center"/>
              <w:rPr>
                <w:noProof/>
                <w:sz w:val="18"/>
              </w:rPr>
            </w:pPr>
          </w:p>
        </w:tc>
        <w:tc>
          <w:tcPr>
            <w:tcW w:w="720" w:type="dxa"/>
            <w:tcBorders>
              <w:bottom w:val="single" w:sz="12" w:space="0" w:color="auto"/>
            </w:tcBorders>
          </w:tcPr>
          <w:p>
            <w:pPr>
              <w:ind w:right="-29"/>
              <w:jc w:val="center"/>
              <w:rPr>
                <w:noProof/>
                <w:sz w:val="18"/>
              </w:rPr>
            </w:pPr>
          </w:p>
        </w:tc>
        <w:tc>
          <w:tcPr>
            <w:tcW w:w="720" w:type="dxa"/>
            <w:tcBorders>
              <w:bottom w:val="single" w:sz="12" w:space="0" w:color="auto"/>
            </w:tcBorders>
          </w:tcPr>
          <w:p>
            <w:pPr>
              <w:ind w:right="-29"/>
              <w:jc w:val="center"/>
              <w:rPr>
                <w:noProof/>
                <w:sz w:val="18"/>
              </w:rPr>
            </w:pPr>
          </w:p>
        </w:tc>
        <w:tc>
          <w:tcPr>
            <w:tcW w:w="720" w:type="dxa"/>
            <w:tcBorders>
              <w:bottom w:val="single" w:sz="12" w:space="0" w:color="auto"/>
            </w:tcBorders>
          </w:tcPr>
          <w:p>
            <w:pPr>
              <w:ind w:right="-29"/>
              <w:jc w:val="center"/>
              <w:rPr>
                <w:noProof/>
                <w:sz w:val="18"/>
              </w:rPr>
            </w:pPr>
          </w:p>
        </w:tc>
        <w:tc>
          <w:tcPr>
            <w:tcW w:w="951" w:type="dxa"/>
            <w:gridSpan w:val="2"/>
            <w:tcBorders>
              <w:bottom w:val="single" w:sz="12" w:space="0" w:color="auto"/>
            </w:tcBorders>
          </w:tcPr>
          <w:p>
            <w:pPr>
              <w:ind w:right="-29"/>
              <w:jc w:val="center"/>
              <w:rPr>
                <w:noProof/>
                <w:sz w:val="18"/>
              </w:rPr>
            </w:pPr>
          </w:p>
        </w:tc>
        <w:tc>
          <w:tcPr>
            <w:tcW w:w="669" w:type="dxa"/>
            <w:tcBorders>
              <w:bottom w:val="single" w:sz="12" w:space="0" w:color="auto"/>
            </w:tcBorders>
          </w:tcPr>
          <w:p>
            <w:pPr>
              <w:ind w:right="-29"/>
              <w:jc w:val="center"/>
              <w:rPr>
                <w:noProof/>
                <w:sz w:val="18"/>
              </w:rPr>
            </w:pPr>
          </w:p>
        </w:tc>
        <w:tc>
          <w:tcPr>
            <w:tcW w:w="540" w:type="dxa"/>
            <w:tcBorders>
              <w:bottom w:val="single" w:sz="12" w:space="0" w:color="auto"/>
            </w:tcBorders>
          </w:tcPr>
          <w:p>
            <w:pPr>
              <w:ind w:right="-29"/>
              <w:jc w:val="center"/>
              <w:rPr>
                <w:noProof/>
                <w:sz w:val="18"/>
              </w:rPr>
            </w:pPr>
          </w:p>
        </w:tc>
        <w:tc>
          <w:tcPr>
            <w:tcW w:w="648" w:type="dxa"/>
            <w:tcBorders>
              <w:bottom w:val="single" w:sz="12" w:space="0" w:color="auto"/>
            </w:tcBorders>
          </w:tcPr>
          <w:p>
            <w:pPr>
              <w:ind w:right="-29"/>
              <w:jc w:val="center"/>
              <w:rPr>
                <w:noProof/>
                <w:sz w:val="18"/>
              </w:rPr>
            </w:pPr>
          </w:p>
        </w:tc>
        <w:tc>
          <w:tcPr>
            <w:tcW w:w="432" w:type="dxa"/>
            <w:tcBorders>
              <w:bottom w:val="single" w:sz="12" w:space="0" w:color="auto"/>
            </w:tcBorders>
          </w:tcPr>
          <w:p>
            <w:pPr>
              <w:ind w:right="-29"/>
              <w:jc w:val="center"/>
              <w:rPr>
                <w:noProof/>
                <w:sz w:val="18"/>
              </w:rPr>
            </w:pPr>
          </w:p>
        </w:tc>
        <w:tc>
          <w:tcPr>
            <w:tcW w:w="720" w:type="dxa"/>
            <w:tcBorders>
              <w:bottom w:val="single" w:sz="12" w:space="0" w:color="auto"/>
            </w:tcBorders>
          </w:tcPr>
          <w:p>
            <w:pPr>
              <w:ind w:right="-29"/>
              <w:jc w:val="center"/>
              <w:rPr>
                <w:noProof/>
                <w:sz w:val="18"/>
              </w:rPr>
            </w:pPr>
          </w:p>
        </w:tc>
        <w:tc>
          <w:tcPr>
            <w:tcW w:w="540" w:type="dxa"/>
            <w:tcBorders>
              <w:bottom w:val="single" w:sz="12" w:space="0" w:color="auto"/>
            </w:tcBorders>
          </w:tcPr>
          <w:p>
            <w:pPr>
              <w:ind w:right="-29"/>
              <w:jc w:val="center"/>
              <w:rPr>
                <w:noProof/>
                <w:sz w:val="18"/>
              </w:rPr>
            </w:pPr>
          </w:p>
        </w:tc>
        <w:tc>
          <w:tcPr>
            <w:tcW w:w="720" w:type="dxa"/>
            <w:tcBorders>
              <w:bottom w:val="single" w:sz="12" w:space="0" w:color="auto"/>
            </w:tcBorders>
          </w:tcPr>
          <w:p>
            <w:pPr>
              <w:ind w:right="-29"/>
              <w:jc w:val="center"/>
              <w:rPr>
                <w:noProof/>
                <w:sz w:val="18"/>
              </w:rPr>
            </w:pPr>
          </w:p>
        </w:tc>
        <w:tc>
          <w:tcPr>
            <w:tcW w:w="720" w:type="dxa"/>
            <w:tcBorders>
              <w:bottom w:val="single" w:sz="12" w:space="0" w:color="auto"/>
            </w:tcBorders>
          </w:tcPr>
          <w:p>
            <w:pPr>
              <w:ind w:right="-29"/>
              <w:jc w:val="center"/>
              <w:rPr>
                <w:noProof/>
                <w:sz w:val="18"/>
              </w:rPr>
            </w:pPr>
          </w:p>
        </w:tc>
        <w:tc>
          <w:tcPr>
            <w:tcW w:w="900" w:type="dxa"/>
            <w:tcBorders>
              <w:bottom w:val="single" w:sz="12" w:space="0" w:color="auto"/>
            </w:tcBorders>
          </w:tcPr>
          <w:p>
            <w:pPr>
              <w:ind w:right="-29"/>
              <w:jc w:val="center"/>
              <w:rPr>
                <w:noProof/>
                <w:sz w:val="18"/>
              </w:rPr>
            </w:pPr>
          </w:p>
        </w:tc>
      </w:tr>
      <w:tr>
        <w:trPr>
          <w:jc w:val="center"/>
        </w:trPr>
        <w:tc>
          <w:tcPr>
            <w:tcW w:w="2844" w:type="dxa"/>
            <w:gridSpan w:val="3"/>
            <w:tcBorders>
              <w:top w:val="single" w:sz="12" w:space="0" w:color="auto"/>
              <w:left w:val="single" w:sz="12" w:space="0" w:color="auto"/>
              <w:bottom w:val="single" w:sz="12" w:space="0" w:color="auto"/>
            </w:tcBorders>
            <w:vAlign w:val="center"/>
          </w:tcPr>
          <w:p>
            <w:pPr>
              <w:ind w:right="-29"/>
              <w:jc w:val="center"/>
              <w:rPr>
                <w:noProof/>
                <w:sz w:val="18"/>
              </w:rPr>
            </w:pPr>
            <w:r>
              <w:rPr>
                <w:b/>
                <w:noProof/>
                <w:sz w:val="18"/>
              </w:rPr>
              <w:t>COSTE TOTAL</w:t>
            </w:r>
          </w:p>
        </w:tc>
        <w:tc>
          <w:tcPr>
            <w:tcW w:w="504" w:type="dxa"/>
            <w:tcBorders>
              <w:top w:val="single" w:sz="12" w:space="0" w:color="auto"/>
              <w:bottom w:val="single" w:sz="12" w:space="0" w:color="auto"/>
            </w:tcBorders>
          </w:tcPr>
          <w:p>
            <w:pPr>
              <w:spacing w:before="180" w:after="180"/>
              <w:ind w:right="-29"/>
              <w:jc w:val="center"/>
              <w:rPr>
                <w:noProof/>
                <w:sz w:val="18"/>
              </w:rPr>
            </w:pPr>
          </w:p>
        </w:tc>
        <w:tc>
          <w:tcPr>
            <w:tcW w:w="720" w:type="dxa"/>
            <w:tcBorders>
              <w:top w:val="single" w:sz="12" w:space="0" w:color="auto"/>
              <w:bottom w:val="single" w:sz="12" w:space="0" w:color="auto"/>
            </w:tcBorders>
          </w:tcPr>
          <w:p>
            <w:pPr>
              <w:spacing w:before="180" w:after="180"/>
              <w:ind w:right="-29"/>
              <w:jc w:val="center"/>
              <w:rPr>
                <w:noProof/>
                <w:sz w:val="18"/>
              </w:rPr>
            </w:pPr>
          </w:p>
        </w:tc>
        <w:tc>
          <w:tcPr>
            <w:tcW w:w="540" w:type="dxa"/>
            <w:tcBorders>
              <w:top w:val="single" w:sz="12" w:space="0" w:color="auto"/>
              <w:bottom w:val="single" w:sz="12" w:space="0" w:color="auto"/>
            </w:tcBorders>
          </w:tcPr>
          <w:p>
            <w:pPr>
              <w:spacing w:before="180" w:after="180"/>
              <w:ind w:right="-29"/>
              <w:jc w:val="center"/>
              <w:rPr>
                <w:noProof/>
                <w:sz w:val="18"/>
              </w:rPr>
            </w:pPr>
          </w:p>
        </w:tc>
        <w:tc>
          <w:tcPr>
            <w:tcW w:w="720" w:type="dxa"/>
            <w:tcBorders>
              <w:top w:val="single" w:sz="12" w:space="0" w:color="auto"/>
              <w:bottom w:val="single" w:sz="12" w:space="0" w:color="auto"/>
            </w:tcBorders>
          </w:tcPr>
          <w:p>
            <w:pPr>
              <w:spacing w:before="180" w:after="180"/>
              <w:ind w:right="-29"/>
              <w:jc w:val="center"/>
              <w:rPr>
                <w:noProof/>
                <w:sz w:val="18"/>
              </w:rPr>
            </w:pPr>
          </w:p>
        </w:tc>
        <w:tc>
          <w:tcPr>
            <w:tcW w:w="720" w:type="dxa"/>
            <w:tcBorders>
              <w:top w:val="single" w:sz="12" w:space="0" w:color="auto"/>
              <w:bottom w:val="single" w:sz="12" w:space="0" w:color="auto"/>
            </w:tcBorders>
          </w:tcPr>
          <w:p>
            <w:pPr>
              <w:spacing w:before="180" w:after="180"/>
              <w:ind w:right="-29"/>
              <w:jc w:val="center"/>
              <w:rPr>
                <w:noProof/>
                <w:sz w:val="18"/>
              </w:rPr>
            </w:pPr>
          </w:p>
        </w:tc>
        <w:tc>
          <w:tcPr>
            <w:tcW w:w="720" w:type="dxa"/>
            <w:tcBorders>
              <w:top w:val="single" w:sz="12" w:space="0" w:color="auto"/>
              <w:bottom w:val="single" w:sz="12" w:space="0" w:color="auto"/>
            </w:tcBorders>
          </w:tcPr>
          <w:p>
            <w:pPr>
              <w:spacing w:before="180" w:after="180"/>
              <w:ind w:right="-29"/>
              <w:jc w:val="center"/>
              <w:rPr>
                <w:noProof/>
                <w:sz w:val="18"/>
              </w:rPr>
            </w:pPr>
          </w:p>
        </w:tc>
        <w:tc>
          <w:tcPr>
            <w:tcW w:w="900" w:type="dxa"/>
            <w:tcBorders>
              <w:top w:val="single" w:sz="12" w:space="0" w:color="auto"/>
              <w:bottom w:val="single" w:sz="12" w:space="0" w:color="auto"/>
            </w:tcBorders>
          </w:tcPr>
          <w:p>
            <w:pPr>
              <w:spacing w:before="180" w:after="180"/>
              <w:ind w:right="-29"/>
              <w:jc w:val="center"/>
              <w:rPr>
                <w:noProof/>
                <w:sz w:val="18"/>
              </w:rPr>
            </w:pPr>
          </w:p>
        </w:tc>
        <w:tc>
          <w:tcPr>
            <w:tcW w:w="720" w:type="dxa"/>
            <w:gridSpan w:val="2"/>
            <w:tcBorders>
              <w:top w:val="single" w:sz="12" w:space="0" w:color="auto"/>
              <w:bottom w:val="single" w:sz="12" w:space="0" w:color="auto"/>
            </w:tcBorders>
          </w:tcPr>
          <w:p>
            <w:pPr>
              <w:spacing w:before="180" w:after="180"/>
              <w:ind w:right="-29"/>
              <w:jc w:val="center"/>
              <w:rPr>
                <w:noProof/>
                <w:sz w:val="18"/>
              </w:rPr>
            </w:pPr>
          </w:p>
        </w:tc>
        <w:tc>
          <w:tcPr>
            <w:tcW w:w="540" w:type="dxa"/>
            <w:tcBorders>
              <w:top w:val="single" w:sz="12" w:space="0" w:color="auto"/>
              <w:bottom w:val="single" w:sz="12" w:space="0" w:color="auto"/>
            </w:tcBorders>
          </w:tcPr>
          <w:p>
            <w:pPr>
              <w:spacing w:before="180" w:after="180"/>
              <w:ind w:right="-29"/>
              <w:jc w:val="center"/>
              <w:rPr>
                <w:noProof/>
                <w:sz w:val="18"/>
              </w:rPr>
            </w:pPr>
          </w:p>
        </w:tc>
        <w:tc>
          <w:tcPr>
            <w:tcW w:w="648" w:type="dxa"/>
            <w:tcBorders>
              <w:top w:val="single" w:sz="12" w:space="0" w:color="auto"/>
              <w:bottom w:val="single" w:sz="12" w:space="0" w:color="auto"/>
            </w:tcBorders>
          </w:tcPr>
          <w:p>
            <w:pPr>
              <w:spacing w:before="180" w:after="180"/>
              <w:ind w:right="-29"/>
              <w:jc w:val="center"/>
              <w:rPr>
                <w:noProof/>
                <w:sz w:val="18"/>
              </w:rPr>
            </w:pPr>
          </w:p>
        </w:tc>
        <w:tc>
          <w:tcPr>
            <w:tcW w:w="432" w:type="dxa"/>
            <w:tcBorders>
              <w:top w:val="single" w:sz="12" w:space="0" w:color="auto"/>
              <w:bottom w:val="single" w:sz="12" w:space="0" w:color="auto"/>
            </w:tcBorders>
          </w:tcPr>
          <w:p>
            <w:pPr>
              <w:spacing w:before="180" w:after="180"/>
              <w:ind w:right="-29"/>
              <w:jc w:val="center"/>
              <w:rPr>
                <w:noProof/>
                <w:sz w:val="18"/>
              </w:rPr>
            </w:pPr>
          </w:p>
        </w:tc>
        <w:tc>
          <w:tcPr>
            <w:tcW w:w="720" w:type="dxa"/>
            <w:tcBorders>
              <w:top w:val="single" w:sz="12" w:space="0" w:color="auto"/>
              <w:bottom w:val="single" w:sz="12" w:space="0" w:color="auto"/>
            </w:tcBorders>
          </w:tcPr>
          <w:p>
            <w:pPr>
              <w:spacing w:before="180" w:after="180"/>
              <w:ind w:right="-29"/>
              <w:jc w:val="center"/>
              <w:rPr>
                <w:noProof/>
                <w:sz w:val="18"/>
              </w:rPr>
            </w:pPr>
          </w:p>
        </w:tc>
        <w:tc>
          <w:tcPr>
            <w:tcW w:w="540" w:type="dxa"/>
            <w:tcBorders>
              <w:top w:val="single" w:sz="12" w:space="0" w:color="auto"/>
              <w:bottom w:val="single" w:sz="12" w:space="0" w:color="auto"/>
            </w:tcBorders>
          </w:tcPr>
          <w:p>
            <w:pPr>
              <w:spacing w:before="180" w:after="180"/>
              <w:ind w:right="-29"/>
              <w:jc w:val="center"/>
              <w:rPr>
                <w:noProof/>
                <w:sz w:val="18"/>
              </w:rPr>
            </w:pPr>
          </w:p>
        </w:tc>
        <w:tc>
          <w:tcPr>
            <w:tcW w:w="720" w:type="dxa"/>
            <w:tcBorders>
              <w:top w:val="single" w:sz="12" w:space="0" w:color="auto"/>
              <w:bottom w:val="single" w:sz="12" w:space="0" w:color="auto"/>
            </w:tcBorders>
          </w:tcPr>
          <w:p>
            <w:pPr>
              <w:spacing w:before="180" w:after="180"/>
              <w:ind w:right="-29"/>
              <w:jc w:val="center"/>
              <w:rPr>
                <w:noProof/>
                <w:sz w:val="18"/>
              </w:rPr>
            </w:pPr>
          </w:p>
        </w:tc>
        <w:tc>
          <w:tcPr>
            <w:tcW w:w="720" w:type="dxa"/>
            <w:tcBorders>
              <w:top w:val="single" w:sz="12" w:space="0" w:color="auto"/>
              <w:bottom w:val="single" w:sz="12" w:space="0" w:color="auto"/>
            </w:tcBorders>
          </w:tcPr>
          <w:p>
            <w:pPr>
              <w:spacing w:before="180" w:after="180"/>
              <w:ind w:right="-29"/>
              <w:jc w:val="center"/>
              <w:rPr>
                <w:noProof/>
                <w:sz w:val="18"/>
              </w:rPr>
            </w:pPr>
          </w:p>
        </w:tc>
        <w:tc>
          <w:tcPr>
            <w:tcW w:w="900" w:type="dxa"/>
            <w:tcBorders>
              <w:top w:val="single" w:sz="12" w:space="0" w:color="auto"/>
              <w:bottom w:val="single" w:sz="12" w:space="0" w:color="auto"/>
              <w:right w:val="single" w:sz="12" w:space="0" w:color="auto"/>
            </w:tcBorders>
          </w:tcPr>
          <w:p>
            <w:pPr>
              <w:spacing w:before="180" w:after="180"/>
              <w:ind w:right="-29"/>
              <w:jc w:val="center"/>
              <w:rPr>
                <w:noProof/>
                <w:sz w:val="18"/>
              </w:rPr>
            </w:pPr>
          </w:p>
        </w:tc>
      </w:tr>
    </w:tbl>
    <w:p>
      <w:pPr>
        <w:rPr>
          <w:noProof/>
        </w:rPr>
        <w:sectPr>
          <w:headerReference w:type="default" r:id="rId22"/>
          <w:footerReference w:type="default" r:id="rId23"/>
          <w:headerReference w:type="first" r:id="rId24"/>
          <w:footerReference w:type="first" r:id="rId25"/>
          <w:pgSz w:w="15840" w:h="12240" w:orient="landscape"/>
          <w:pgMar w:top="1418" w:right="902" w:bottom="902" w:left="567" w:header="709" w:footer="709" w:gutter="0"/>
          <w:cols w:space="720"/>
          <w:docGrid w:linePitch="326"/>
        </w:sectPr>
      </w:pPr>
    </w:p>
    <w:p>
      <w:pPr>
        <w:pStyle w:val="ManualHeading3"/>
        <w:rPr>
          <w:noProof/>
        </w:rPr>
      </w:pPr>
      <w:bookmarkStart w:id="59" w:name="_Toc514938688"/>
      <w:bookmarkStart w:id="60" w:name="_Toc524270811"/>
      <w:r>
        <w:t>3.2.3.</w:t>
      </w:r>
      <w:r>
        <w:tab/>
      </w:r>
      <w:r>
        <w:rPr>
          <w:noProof/>
        </w:rPr>
        <w:t>Incidencia estimada en los recursos humanos de la Autoridad</w:t>
      </w:r>
      <w:bookmarkEnd w:id="59"/>
      <w:bookmarkEnd w:id="60"/>
      <w:r>
        <w:rPr>
          <w:noProof/>
        </w:rPr>
        <w:t xml:space="preserve"> </w:t>
      </w:r>
    </w:p>
    <w:p>
      <w:pPr>
        <w:pStyle w:val="Text1"/>
        <w:rPr>
          <w:noProof/>
        </w:rPr>
      </w:pPr>
      <w:r>
        <w:rPr>
          <w:noProof/>
        </w:rPr>
        <w:t xml:space="preserve">Los recursos indicados a continuación son los mismos que los expuestos en la sección 3.2.1; se repiten aquí en aras de la claridad de que todos los recursos afectados están destinados a la Autoridad. </w:t>
      </w:r>
    </w:p>
    <w:p>
      <w:pPr>
        <w:pStyle w:val="ManualHeading4"/>
        <w:rPr>
          <w:bCs/>
          <w:noProof/>
          <w:szCs w:val="24"/>
        </w:rPr>
      </w:pPr>
      <w:r>
        <w:t>3.2.3.1.</w:t>
      </w:r>
      <w:r>
        <w:tab/>
      </w:r>
      <w:r>
        <w:rPr>
          <w:noProof/>
        </w:rPr>
        <w:t xml:space="preserve">Resumen </w:t>
      </w:r>
    </w:p>
    <w:p>
      <w:pPr>
        <w:pStyle w:val="ListDash1"/>
        <w:rPr>
          <w:noProof/>
        </w:rPr>
      </w:pPr>
      <w:r>
        <w:rPr>
          <w:noProof/>
        </w:rPr>
        <w:sym w:font="Wingdings" w:char="F0A8"/>
      </w:r>
      <w:r>
        <w:rPr>
          <w:noProof/>
        </w:rPr>
        <w:tab/>
        <w:t xml:space="preserve">La propuesta/iniciativa no exige la utilización de créditos administrativos. </w:t>
      </w:r>
    </w:p>
    <w:p>
      <w:pPr>
        <w:pStyle w:val="ListDash1"/>
        <w:rPr>
          <w:noProof/>
        </w:rPr>
      </w:pPr>
      <w:r>
        <w:rPr>
          <w:noProof/>
        </w:rPr>
        <w:t>X</w:t>
      </w:r>
      <w:r>
        <w:rPr>
          <w:noProof/>
        </w:rPr>
        <w:tab/>
        <w:t>La propuesta/iniciativa exige la utilización de créditos administrativos, tal como se explica a continuación:</w:t>
      </w:r>
    </w:p>
    <w:p>
      <w:pPr>
        <w:rPr>
          <w:noProof/>
          <w:sz w:val="20"/>
        </w:rPr>
      </w:pPr>
      <w:r>
        <w:rPr>
          <w:noProof/>
          <w:sz w:val="20"/>
        </w:rPr>
        <w:t>En millones EUR (al tercer decimal)</w:t>
      </w:r>
    </w:p>
    <w:tbl>
      <w:tblPr>
        <w:tblW w:w="0" w:type="auto"/>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3240"/>
        <w:gridCol w:w="1080"/>
      </w:tblGrid>
      <w:tr>
        <w:trPr>
          <w:trHeight w:val="585"/>
        </w:trPr>
        <w:tc>
          <w:tcPr>
            <w:tcW w:w="1980" w:type="dxa"/>
          </w:tcPr>
          <w:p>
            <w:pPr>
              <w:spacing w:before="60" w:after="60"/>
              <w:rPr>
                <w:noProof/>
                <w:sz w:val="20"/>
              </w:rPr>
            </w:pPr>
          </w:p>
        </w:tc>
        <w:tc>
          <w:tcPr>
            <w:tcW w:w="1080" w:type="dxa"/>
            <w:vAlign w:val="center"/>
          </w:tcPr>
          <w:p>
            <w:pPr>
              <w:spacing w:before="60" w:after="60"/>
              <w:jc w:val="center"/>
              <w:rPr>
                <w:noProof/>
                <w:sz w:val="20"/>
              </w:rPr>
            </w:pPr>
            <w:r>
              <w:rPr>
                <w:noProof/>
                <w:sz w:val="20"/>
              </w:rPr>
              <w:t>Año</w:t>
            </w:r>
            <w:r>
              <w:rPr>
                <w:noProof/>
                <w:sz w:val="22"/>
              </w:rPr>
              <w:br/>
            </w:r>
            <w:r>
              <w:rPr>
                <w:b/>
                <w:noProof/>
                <w:sz w:val="20"/>
              </w:rPr>
              <w:t>N</w:t>
            </w:r>
            <w:r>
              <w:rPr>
                <w:rStyle w:val="FootnoteReference"/>
                <w:b/>
                <w:noProof/>
                <w:sz w:val="20"/>
              </w:rPr>
              <w:footnoteReference w:id="27"/>
            </w:r>
          </w:p>
        </w:tc>
        <w:tc>
          <w:tcPr>
            <w:tcW w:w="1080" w:type="dxa"/>
            <w:vAlign w:val="center"/>
          </w:tcPr>
          <w:p>
            <w:pPr>
              <w:spacing w:before="60" w:after="60"/>
              <w:jc w:val="center"/>
              <w:rPr>
                <w:noProof/>
                <w:sz w:val="20"/>
              </w:rPr>
            </w:pPr>
            <w:r>
              <w:rPr>
                <w:noProof/>
                <w:sz w:val="20"/>
              </w:rPr>
              <w:t>Año</w:t>
            </w:r>
            <w:r>
              <w:rPr>
                <w:noProof/>
                <w:sz w:val="22"/>
              </w:rPr>
              <w:br/>
            </w:r>
            <w:r>
              <w:rPr>
                <w:b/>
                <w:noProof/>
                <w:sz w:val="20"/>
              </w:rPr>
              <w:t>N+1</w:t>
            </w:r>
          </w:p>
        </w:tc>
        <w:tc>
          <w:tcPr>
            <w:tcW w:w="1080" w:type="dxa"/>
            <w:vAlign w:val="center"/>
          </w:tcPr>
          <w:p>
            <w:pPr>
              <w:spacing w:before="60" w:after="60"/>
              <w:jc w:val="center"/>
              <w:rPr>
                <w:noProof/>
                <w:sz w:val="20"/>
              </w:rPr>
            </w:pPr>
            <w:r>
              <w:rPr>
                <w:noProof/>
                <w:sz w:val="20"/>
              </w:rPr>
              <w:t>Año</w:t>
            </w:r>
            <w:r>
              <w:rPr>
                <w:noProof/>
                <w:sz w:val="22"/>
              </w:rPr>
              <w:br/>
            </w:r>
            <w:r>
              <w:rPr>
                <w:b/>
                <w:noProof/>
                <w:sz w:val="20"/>
              </w:rPr>
              <w:t>N+2</w:t>
            </w:r>
          </w:p>
        </w:tc>
        <w:tc>
          <w:tcPr>
            <w:tcW w:w="1080" w:type="dxa"/>
            <w:vAlign w:val="center"/>
          </w:tcPr>
          <w:p>
            <w:pPr>
              <w:spacing w:before="60" w:after="60"/>
              <w:jc w:val="center"/>
              <w:rPr>
                <w:noProof/>
                <w:sz w:val="20"/>
              </w:rPr>
            </w:pPr>
            <w:r>
              <w:rPr>
                <w:noProof/>
                <w:sz w:val="20"/>
              </w:rPr>
              <w:t>Año</w:t>
            </w:r>
            <w:r>
              <w:rPr>
                <w:noProof/>
                <w:sz w:val="22"/>
              </w:rPr>
              <w:br/>
            </w:r>
            <w:r>
              <w:rPr>
                <w:b/>
                <w:noProof/>
                <w:sz w:val="20"/>
              </w:rPr>
              <w:t>N+3</w:t>
            </w:r>
          </w:p>
        </w:tc>
        <w:tc>
          <w:tcPr>
            <w:tcW w:w="3240" w:type="dxa"/>
            <w:vAlign w:val="center"/>
          </w:tcPr>
          <w:p>
            <w:pPr>
              <w:jc w:val="center"/>
              <w:rPr>
                <w:b/>
                <w:noProof/>
                <w:sz w:val="20"/>
              </w:rPr>
            </w:pPr>
            <w:r>
              <w:rPr>
                <w:noProof/>
                <w:sz w:val="20"/>
              </w:rPr>
              <w:t>Insértense tantos años como sea necesario para reflejar la duración de la incidencia (véase el punto 1.6)</w:t>
            </w:r>
          </w:p>
        </w:tc>
        <w:tc>
          <w:tcPr>
            <w:tcW w:w="1080" w:type="dxa"/>
            <w:vAlign w:val="center"/>
          </w:tcPr>
          <w:p>
            <w:pPr>
              <w:spacing w:before="60" w:after="60"/>
              <w:jc w:val="center"/>
              <w:rPr>
                <w:b/>
                <w:noProof/>
                <w:sz w:val="20"/>
              </w:rPr>
            </w:pPr>
            <w:r>
              <w:rPr>
                <w:b/>
                <w:noProof/>
                <w:sz w:val="20"/>
              </w:rPr>
              <w:t>TOTAL</w:t>
            </w:r>
          </w:p>
        </w:tc>
      </w:tr>
    </w:tbl>
    <w:p>
      <w:pPr>
        <w:rPr>
          <w:noProof/>
          <w:sz w:val="20"/>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D9D9D9" w:themeFill="background1" w:themeFillShade="D9"/>
            <w:vAlign w:val="center"/>
          </w:tcPr>
          <w:p>
            <w:pPr>
              <w:spacing w:before="60" w:after="60"/>
              <w:jc w:val="center"/>
              <w:rPr>
                <w:noProof/>
              </w:rPr>
            </w:pPr>
            <w:r>
              <w:rPr>
                <w:noProof/>
                <w:sz w:val="18"/>
              </w:rPr>
              <w:t>Funcionarios/agentes temporales (Categoría AD)</w:t>
            </w:r>
          </w:p>
        </w:tc>
        <w:tc>
          <w:tcPr>
            <w:tcW w:w="1080" w:type="dxa"/>
            <w:vAlign w:val="center"/>
          </w:tcPr>
          <w:p>
            <w:pPr>
              <w:spacing w:before="60" w:after="60"/>
              <w:jc w:val="right"/>
              <w:rPr>
                <w:noProof/>
                <w:sz w:val="20"/>
              </w:rPr>
            </w:pPr>
            <w:r>
              <w:rPr>
                <w:noProof/>
                <w:sz w:val="20"/>
              </w:rPr>
              <w:t>0,715</w:t>
            </w:r>
          </w:p>
        </w:tc>
        <w:tc>
          <w:tcPr>
            <w:tcW w:w="1080" w:type="dxa"/>
            <w:vAlign w:val="center"/>
          </w:tcPr>
          <w:p>
            <w:pPr>
              <w:spacing w:before="60" w:after="60"/>
              <w:jc w:val="right"/>
              <w:rPr>
                <w:noProof/>
                <w:sz w:val="20"/>
              </w:rPr>
            </w:pPr>
            <w:r>
              <w:rPr>
                <w:noProof/>
                <w:sz w:val="20"/>
              </w:rPr>
              <w:t>0,715</w:t>
            </w:r>
          </w:p>
        </w:tc>
        <w:tc>
          <w:tcPr>
            <w:tcW w:w="1080" w:type="dxa"/>
            <w:vAlign w:val="center"/>
          </w:tcPr>
          <w:p>
            <w:pPr>
              <w:spacing w:before="60" w:after="60"/>
              <w:jc w:val="right"/>
              <w:rPr>
                <w:noProof/>
                <w:sz w:val="20"/>
              </w:rPr>
            </w:pPr>
            <w:r>
              <w:rPr>
                <w:noProof/>
                <w:sz w:val="20"/>
              </w:rPr>
              <w:t>0,715</w:t>
            </w:r>
          </w:p>
        </w:tc>
        <w:tc>
          <w:tcPr>
            <w:tcW w:w="1080" w:type="dxa"/>
            <w:vAlign w:val="center"/>
          </w:tcPr>
          <w:p>
            <w:pPr>
              <w:spacing w:before="60" w:after="60"/>
              <w:jc w:val="right"/>
              <w:rPr>
                <w:noProof/>
                <w:sz w:val="20"/>
              </w:rPr>
            </w:pPr>
            <w:r>
              <w:rPr>
                <w:noProof/>
                <w:sz w:val="20"/>
              </w:rPr>
              <w:t>0,715</w:t>
            </w:r>
          </w:p>
        </w:tc>
        <w:tc>
          <w:tcPr>
            <w:tcW w:w="1080" w:type="dxa"/>
            <w:vAlign w:val="center"/>
          </w:tcPr>
          <w:p>
            <w:pPr>
              <w:spacing w:before="60" w:after="60"/>
              <w:jc w:val="right"/>
              <w:rPr>
                <w:noProof/>
                <w:sz w:val="20"/>
              </w:rPr>
            </w:pPr>
            <w:r>
              <w:rPr>
                <w:noProof/>
                <w:sz w:val="20"/>
              </w:rPr>
              <w:t>0,715</w:t>
            </w:r>
          </w:p>
        </w:tc>
        <w:tc>
          <w:tcPr>
            <w:tcW w:w="1080" w:type="dxa"/>
            <w:vAlign w:val="center"/>
          </w:tcPr>
          <w:p>
            <w:pPr>
              <w:spacing w:before="60" w:after="60"/>
              <w:jc w:val="right"/>
              <w:rPr>
                <w:noProof/>
                <w:sz w:val="20"/>
              </w:rPr>
            </w:pPr>
            <w:r>
              <w:rPr>
                <w:noProof/>
                <w:sz w:val="20"/>
              </w:rPr>
              <w:t>0,715</w:t>
            </w:r>
          </w:p>
        </w:tc>
        <w:tc>
          <w:tcPr>
            <w:tcW w:w="1080" w:type="dxa"/>
            <w:vAlign w:val="center"/>
          </w:tcPr>
          <w:p>
            <w:pPr>
              <w:spacing w:before="60" w:after="60"/>
              <w:jc w:val="right"/>
              <w:rPr>
                <w:b/>
                <w:noProof/>
                <w:sz w:val="20"/>
              </w:rPr>
            </w:pPr>
            <w:r>
              <w:rPr>
                <w:noProof/>
                <w:sz w:val="20"/>
              </w:rPr>
              <w:t>0,715</w:t>
            </w:r>
          </w:p>
        </w:tc>
        <w:tc>
          <w:tcPr>
            <w:tcW w:w="1080" w:type="dxa"/>
            <w:vAlign w:val="center"/>
          </w:tcPr>
          <w:p>
            <w:pPr>
              <w:spacing w:before="60" w:after="60"/>
              <w:jc w:val="right"/>
              <w:rPr>
                <w:b/>
                <w:noProof/>
                <w:sz w:val="20"/>
              </w:rPr>
            </w:pPr>
            <w:r>
              <w:rPr>
                <w:noProof/>
                <w:sz w:val="20"/>
              </w:rPr>
              <w:t>0,715</w:t>
            </w:r>
          </w:p>
        </w:tc>
      </w:tr>
      <w:tr>
        <w:trPr>
          <w:trHeight w:val="585"/>
        </w:trPr>
        <w:tc>
          <w:tcPr>
            <w:tcW w:w="1980" w:type="dxa"/>
            <w:shd w:val="clear" w:color="auto" w:fill="BFBFBF" w:themeFill="background1" w:themeFillShade="BF"/>
            <w:vAlign w:val="center"/>
          </w:tcPr>
          <w:p>
            <w:pPr>
              <w:spacing w:before="60" w:after="60"/>
              <w:ind w:left="72"/>
              <w:rPr>
                <w:noProof/>
              </w:rPr>
            </w:pPr>
            <w:r>
              <w:rPr>
                <w:noProof/>
                <w:sz w:val="20"/>
              </w:rPr>
              <w:t>Funcionarios/agentes temporales (Categoría AST)</w:t>
            </w:r>
          </w:p>
        </w:tc>
        <w:tc>
          <w:tcPr>
            <w:tcW w:w="1080" w:type="dxa"/>
            <w:vAlign w:val="center"/>
          </w:tcPr>
          <w:p>
            <w:pPr>
              <w:spacing w:before="60" w:after="60"/>
              <w:jc w:val="right"/>
              <w:rPr>
                <w:noProof/>
                <w:sz w:val="20"/>
              </w:rPr>
            </w:pPr>
            <w:r>
              <w:rPr>
                <w:noProof/>
                <w:sz w:val="20"/>
              </w:rPr>
              <w:t>0,715</w:t>
            </w:r>
          </w:p>
        </w:tc>
        <w:tc>
          <w:tcPr>
            <w:tcW w:w="1080" w:type="dxa"/>
            <w:vAlign w:val="center"/>
          </w:tcPr>
          <w:p>
            <w:pPr>
              <w:spacing w:before="60" w:after="60"/>
              <w:jc w:val="right"/>
              <w:rPr>
                <w:noProof/>
                <w:sz w:val="20"/>
              </w:rPr>
            </w:pPr>
            <w:r>
              <w:rPr>
                <w:noProof/>
                <w:sz w:val="20"/>
              </w:rPr>
              <w:t>0,715</w:t>
            </w:r>
          </w:p>
        </w:tc>
        <w:tc>
          <w:tcPr>
            <w:tcW w:w="1080" w:type="dxa"/>
            <w:vAlign w:val="center"/>
          </w:tcPr>
          <w:p>
            <w:pPr>
              <w:spacing w:before="60" w:after="60"/>
              <w:jc w:val="right"/>
              <w:rPr>
                <w:noProof/>
                <w:sz w:val="20"/>
              </w:rPr>
            </w:pPr>
            <w:r>
              <w:rPr>
                <w:noProof/>
                <w:sz w:val="20"/>
              </w:rPr>
              <w:t>0,715</w:t>
            </w:r>
          </w:p>
        </w:tc>
        <w:tc>
          <w:tcPr>
            <w:tcW w:w="1080" w:type="dxa"/>
            <w:vAlign w:val="center"/>
          </w:tcPr>
          <w:p>
            <w:pPr>
              <w:spacing w:before="60" w:after="60"/>
              <w:jc w:val="right"/>
              <w:rPr>
                <w:noProof/>
                <w:sz w:val="20"/>
              </w:rPr>
            </w:pPr>
            <w:r>
              <w:rPr>
                <w:noProof/>
                <w:sz w:val="20"/>
              </w:rPr>
              <w:t>0,715</w:t>
            </w:r>
          </w:p>
        </w:tc>
        <w:tc>
          <w:tcPr>
            <w:tcW w:w="1080" w:type="dxa"/>
            <w:vAlign w:val="center"/>
          </w:tcPr>
          <w:p>
            <w:pPr>
              <w:spacing w:before="60" w:after="60"/>
              <w:jc w:val="right"/>
              <w:rPr>
                <w:noProof/>
                <w:sz w:val="20"/>
              </w:rPr>
            </w:pPr>
            <w:r>
              <w:rPr>
                <w:noProof/>
                <w:sz w:val="20"/>
              </w:rPr>
              <w:t>0,715</w:t>
            </w:r>
          </w:p>
        </w:tc>
        <w:tc>
          <w:tcPr>
            <w:tcW w:w="1080" w:type="dxa"/>
            <w:vAlign w:val="center"/>
          </w:tcPr>
          <w:p>
            <w:pPr>
              <w:spacing w:before="60" w:after="60"/>
              <w:jc w:val="right"/>
              <w:rPr>
                <w:noProof/>
                <w:sz w:val="20"/>
              </w:rPr>
            </w:pPr>
            <w:r>
              <w:rPr>
                <w:noProof/>
                <w:sz w:val="20"/>
              </w:rPr>
              <w:t>0,715</w:t>
            </w:r>
          </w:p>
        </w:tc>
        <w:tc>
          <w:tcPr>
            <w:tcW w:w="1080" w:type="dxa"/>
            <w:vAlign w:val="center"/>
          </w:tcPr>
          <w:p>
            <w:pPr>
              <w:spacing w:before="60" w:after="60"/>
              <w:jc w:val="right"/>
              <w:rPr>
                <w:b/>
                <w:noProof/>
                <w:sz w:val="20"/>
              </w:rPr>
            </w:pPr>
            <w:r>
              <w:rPr>
                <w:noProof/>
                <w:sz w:val="20"/>
              </w:rPr>
              <w:t>0,715</w:t>
            </w:r>
          </w:p>
        </w:tc>
        <w:tc>
          <w:tcPr>
            <w:tcW w:w="1080" w:type="dxa"/>
            <w:vAlign w:val="center"/>
          </w:tcPr>
          <w:p>
            <w:pPr>
              <w:spacing w:before="60" w:after="60"/>
              <w:jc w:val="right"/>
              <w:rPr>
                <w:b/>
                <w:noProof/>
                <w:sz w:val="20"/>
              </w:rPr>
            </w:pPr>
            <w:r>
              <w:rPr>
                <w:noProof/>
                <w:sz w:val="20"/>
              </w:rPr>
              <w:t>0,715</w:t>
            </w:r>
          </w:p>
        </w:tc>
      </w:tr>
      <w:tr>
        <w:trPr>
          <w:trHeight w:val="585"/>
        </w:trPr>
        <w:tc>
          <w:tcPr>
            <w:tcW w:w="1980" w:type="dxa"/>
            <w:shd w:val="clear" w:color="auto" w:fill="BFBFBF" w:themeFill="background1" w:themeFillShade="BF"/>
            <w:vAlign w:val="center"/>
          </w:tcPr>
          <w:p>
            <w:pPr>
              <w:spacing w:before="60" w:after="60"/>
              <w:ind w:left="72"/>
              <w:rPr>
                <w:noProof/>
              </w:rPr>
            </w:pPr>
            <w:r>
              <w:rPr>
                <w:noProof/>
                <w:sz w:val="20"/>
              </w:rPr>
              <w:t>Agentes contractuales</w:t>
            </w:r>
          </w:p>
        </w:tc>
        <w:tc>
          <w:tcPr>
            <w:tcW w:w="1080" w:type="dxa"/>
            <w:shd w:val="clear" w:color="auto" w:fill="BFBFBF" w:themeFill="background1" w:themeFillShade="BF"/>
            <w:vAlign w:val="center"/>
          </w:tcPr>
          <w:p>
            <w:pPr>
              <w:spacing w:before="60" w:after="60"/>
              <w:jc w:val="right"/>
              <w:rPr>
                <w:noProof/>
                <w:sz w:val="20"/>
              </w:rPr>
            </w:pPr>
          </w:p>
        </w:tc>
        <w:tc>
          <w:tcPr>
            <w:tcW w:w="1080" w:type="dxa"/>
            <w:shd w:val="clear" w:color="auto" w:fill="BFBFBF" w:themeFill="background1" w:themeFillShade="BF"/>
            <w:vAlign w:val="center"/>
          </w:tcPr>
          <w:p>
            <w:pPr>
              <w:spacing w:before="60" w:after="60"/>
              <w:jc w:val="right"/>
              <w:rPr>
                <w:noProof/>
                <w:sz w:val="20"/>
              </w:rPr>
            </w:pPr>
          </w:p>
        </w:tc>
        <w:tc>
          <w:tcPr>
            <w:tcW w:w="1080" w:type="dxa"/>
            <w:shd w:val="clear" w:color="auto" w:fill="BFBFBF" w:themeFill="background1" w:themeFillShade="BF"/>
            <w:vAlign w:val="center"/>
          </w:tcPr>
          <w:p>
            <w:pPr>
              <w:spacing w:before="60" w:after="60"/>
              <w:jc w:val="right"/>
              <w:rPr>
                <w:noProof/>
                <w:sz w:val="20"/>
              </w:rPr>
            </w:pPr>
          </w:p>
        </w:tc>
        <w:tc>
          <w:tcPr>
            <w:tcW w:w="1080" w:type="dxa"/>
            <w:shd w:val="clear" w:color="auto" w:fill="BFBFBF" w:themeFill="background1" w:themeFillShade="BF"/>
            <w:vAlign w:val="center"/>
          </w:tcPr>
          <w:p>
            <w:pPr>
              <w:spacing w:before="60" w:after="60"/>
              <w:jc w:val="right"/>
              <w:rPr>
                <w:noProof/>
                <w:sz w:val="20"/>
              </w:rPr>
            </w:pPr>
          </w:p>
        </w:tc>
        <w:tc>
          <w:tcPr>
            <w:tcW w:w="1080" w:type="dxa"/>
            <w:shd w:val="clear" w:color="auto" w:fill="BFBFBF" w:themeFill="background1" w:themeFillShade="BF"/>
            <w:vAlign w:val="center"/>
          </w:tcPr>
          <w:p>
            <w:pPr>
              <w:spacing w:before="60" w:after="60"/>
              <w:jc w:val="right"/>
              <w:rPr>
                <w:noProof/>
                <w:sz w:val="20"/>
              </w:rPr>
            </w:pPr>
          </w:p>
        </w:tc>
        <w:tc>
          <w:tcPr>
            <w:tcW w:w="1080" w:type="dxa"/>
            <w:shd w:val="clear" w:color="auto" w:fill="BFBFBF" w:themeFill="background1" w:themeFillShade="BF"/>
            <w:vAlign w:val="center"/>
          </w:tcPr>
          <w:p>
            <w:pPr>
              <w:spacing w:before="60" w:after="60"/>
              <w:jc w:val="right"/>
              <w:rPr>
                <w:noProof/>
                <w:sz w:val="20"/>
              </w:rPr>
            </w:pPr>
          </w:p>
        </w:tc>
        <w:tc>
          <w:tcPr>
            <w:tcW w:w="1080" w:type="dxa"/>
            <w:shd w:val="clear" w:color="auto" w:fill="BFBFBF" w:themeFill="background1" w:themeFillShade="BF"/>
            <w:vAlign w:val="center"/>
          </w:tcPr>
          <w:p>
            <w:pPr>
              <w:spacing w:before="60" w:after="60"/>
              <w:jc w:val="right"/>
              <w:rPr>
                <w:b/>
                <w:noProof/>
                <w:sz w:val="20"/>
              </w:rPr>
            </w:pPr>
          </w:p>
        </w:tc>
        <w:tc>
          <w:tcPr>
            <w:tcW w:w="1080" w:type="dxa"/>
            <w:shd w:val="clear" w:color="auto" w:fill="BFBFBF" w:themeFill="background1" w:themeFillShade="BF"/>
            <w:vAlign w:val="center"/>
          </w:tcPr>
          <w:p>
            <w:pPr>
              <w:spacing w:before="60" w:after="60"/>
              <w:jc w:val="right"/>
              <w:rPr>
                <w:b/>
                <w:noProof/>
                <w:sz w:val="20"/>
              </w:rPr>
            </w:pPr>
          </w:p>
        </w:tc>
      </w:tr>
      <w:tr>
        <w:trPr>
          <w:trHeight w:val="585"/>
        </w:trPr>
        <w:tc>
          <w:tcPr>
            <w:tcW w:w="1980" w:type="dxa"/>
            <w:shd w:val="clear" w:color="auto" w:fill="CCCCCC"/>
            <w:vAlign w:val="center"/>
          </w:tcPr>
          <w:p>
            <w:pPr>
              <w:spacing w:before="60" w:after="60"/>
              <w:jc w:val="center"/>
              <w:rPr>
                <w:noProof/>
              </w:rPr>
            </w:pPr>
            <w:r>
              <w:rPr>
                <w:noProof/>
                <w:sz w:val="18"/>
              </w:rPr>
              <w:t>Expertos nacionales en comisión de servicio</w:t>
            </w: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b/>
                <w:noProof/>
                <w:sz w:val="20"/>
              </w:rPr>
            </w:pPr>
          </w:p>
        </w:tc>
        <w:tc>
          <w:tcPr>
            <w:tcW w:w="1080" w:type="dxa"/>
            <w:vAlign w:val="center"/>
          </w:tcPr>
          <w:p>
            <w:pPr>
              <w:spacing w:before="60" w:after="60"/>
              <w:jc w:val="right"/>
              <w:rPr>
                <w:b/>
                <w:noProof/>
                <w:sz w:val="20"/>
              </w:rPr>
            </w:pPr>
          </w:p>
        </w:tc>
      </w:tr>
    </w:tbl>
    <w:p>
      <w:pPr>
        <w:rPr>
          <w:noProof/>
          <w:sz w:val="20"/>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pPr>
              <w:spacing w:before="60" w:after="60"/>
              <w:jc w:val="center"/>
              <w:rPr>
                <w:noProof/>
                <w:sz w:val="20"/>
              </w:rPr>
            </w:pPr>
            <w:r>
              <w:rPr>
                <w:b/>
                <w:noProof/>
                <w:sz w:val="20"/>
              </w:rPr>
              <w:t>TOTAL</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rPr>
            </w:pPr>
            <w:r>
              <w:rPr>
                <w:b/>
                <w:noProof/>
                <w:sz w:val="20"/>
              </w:rPr>
              <w:t>1,43</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rPr>
            </w:pPr>
            <w:r>
              <w:rPr>
                <w:b/>
                <w:noProof/>
                <w:sz w:val="20"/>
              </w:rPr>
              <w:t>1,43</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rPr>
            </w:pPr>
            <w:r>
              <w:rPr>
                <w:b/>
                <w:noProof/>
                <w:sz w:val="20"/>
              </w:rPr>
              <w:t>1,43</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rPr>
            </w:pPr>
            <w:r>
              <w:rPr>
                <w:b/>
                <w:noProof/>
                <w:sz w:val="20"/>
              </w:rPr>
              <w:t>1,43</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rPr>
            </w:pPr>
            <w:r>
              <w:rPr>
                <w:b/>
                <w:noProof/>
                <w:sz w:val="20"/>
              </w:rPr>
              <w:t>1,43</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rPr>
            </w:pPr>
            <w:r>
              <w:rPr>
                <w:b/>
                <w:noProof/>
                <w:sz w:val="20"/>
              </w:rPr>
              <w:t>1,43</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rPr>
            </w:pPr>
            <w:r>
              <w:rPr>
                <w:b/>
                <w:noProof/>
                <w:sz w:val="20"/>
              </w:rPr>
              <w:t>1,43</w:t>
            </w:r>
          </w:p>
        </w:tc>
        <w:tc>
          <w:tcPr>
            <w:tcW w:w="1080" w:type="dxa"/>
            <w:tcBorders>
              <w:top w:val="single" w:sz="12" w:space="0" w:color="auto"/>
              <w:left w:val="single" w:sz="2" w:space="0" w:color="auto"/>
              <w:bottom w:val="single" w:sz="12" w:space="0" w:color="auto"/>
              <w:right w:val="single" w:sz="12" w:space="0" w:color="auto"/>
            </w:tcBorders>
            <w:vAlign w:val="center"/>
          </w:tcPr>
          <w:p>
            <w:pPr>
              <w:spacing w:before="60" w:after="60"/>
              <w:jc w:val="right"/>
              <w:rPr>
                <w:b/>
                <w:noProof/>
                <w:sz w:val="20"/>
              </w:rPr>
            </w:pPr>
            <w:r>
              <w:rPr>
                <w:b/>
                <w:noProof/>
                <w:sz w:val="20"/>
              </w:rPr>
              <w:t>10,01</w:t>
            </w:r>
          </w:p>
        </w:tc>
      </w:tr>
    </w:tbl>
    <w:p>
      <w:pPr>
        <w:rPr>
          <w:noProof/>
          <w:u w:val="single"/>
        </w:rPr>
      </w:pPr>
    </w:p>
    <w:p>
      <w:pPr>
        <w:rPr>
          <w:noProof/>
          <w:sz w:val="20"/>
        </w:rPr>
      </w:pPr>
      <w:r>
        <w:rPr>
          <w:noProof/>
          <w:sz w:val="20"/>
        </w:rPr>
        <w:t>Requisitos de personal (ETC):</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tcPr>
          <w:p>
            <w:pPr>
              <w:spacing w:before="60" w:after="60"/>
              <w:rPr>
                <w:noProof/>
                <w:sz w:val="20"/>
              </w:rPr>
            </w:pPr>
          </w:p>
        </w:tc>
        <w:tc>
          <w:tcPr>
            <w:tcW w:w="1080" w:type="dxa"/>
            <w:vAlign w:val="center"/>
          </w:tcPr>
          <w:p>
            <w:pPr>
              <w:spacing w:before="60" w:after="60"/>
              <w:jc w:val="center"/>
              <w:rPr>
                <w:noProof/>
                <w:sz w:val="20"/>
              </w:rPr>
            </w:pPr>
            <w:r>
              <w:rPr>
                <w:noProof/>
                <w:sz w:val="20"/>
              </w:rPr>
              <w:t>Año</w:t>
            </w:r>
            <w:r>
              <w:rPr>
                <w:noProof/>
                <w:sz w:val="22"/>
              </w:rPr>
              <w:br/>
            </w:r>
            <w:r>
              <w:rPr>
                <w:b/>
                <w:noProof/>
                <w:sz w:val="20"/>
              </w:rPr>
              <w:t>N</w:t>
            </w:r>
            <w:r>
              <w:rPr>
                <w:rStyle w:val="FootnoteReference"/>
                <w:b/>
                <w:noProof/>
                <w:sz w:val="20"/>
              </w:rPr>
              <w:footnoteReference w:id="28"/>
            </w:r>
          </w:p>
        </w:tc>
        <w:tc>
          <w:tcPr>
            <w:tcW w:w="1080" w:type="dxa"/>
            <w:vAlign w:val="center"/>
          </w:tcPr>
          <w:p>
            <w:pPr>
              <w:spacing w:before="60" w:after="60"/>
              <w:jc w:val="center"/>
              <w:rPr>
                <w:noProof/>
                <w:sz w:val="20"/>
              </w:rPr>
            </w:pPr>
            <w:r>
              <w:rPr>
                <w:noProof/>
                <w:sz w:val="20"/>
              </w:rPr>
              <w:t>Año</w:t>
            </w:r>
            <w:r>
              <w:rPr>
                <w:noProof/>
                <w:sz w:val="22"/>
              </w:rPr>
              <w:br/>
            </w:r>
            <w:r>
              <w:rPr>
                <w:b/>
                <w:noProof/>
                <w:sz w:val="20"/>
              </w:rPr>
              <w:t>N+1</w:t>
            </w:r>
          </w:p>
        </w:tc>
        <w:tc>
          <w:tcPr>
            <w:tcW w:w="1080" w:type="dxa"/>
            <w:vAlign w:val="center"/>
          </w:tcPr>
          <w:p>
            <w:pPr>
              <w:spacing w:before="60" w:after="60"/>
              <w:jc w:val="center"/>
              <w:rPr>
                <w:noProof/>
                <w:sz w:val="20"/>
              </w:rPr>
            </w:pPr>
            <w:r>
              <w:rPr>
                <w:noProof/>
                <w:sz w:val="20"/>
              </w:rPr>
              <w:t>Año</w:t>
            </w:r>
            <w:r>
              <w:rPr>
                <w:noProof/>
                <w:sz w:val="22"/>
              </w:rPr>
              <w:br/>
            </w:r>
            <w:r>
              <w:rPr>
                <w:b/>
                <w:noProof/>
                <w:sz w:val="20"/>
              </w:rPr>
              <w:t>N+2</w:t>
            </w:r>
          </w:p>
        </w:tc>
        <w:tc>
          <w:tcPr>
            <w:tcW w:w="1080" w:type="dxa"/>
            <w:vAlign w:val="center"/>
          </w:tcPr>
          <w:p>
            <w:pPr>
              <w:spacing w:before="60" w:after="60"/>
              <w:jc w:val="center"/>
              <w:rPr>
                <w:noProof/>
                <w:sz w:val="20"/>
              </w:rPr>
            </w:pPr>
            <w:r>
              <w:rPr>
                <w:noProof/>
                <w:sz w:val="20"/>
              </w:rPr>
              <w:t>Año</w:t>
            </w:r>
            <w:r>
              <w:rPr>
                <w:noProof/>
                <w:sz w:val="22"/>
              </w:rPr>
              <w:br/>
            </w:r>
            <w:r>
              <w:rPr>
                <w:b/>
                <w:noProof/>
                <w:sz w:val="20"/>
              </w:rPr>
              <w:t>N+3</w:t>
            </w:r>
          </w:p>
        </w:tc>
        <w:tc>
          <w:tcPr>
            <w:tcW w:w="3240" w:type="dxa"/>
            <w:gridSpan w:val="3"/>
            <w:vAlign w:val="center"/>
          </w:tcPr>
          <w:p>
            <w:pPr>
              <w:jc w:val="center"/>
              <w:rPr>
                <w:b/>
                <w:noProof/>
                <w:sz w:val="20"/>
              </w:rPr>
            </w:pPr>
            <w:r>
              <w:rPr>
                <w:noProof/>
                <w:sz w:val="20"/>
              </w:rPr>
              <w:t>Insértense tantos años como sea necesario para reflejar la duración de la incidencia (véase el punto 1.6)</w:t>
            </w:r>
          </w:p>
        </w:tc>
        <w:tc>
          <w:tcPr>
            <w:tcW w:w="1080" w:type="dxa"/>
            <w:vAlign w:val="center"/>
          </w:tcPr>
          <w:p>
            <w:pPr>
              <w:spacing w:before="60" w:after="60"/>
              <w:jc w:val="center"/>
              <w:rPr>
                <w:b/>
                <w:noProof/>
                <w:sz w:val="20"/>
              </w:rPr>
            </w:pPr>
            <w:r>
              <w:rPr>
                <w:b/>
                <w:noProof/>
                <w:sz w:val="20"/>
              </w:rPr>
              <w:t>TOTAL</w:t>
            </w:r>
          </w:p>
        </w:tc>
      </w:tr>
      <w:tr>
        <w:trPr>
          <w:trHeight w:val="585"/>
        </w:trPr>
        <w:tc>
          <w:tcPr>
            <w:tcW w:w="1980" w:type="dxa"/>
            <w:shd w:val="clear" w:color="auto" w:fill="D9D9D9" w:themeFill="background1" w:themeFillShade="D9"/>
            <w:vAlign w:val="center"/>
          </w:tcPr>
          <w:p>
            <w:pPr>
              <w:spacing w:before="60" w:after="60"/>
              <w:jc w:val="center"/>
              <w:rPr>
                <w:noProof/>
              </w:rPr>
            </w:pPr>
            <w:r>
              <w:rPr>
                <w:noProof/>
                <w:sz w:val="18"/>
              </w:rPr>
              <w:t>Funcionarios/agentes temporales (Categoría AD)</w:t>
            </w:r>
          </w:p>
        </w:tc>
        <w:tc>
          <w:tcPr>
            <w:tcW w:w="1080" w:type="dxa"/>
            <w:vAlign w:val="center"/>
          </w:tcPr>
          <w:p>
            <w:pPr>
              <w:spacing w:before="60" w:after="60"/>
              <w:jc w:val="right"/>
              <w:rPr>
                <w:noProof/>
                <w:sz w:val="20"/>
              </w:rPr>
            </w:pPr>
            <w:r>
              <w:rPr>
                <w:noProof/>
                <w:sz w:val="20"/>
              </w:rPr>
              <w:t>5</w:t>
            </w:r>
          </w:p>
        </w:tc>
        <w:tc>
          <w:tcPr>
            <w:tcW w:w="1080" w:type="dxa"/>
            <w:vAlign w:val="center"/>
          </w:tcPr>
          <w:p>
            <w:pPr>
              <w:spacing w:before="60" w:after="60"/>
              <w:jc w:val="right"/>
              <w:rPr>
                <w:noProof/>
                <w:sz w:val="20"/>
              </w:rPr>
            </w:pPr>
            <w:r>
              <w:rPr>
                <w:noProof/>
                <w:sz w:val="20"/>
              </w:rPr>
              <w:t>5</w:t>
            </w:r>
          </w:p>
        </w:tc>
        <w:tc>
          <w:tcPr>
            <w:tcW w:w="1080" w:type="dxa"/>
            <w:vAlign w:val="center"/>
          </w:tcPr>
          <w:p>
            <w:pPr>
              <w:spacing w:before="60" w:after="60"/>
              <w:jc w:val="right"/>
              <w:rPr>
                <w:noProof/>
                <w:sz w:val="20"/>
              </w:rPr>
            </w:pPr>
            <w:r>
              <w:rPr>
                <w:noProof/>
                <w:sz w:val="20"/>
              </w:rPr>
              <w:t>5</w:t>
            </w:r>
          </w:p>
        </w:tc>
        <w:tc>
          <w:tcPr>
            <w:tcW w:w="1080" w:type="dxa"/>
            <w:vAlign w:val="center"/>
          </w:tcPr>
          <w:p>
            <w:pPr>
              <w:spacing w:before="60" w:after="60"/>
              <w:jc w:val="right"/>
              <w:rPr>
                <w:noProof/>
                <w:sz w:val="20"/>
              </w:rPr>
            </w:pPr>
            <w:r>
              <w:rPr>
                <w:noProof/>
                <w:sz w:val="20"/>
              </w:rPr>
              <w:t>5</w:t>
            </w:r>
          </w:p>
        </w:tc>
        <w:tc>
          <w:tcPr>
            <w:tcW w:w="1080" w:type="dxa"/>
            <w:vAlign w:val="center"/>
          </w:tcPr>
          <w:p>
            <w:pPr>
              <w:spacing w:before="60" w:after="60"/>
              <w:jc w:val="right"/>
              <w:rPr>
                <w:noProof/>
                <w:sz w:val="20"/>
              </w:rPr>
            </w:pPr>
            <w:r>
              <w:rPr>
                <w:noProof/>
                <w:sz w:val="20"/>
              </w:rPr>
              <w:t>5</w:t>
            </w:r>
          </w:p>
        </w:tc>
        <w:tc>
          <w:tcPr>
            <w:tcW w:w="1080" w:type="dxa"/>
            <w:vAlign w:val="center"/>
          </w:tcPr>
          <w:p>
            <w:pPr>
              <w:spacing w:before="60" w:after="60"/>
              <w:jc w:val="right"/>
              <w:rPr>
                <w:noProof/>
                <w:sz w:val="20"/>
              </w:rPr>
            </w:pPr>
            <w:r>
              <w:rPr>
                <w:noProof/>
                <w:sz w:val="20"/>
              </w:rPr>
              <w:t>5</w:t>
            </w:r>
          </w:p>
        </w:tc>
        <w:tc>
          <w:tcPr>
            <w:tcW w:w="1080" w:type="dxa"/>
            <w:vAlign w:val="center"/>
          </w:tcPr>
          <w:p>
            <w:pPr>
              <w:spacing w:before="60" w:after="60"/>
              <w:jc w:val="right"/>
              <w:rPr>
                <w:b/>
                <w:noProof/>
                <w:sz w:val="20"/>
              </w:rPr>
            </w:pPr>
            <w:r>
              <w:rPr>
                <w:b/>
                <w:noProof/>
                <w:sz w:val="20"/>
              </w:rPr>
              <w:t>5</w:t>
            </w:r>
          </w:p>
        </w:tc>
        <w:tc>
          <w:tcPr>
            <w:tcW w:w="1080" w:type="dxa"/>
            <w:vAlign w:val="center"/>
          </w:tcPr>
          <w:p>
            <w:pPr>
              <w:spacing w:before="60" w:after="60"/>
              <w:jc w:val="right"/>
              <w:rPr>
                <w:b/>
                <w:noProof/>
                <w:sz w:val="20"/>
              </w:rPr>
            </w:pPr>
            <w:r>
              <w:rPr>
                <w:b/>
                <w:noProof/>
                <w:sz w:val="20"/>
              </w:rPr>
              <w:t>5</w:t>
            </w:r>
          </w:p>
        </w:tc>
      </w:tr>
      <w:tr>
        <w:trPr>
          <w:trHeight w:val="585"/>
        </w:trPr>
        <w:tc>
          <w:tcPr>
            <w:tcW w:w="1980" w:type="dxa"/>
            <w:shd w:val="clear" w:color="auto" w:fill="BFBFBF" w:themeFill="background1" w:themeFillShade="BF"/>
            <w:vAlign w:val="center"/>
          </w:tcPr>
          <w:p>
            <w:pPr>
              <w:spacing w:before="60" w:after="60"/>
              <w:ind w:left="72"/>
              <w:rPr>
                <w:noProof/>
              </w:rPr>
            </w:pPr>
            <w:r>
              <w:rPr>
                <w:noProof/>
                <w:sz w:val="20"/>
              </w:rPr>
              <w:t>Funcionarios/agentes temporales (Categoría AST)</w:t>
            </w:r>
          </w:p>
        </w:tc>
        <w:tc>
          <w:tcPr>
            <w:tcW w:w="1080" w:type="dxa"/>
            <w:vAlign w:val="center"/>
          </w:tcPr>
          <w:p>
            <w:pPr>
              <w:spacing w:before="60" w:after="60"/>
              <w:jc w:val="right"/>
              <w:rPr>
                <w:noProof/>
                <w:sz w:val="20"/>
              </w:rPr>
            </w:pPr>
            <w:r>
              <w:rPr>
                <w:noProof/>
                <w:sz w:val="20"/>
              </w:rPr>
              <w:t>5</w:t>
            </w:r>
          </w:p>
        </w:tc>
        <w:tc>
          <w:tcPr>
            <w:tcW w:w="1080" w:type="dxa"/>
            <w:vAlign w:val="center"/>
          </w:tcPr>
          <w:p>
            <w:pPr>
              <w:spacing w:before="60" w:after="60"/>
              <w:jc w:val="right"/>
              <w:rPr>
                <w:noProof/>
                <w:sz w:val="20"/>
              </w:rPr>
            </w:pPr>
            <w:r>
              <w:rPr>
                <w:noProof/>
                <w:sz w:val="20"/>
              </w:rPr>
              <w:t>5</w:t>
            </w:r>
          </w:p>
        </w:tc>
        <w:tc>
          <w:tcPr>
            <w:tcW w:w="1080" w:type="dxa"/>
            <w:vAlign w:val="center"/>
          </w:tcPr>
          <w:p>
            <w:pPr>
              <w:spacing w:before="60" w:after="60"/>
              <w:jc w:val="right"/>
              <w:rPr>
                <w:noProof/>
                <w:sz w:val="20"/>
              </w:rPr>
            </w:pPr>
            <w:r>
              <w:rPr>
                <w:noProof/>
                <w:sz w:val="20"/>
              </w:rPr>
              <w:t>5</w:t>
            </w:r>
          </w:p>
        </w:tc>
        <w:tc>
          <w:tcPr>
            <w:tcW w:w="1080" w:type="dxa"/>
            <w:vAlign w:val="center"/>
          </w:tcPr>
          <w:p>
            <w:pPr>
              <w:spacing w:before="60" w:after="60"/>
              <w:jc w:val="right"/>
              <w:rPr>
                <w:noProof/>
                <w:sz w:val="20"/>
              </w:rPr>
            </w:pPr>
            <w:r>
              <w:rPr>
                <w:noProof/>
                <w:sz w:val="20"/>
              </w:rPr>
              <w:t>5</w:t>
            </w:r>
          </w:p>
        </w:tc>
        <w:tc>
          <w:tcPr>
            <w:tcW w:w="1080" w:type="dxa"/>
            <w:vAlign w:val="center"/>
          </w:tcPr>
          <w:p>
            <w:pPr>
              <w:spacing w:before="60" w:after="60"/>
              <w:jc w:val="right"/>
              <w:rPr>
                <w:noProof/>
                <w:sz w:val="20"/>
              </w:rPr>
            </w:pPr>
            <w:r>
              <w:rPr>
                <w:noProof/>
                <w:sz w:val="20"/>
              </w:rPr>
              <w:t>5</w:t>
            </w:r>
          </w:p>
        </w:tc>
        <w:tc>
          <w:tcPr>
            <w:tcW w:w="1080" w:type="dxa"/>
            <w:vAlign w:val="center"/>
          </w:tcPr>
          <w:p>
            <w:pPr>
              <w:spacing w:before="60" w:after="60"/>
              <w:jc w:val="right"/>
              <w:rPr>
                <w:noProof/>
                <w:sz w:val="20"/>
              </w:rPr>
            </w:pPr>
            <w:r>
              <w:rPr>
                <w:noProof/>
                <w:sz w:val="20"/>
              </w:rPr>
              <w:t>5</w:t>
            </w:r>
          </w:p>
        </w:tc>
        <w:tc>
          <w:tcPr>
            <w:tcW w:w="1080" w:type="dxa"/>
            <w:vAlign w:val="center"/>
          </w:tcPr>
          <w:p>
            <w:pPr>
              <w:spacing w:before="60" w:after="60"/>
              <w:jc w:val="right"/>
              <w:rPr>
                <w:b/>
                <w:noProof/>
                <w:sz w:val="20"/>
              </w:rPr>
            </w:pPr>
            <w:r>
              <w:rPr>
                <w:b/>
                <w:noProof/>
                <w:sz w:val="20"/>
              </w:rPr>
              <w:t>5</w:t>
            </w:r>
          </w:p>
        </w:tc>
        <w:tc>
          <w:tcPr>
            <w:tcW w:w="1080" w:type="dxa"/>
            <w:vAlign w:val="center"/>
          </w:tcPr>
          <w:p>
            <w:pPr>
              <w:spacing w:before="60" w:after="60"/>
              <w:jc w:val="right"/>
              <w:rPr>
                <w:b/>
                <w:noProof/>
                <w:sz w:val="20"/>
              </w:rPr>
            </w:pPr>
            <w:r>
              <w:rPr>
                <w:b/>
                <w:noProof/>
                <w:sz w:val="20"/>
              </w:rPr>
              <w:t>5</w:t>
            </w:r>
          </w:p>
        </w:tc>
      </w:tr>
      <w:tr>
        <w:trPr>
          <w:trHeight w:val="585"/>
        </w:trPr>
        <w:tc>
          <w:tcPr>
            <w:tcW w:w="1980" w:type="dxa"/>
            <w:shd w:val="clear" w:color="auto" w:fill="BFBFBF" w:themeFill="background1" w:themeFillShade="BF"/>
            <w:vAlign w:val="center"/>
          </w:tcPr>
          <w:p>
            <w:pPr>
              <w:spacing w:before="60" w:after="60"/>
              <w:ind w:left="72"/>
              <w:rPr>
                <w:noProof/>
              </w:rPr>
            </w:pPr>
            <w:r>
              <w:rPr>
                <w:noProof/>
                <w:sz w:val="20"/>
              </w:rPr>
              <w:t>Agentes contractuales</w:t>
            </w:r>
          </w:p>
        </w:tc>
        <w:tc>
          <w:tcPr>
            <w:tcW w:w="1080" w:type="dxa"/>
            <w:shd w:val="clear" w:color="auto" w:fill="BFBFBF" w:themeFill="background1" w:themeFillShade="BF"/>
            <w:vAlign w:val="center"/>
          </w:tcPr>
          <w:p>
            <w:pPr>
              <w:spacing w:before="60" w:after="60"/>
              <w:jc w:val="right"/>
              <w:rPr>
                <w:noProof/>
                <w:sz w:val="20"/>
              </w:rPr>
            </w:pPr>
          </w:p>
        </w:tc>
        <w:tc>
          <w:tcPr>
            <w:tcW w:w="1080" w:type="dxa"/>
            <w:shd w:val="clear" w:color="auto" w:fill="BFBFBF" w:themeFill="background1" w:themeFillShade="BF"/>
            <w:vAlign w:val="center"/>
          </w:tcPr>
          <w:p>
            <w:pPr>
              <w:spacing w:before="60" w:after="60"/>
              <w:jc w:val="right"/>
              <w:rPr>
                <w:noProof/>
                <w:sz w:val="20"/>
              </w:rPr>
            </w:pPr>
          </w:p>
        </w:tc>
        <w:tc>
          <w:tcPr>
            <w:tcW w:w="1080" w:type="dxa"/>
            <w:shd w:val="clear" w:color="auto" w:fill="BFBFBF" w:themeFill="background1" w:themeFillShade="BF"/>
            <w:vAlign w:val="center"/>
          </w:tcPr>
          <w:p>
            <w:pPr>
              <w:spacing w:before="60" w:after="60"/>
              <w:jc w:val="right"/>
              <w:rPr>
                <w:noProof/>
                <w:sz w:val="20"/>
              </w:rPr>
            </w:pPr>
          </w:p>
        </w:tc>
        <w:tc>
          <w:tcPr>
            <w:tcW w:w="1080" w:type="dxa"/>
            <w:shd w:val="clear" w:color="auto" w:fill="BFBFBF" w:themeFill="background1" w:themeFillShade="BF"/>
            <w:vAlign w:val="center"/>
          </w:tcPr>
          <w:p>
            <w:pPr>
              <w:spacing w:before="60" w:after="60"/>
              <w:jc w:val="right"/>
              <w:rPr>
                <w:noProof/>
                <w:sz w:val="20"/>
              </w:rPr>
            </w:pPr>
          </w:p>
        </w:tc>
        <w:tc>
          <w:tcPr>
            <w:tcW w:w="1080" w:type="dxa"/>
            <w:shd w:val="clear" w:color="auto" w:fill="BFBFBF" w:themeFill="background1" w:themeFillShade="BF"/>
            <w:vAlign w:val="center"/>
          </w:tcPr>
          <w:p>
            <w:pPr>
              <w:spacing w:before="60" w:after="60"/>
              <w:jc w:val="right"/>
              <w:rPr>
                <w:noProof/>
                <w:sz w:val="20"/>
              </w:rPr>
            </w:pPr>
          </w:p>
        </w:tc>
        <w:tc>
          <w:tcPr>
            <w:tcW w:w="1080" w:type="dxa"/>
            <w:shd w:val="clear" w:color="auto" w:fill="BFBFBF" w:themeFill="background1" w:themeFillShade="BF"/>
            <w:vAlign w:val="center"/>
          </w:tcPr>
          <w:p>
            <w:pPr>
              <w:spacing w:before="60" w:after="60"/>
              <w:jc w:val="right"/>
              <w:rPr>
                <w:noProof/>
                <w:sz w:val="20"/>
              </w:rPr>
            </w:pPr>
          </w:p>
        </w:tc>
        <w:tc>
          <w:tcPr>
            <w:tcW w:w="1080" w:type="dxa"/>
            <w:shd w:val="clear" w:color="auto" w:fill="BFBFBF" w:themeFill="background1" w:themeFillShade="BF"/>
            <w:vAlign w:val="center"/>
          </w:tcPr>
          <w:p>
            <w:pPr>
              <w:spacing w:before="60" w:after="60"/>
              <w:jc w:val="right"/>
              <w:rPr>
                <w:b/>
                <w:noProof/>
                <w:sz w:val="20"/>
              </w:rPr>
            </w:pPr>
          </w:p>
        </w:tc>
        <w:tc>
          <w:tcPr>
            <w:tcW w:w="1080" w:type="dxa"/>
            <w:shd w:val="clear" w:color="auto" w:fill="BFBFBF" w:themeFill="background1" w:themeFillShade="BF"/>
            <w:vAlign w:val="center"/>
          </w:tcPr>
          <w:p>
            <w:pPr>
              <w:spacing w:before="60" w:after="60"/>
              <w:jc w:val="right"/>
              <w:rPr>
                <w:b/>
                <w:noProof/>
                <w:sz w:val="20"/>
              </w:rPr>
            </w:pPr>
          </w:p>
        </w:tc>
      </w:tr>
      <w:tr>
        <w:trPr>
          <w:trHeight w:val="585"/>
        </w:trPr>
        <w:tc>
          <w:tcPr>
            <w:tcW w:w="1980" w:type="dxa"/>
            <w:shd w:val="clear" w:color="auto" w:fill="CCCCCC"/>
            <w:vAlign w:val="center"/>
          </w:tcPr>
          <w:p>
            <w:pPr>
              <w:spacing w:before="60" w:after="60"/>
              <w:jc w:val="center"/>
              <w:rPr>
                <w:noProof/>
              </w:rPr>
            </w:pPr>
            <w:r>
              <w:rPr>
                <w:noProof/>
                <w:sz w:val="18"/>
              </w:rPr>
              <w:t>Expertos nacionales en comisión de servicio</w:t>
            </w: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b/>
                <w:noProof/>
                <w:sz w:val="20"/>
              </w:rPr>
            </w:pPr>
          </w:p>
        </w:tc>
        <w:tc>
          <w:tcPr>
            <w:tcW w:w="1080" w:type="dxa"/>
            <w:vAlign w:val="center"/>
          </w:tcPr>
          <w:p>
            <w:pPr>
              <w:spacing w:before="60" w:after="60"/>
              <w:jc w:val="right"/>
              <w:rPr>
                <w:b/>
                <w:noProof/>
                <w:sz w:val="20"/>
              </w:rPr>
            </w:pPr>
          </w:p>
        </w:tc>
      </w:tr>
    </w:tbl>
    <w:p>
      <w:pPr>
        <w:rPr>
          <w:noProof/>
          <w:sz w:val="20"/>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pPr>
              <w:spacing w:before="60" w:after="60"/>
              <w:jc w:val="center"/>
              <w:rPr>
                <w:noProof/>
                <w:sz w:val="20"/>
              </w:rPr>
            </w:pPr>
            <w:r>
              <w:rPr>
                <w:b/>
                <w:noProof/>
                <w:sz w:val="20"/>
              </w:rPr>
              <w:t>TOTAL</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rPr>
            </w:pPr>
            <w:r>
              <w:rPr>
                <w:b/>
                <w:noProof/>
                <w:sz w:val="20"/>
              </w:rPr>
              <w:t>10</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rPr>
            </w:pPr>
            <w:r>
              <w:rPr>
                <w:b/>
                <w:noProof/>
                <w:sz w:val="20"/>
              </w:rPr>
              <w:t>10</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rPr>
            </w:pPr>
            <w:r>
              <w:rPr>
                <w:b/>
                <w:noProof/>
                <w:sz w:val="20"/>
              </w:rPr>
              <w:t>10</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rPr>
            </w:pPr>
            <w:r>
              <w:rPr>
                <w:b/>
                <w:noProof/>
                <w:sz w:val="20"/>
              </w:rPr>
              <w:t>10</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rPr>
            </w:pPr>
            <w:r>
              <w:rPr>
                <w:b/>
                <w:noProof/>
                <w:sz w:val="20"/>
              </w:rPr>
              <w:t>10</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rPr>
            </w:pPr>
            <w:r>
              <w:rPr>
                <w:b/>
                <w:noProof/>
                <w:sz w:val="20"/>
              </w:rPr>
              <w:t>10</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rPr>
            </w:pPr>
            <w:r>
              <w:rPr>
                <w:b/>
                <w:noProof/>
                <w:sz w:val="20"/>
              </w:rPr>
              <w:t>10</w:t>
            </w:r>
          </w:p>
        </w:tc>
        <w:tc>
          <w:tcPr>
            <w:tcW w:w="1080" w:type="dxa"/>
            <w:tcBorders>
              <w:top w:val="single" w:sz="12" w:space="0" w:color="auto"/>
              <w:left w:val="single" w:sz="2" w:space="0" w:color="auto"/>
              <w:bottom w:val="single" w:sz="12" w:space="0" w:color="auto"/>
              <w:right w:val="single" w:sz="12" w:space="0" w:color="auto"/>
            </w:tcBorders>
            <w:vAlign w:val="center"/>
          </w:tcPr>
          <w:p>
            <w:pPr>
              <w:spacing w:before="60" w:after="60"/>
              <w:jc w:val="right"/>
              <w:rPr>
                <w:b/>
                <w:noProof/>
                <w:sz w:val="20"/>
              </w:rPr>
            </w:pPr>
            <w:r>
              <w:rPr>
                <w:b/>
                <w:noProof/>
                <w:sz w:val="20"/>
              </w:rPr>
              <w:t>70</w:t>
            </w:r>
          </w:p>
        </w:tc>
      </w:tr>
    </w:tbl>
    <w:p>
      <w:pPr>
        <w:pStyle w:val="Text1"/>
        <w:rPr>
          <w:b/>
          <w:noProof/>
          <w:sz w:val="22"/>
        </w:rPr>
      </w:pPr>
      <w:r>
        <w:rPr>
          <w:b/>
          <w:noProof/>
          <w:sz w:val="22"/>
        </w:rPr>
        <w:t>Las necesidades en materia de recursos humanos las cubrirá el personal de las instituciones ya destinado a la gestión de la acción y/o reasignado dentro de la institución, que se complementará, en caso necesario, con cualquier dotación adicional que pudiera asignarse a la institución gestora en el marco del procedimiento de presupuestario anual y a la luz de los imperativos presupuestarios existentes.</w:t>
      </w:r>
    </w:p>
    <w:p>
      <w:pPr>
        <w:rPr>
          <w:noProof/>
        </w:rPr>
      </w:pPr>
    </w:p>
    <w:p>
      <w:pPr>
        <w:pStyle w:val="ManualHeading3"/>
        <w:rPr>
          <w:bCs/>
          <w:noProof/>
          <w:szCs w:val="24"/>
        </w:rPr>
      </w:pPr>
      <w:bookmarkStart w:id="61" w:name="_Toc514938689"/>
      <w:bookmarkStart w:id="62" w:name="_Toc524270812"/>
      <w:r>
        <w:t>3.2.4.</w:t>
      </w:r>
      <w:r>
        <w:tab/>
      </w:r>
      <w:r>
        <w:rPr>
          <w:noProof/>
        </w:rPr>
        <w:t>Compatibilidad con el marco financiero plurianual vigente</w:t>
      </w:r>
      <w:bookmarkEnd w:id="61"/>
      <w:bookmarkEnd w:id="62"/>
      <w:r>
        <w:rPr>
          <w:noProof/>
        </w:rPr>
        <w:t xml:space="preserve"> </w:t>
      </w:r>
    </w:p>
    <w:p>
      <w:pPr>
        <w:pStyle w:val="ListDash1"/>
        <w:rPr>
          <w:noProof/>
        </w:rPr>
      </w:pPr>
      <w:r>
        <w:rPr>
          <w:noProof/>
        </w:rPr>
        <w:t>X</w:t>
      </w:r>
      <w:r>
        <w:rPr>
          <w:noProof/>
        </w:rPr>
        <w:tab/>
        <w:t>La propuesta/iniciativa es compatible con el marco financiero plurianual vigente.</w:t>
      </w:r>
    </w:p>
    <w:p>
      <w:pPr>
        <w:pStyle w:val="ListDash1"/>
        <w:rPr>
          <w:noProof/>
        </w:rPr>
      </w:pPr>
      <w:r>
        <w:rPr>
          <w:noProof/>
        </w:rPr>
        <w:sym w:font="Wingdings" w:char="F0A8"/>
      </w:r>
      <w:r>
        <w:rPr>
          <w:noProof/>
        </w:rPr>
        <w:tab/>
        <w:t>La propuesta/iniciativa implicará la reprogramación de la rúbrica correspondiente del marco financiero plurianual.</w:t>
      </w:r>
    </w:p>
    <w:p>
      <w:pPr>
        <w:pStyle w:val="Text1"/>
        <w:pBdr>
          <w:top w:val="single" w:sz="4" w:space="1" w:color="auto"/>
          <w:left w:val="single" w:sz="4" w:space="4" w:color="auto"/>
          <w:bottom w:val="single" w:sz="4" w:space="1" w:color="auto"/>
          <w:right w:val="single" w:sz="4" w:space="4" w:color="auto"/>
        </w:pBdr>
        <w:rPr>
          <w:noProof/>
          <w:sz w:val="20"/>
        </w:rPr>
      </w:pPr>
      <w:r>
        <w:rPr>
          <w:noProof/>
          <w:sz w:val="20"/>
        </w:rPr>
        <w:t>Explíquese la reprogramación requerida, precisando las líneas presupuestarias afectadas y los importes correspondientes.</w:t>
      </w:r>
    </w:p>
    <w:p>
      <w:pPr>
        <w:pStyle w:val="Text1"/>
        <w:pBdr>
          <w:top w:val="single" w:sz="4" w:space="1" w:color="auto"/>
          <w:left w:val="single" w:sz="4" w:space="4" w:color="auto"/>
          <w:bottom w:val="single" w:sz="4" w:space="1" w:color="auto"/>
          <w:right w:val="single" w:sz="4" w:space="4" w:color="auto"/>
        </w:pBdr>
        <w:rPr>
          <w:noProof/>
          <w:sz w:val="20"/>
        </w:rPr>
      </w:pPr>
      <w:r>
        <w:rPr>
          <w:noProof/>
        </w:rPr>
        <w:t>[...]</w:t>
      </w:r>
    </w:p>
    <w:p>
      <w:pPr>
        <w:pStyle w:val="ListDash1"/>
        <w:rPr>
          <w:noProof/>
        </w:rPr>
      </w:pPr>
      <w:r>
        <w:rPr>
          <w:noProof/>
        </w:rPr>
        <w:sym w:font="Wingdings" w:char="F0A8"/>
      </w:r>
      <w:r>
        <w:rPr>
          <w:noProof/>
        </w:rPr>
        <w:tab/>
        <w:t>La propuesta/iniciativa requiere la aplicación del Instrumento de Flexibilidad o la revisión del marco financiero plurianual.</w:t>
      </w:r>
      <w:r>
        <w:rPr>
          <w:rStyle w:val="FootnoteReference"/>
          <w:noProof/>
        </w:rPr>
        <w:footnoteReference w:id="29"/>
      </w:r>
      <w:r>
        <w:rPr>
          <w:noProof/>
        </w:rPr>
        <w:t>.</w:t>
      </w:r>
    </w:p>
    <w:p>
      <w:pPr>
        <w:pStyle w:val="Text1"/>
        <w:pBdr>
          <w:top w:val="single" w:sz="4" w:space="1" w:color="auto"/>
          <w:left w:val="single" w:sz="4" w:space="4" w:color="auto"/>
          <w:bottom w:val="single" w:sz="4" w:space="1" w:color="auto"/>
          <w:right w:val="single" w:sz="4" w:space="4" w:color="auto"/>
        </w:pBdr>
        <w:rPr>
          <w:noProof/>
          <w:sz w:val="20"/>
        </w:rPr>
      </w:pPr>
      <w:r>
        <w:rPr>
          <w:noProof/>
          <w:sz w:val="20"/>
        </w:rPr>
        <w:t>Explíquese qué es lo que se requiere, precisando las rúbricas y líneas presupuestarias afectadas y los importes correspondientes.</w:t>
      </w:r>
    </w:p>
    <w:p>
      <w:pPr>
        <w:pStyle w:val="Text1"/>
        <w:pBdr>
          <w:top w:val="single" w:sz="4" w:space="1" w:color="auto"/>
          <w:left w:val="single" w:sz="4" w:space="4" w:color="auto"/>
          <w:bottom w:val="single" w:sz="4" w:space="1" w:color="auto"/>
          <w:right w:val="single" w:sz="4" w:space="4" w:color="auto"/>
        </w:pBdr>
        <w:rPr>
          <w:noProof/>
          <w:sz w:val="20"/>
        </w:rPr>
      </w:pPr>
      <w:r>
        <w:rPr>
          <w:noProof/>
        </w:rPr>
        <w:t>[...]</w:t>
      </w:r>
    </w:p>
    <w:p>
      <w:pPr>
        <w:pStyle w:val="ManualHeading3"/>
        <w:rPr>
          <w:bCs/>
          <w:noProof/>
          <w:szCs w:val="24"/>
        </w:rPr>
      </w:pPr>
      <w:bookmarkStart w:id="63" w:name="_Toc514938690"/>
      <w:bookmarkStart w:id="64" w:name="_Toc524270813"/>
      <w:r>
        <w:t>3.2.5.</w:t>
      </w:r>
      <w:r>
        <w:tab/>
      </w:r>
      <w:r>
        <w:rPr>
          <w:noProof/>
        </w:rPr>
        <w:t>Contribución de terceros</w:t>
      </w:r>
      <w:bookmarkEnd w:id="63"/>
      <w:bookmarkEnd w:id="64"/>
      <w:r>
        <w:rPr>
          <w:noProof/>
        </w:rPr>
        <w:t xml:space="preserve"> </w:t>
      </w:r>
    </w:p>
    <w:p>
      <w:pPr>
        <w:pStyle w:val="ListDash1"/>
        <w:rPr>
          <w:noProof/>
        </w:rPr>
      </w:pPr>
      <w:r>
        <w:rPr>
          <w:noProof/>
        </w:rPr>
        <w:t xml:space="preserve">La propuesta/iniciativa no prevé la cofinanciación por terceros. </w:t>
      </w:r>
    </w:p>
    <w:p>
      <w:pPr>
        <w:pStyle w:val="ManualHeading2"/>
        <w:rPr>
          <w:bCs/>
          <w:noProof/>
          <w:szCs w:val="24"/>
        </w:rPr>
      </w:pPr>
      <w:r>
        <w:rPr>
          <w:noProof/>
        </w:rPr>
        <w:br w:type="page"/>
      </w:r>
      <w:bookmarkStart w:id="65" w:name="_Toc514938691"/>
      <w:bookmarkStart w:id="66" w:name="_Toc524270814"/>
      <w:r>
        <w:t>3.3.</w:t>
      </w:r>
      <w:r>
        <w:tab/>
      </w:r>
      <w:r>
        <w:rPr>
          <w:noProof/>
        </w:rPr>
        <w:t>Incidencia estimada en los ingresos</w:t>
      </w:r>
      <w:bookmarkEnd w:id="65"/>
      <w:bookmarkEnd w:id="66"/>
      <w:r>
        <w:rPr>
          <w:noProof/>
        </w:rPr>
        <w:t xml:space="preserve"> </w:t>
      </w:r>
    </w:p>
    <w:p>
      <w:pPr>
        <w:pStyle w:val="ListDash1"/>
        <w:rPr>
          <w:noProof/>
        </w:rPr>
      </w:pPr>
      <w:r>
        <w:rPr>
          <w:noProof/>
        </w:rPr>
        <w:t>X</w:t>
      </w:r>
      <w:r>
        <w:rPr>
          <w:noProof/>
        </w:rPr>
        <w:tab/>
        <w:t>La propuesta/iniciativa no tiene incidencia financiera en los ingresos.</w:t>
      </w:r>
    </w:p>
    <w:p>
      <w:pPr>
        <w:pStyle w:val="ListDash1"/>
        <w:rPr>
          <w:noProof/>
        </w:rPr>
      </w:pPr>
      <w:r>
        <w:rPr>
          <w:noProof/>
        </w:rPr>
        <w:sym w:font="Wingdings" w:char="F0A8"/>
      </w:r>
      <w:r>
        <w:rPr>
          <w:noProof/>
        </w:rPr>
        <w:tab/>
        <w:t>La propuesta/iniciativa tiene la incidencia financiera que se indica a continuación:</w:t>
      </w:r>
    </w:p>
    <w:p>
      <w:pPr>
        <w:pStyle w:val="ListNumberLevel3"/>
        <w:tabs>
          <w:tab w:val="clear" w:pos="2126"/>
        </w:tabs>
        <w:rPr>
          <w:noProof/>
        </w:rPr>
      </w:pPr>
      <w:r>
        <w:rPr>
          <w:noProof/>
        </w:rPr>
        <w:sym w:font="Wingdings" w:char="F0A8"/>
      </w:r>
      <w:r>
        <w:rPr>
          <w:noProof/>
        </w:rPr>
        <w:tab/>
        <w:t xml:space="preserve">en los recursos propios </w:t>
      </w:r>
    </w:p>
    <w:p>
      <w:pPr>
        <w:pStyle w:val="ListNumberLevel3"/>
        <w:tabs>
          <w:tab w:val="clear" w:pos="2126"/>
        </w:tabs>
        <w:rPr>
          <w:noProof/>
        </w:rPr>
      </w:pPr>
      <w:r>
        <w:rPr>
          <w:noProof/>
        </w:rPr>
        <w:sym w:font="Wingdings" w:char="F0A8"/>
      </w:r>
      <w:r>
        <w:rPr>
          <w:noProof/>
        </w:rPr>
        <w:tab/>
        <w:t xml:space="preserve">en otros ingresos </w:t>
      </w:r>
    </w:p>
    <w:p>
      <w:pPr>
        <w:pStyle w:val="ListNumberLevel3"/>
        <w:tabs>
          <w:tab w:val="clear" w:pos="2126"/>
        </w:tabs>
        <w:rPr>
          <w:noProof/>
        </w:rPr>
      </w:pPr>
      <w:r>
        <w:rPr>
          <w:noProof/>
        </w:rPr>
        <w:sym w:font="Wingdings" w:char="F0A8"/>
      </w:r>
      <w:r>
        <w:rPr>
          <w:noProof/>
        </w:rPr>
        <w:tab/>
        <w:t xml:space="preserve">indíquese si los ingresos se asignan a las líneas de gasto </w:t>
      </w:r>
    </w:p>
    <w:p>
      <w:pPr>
        <w:jc w:val="right"/>
        <w:rPr>
          <w:i/>
          <w:noProof/>
        </w:rPr>
      </w:pPr>
      <w:r>
        <w:rPr>
          <w:noProof/>
        </w:rPr>
        <w:t>En millones EUR (al tercer decimal)</w:t>
      </w:r>
    </w:p>
    <w:tbl>
      <w:tblPr>
        <w:tblW w:w="1019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9"/>
        <w:gridCol w:w="1276"/>
        <w:gridCol w:w="1080"/>
        <w:gridCol w:w="900"/>
        <w:gridCol w:w="900"/>
        <w:gridCol w:w="1080"/>
        <w:gridCol w:w="1080"/>
        <w:gridCol w:w="1080"/>
        <w:gridCol w:w="1080"/>
      </w:tblGrid>
      <w:tr>
        <w:trPr>
          <w:trHeight w:val="388"/>
        </w:trPr>
        <w:tc>
          <w:tcPr>
            <w:tcW w:w="1719" w:type="dxa"/>
            <w:vMerge w:val="restart"/>
            <w:vAlign w:val="center"/>
          </w:tcPr>
          <w:p>
            <w:pPr>
              <w:spacing w:before="40" w:after="40"/>
              <w:rPr>
                <w:noProof/>
                <w:sz w:val="18"/>
              </w:rPr>
            </w:pPr>
            <w:r>
              <w:rPr>
                <w:noProof/>
                <w:sz w:val="18"/>
              </w:rPr>
              <w:t>Línea presupuestaria de ingresos:</w:t>
            </w:r>
          </w:p>
        </w:tc>
        <w:tc>
          <w:tcPr>
            <w:tcW w:w="1276" w:type="dxa"/>
            <w:vMerge w:val="restart"/>
            <w:vAlign w:val="center"/>
          </w:tcPr>
          <w:p>
            <w:pPr>
              <w:jc w:val="center"/>
              <w:rPr>
                <w:noProof/>
                <w:sz w:val="18"/>
              </w:rPr>
            </w:pPr>
            <w:r>
              <w:rPr>
                <w:noProof/>
                <w:sz w:val="18"/>
              </w:rPr>
              <w:t>Créditos disponibles para el ejercicio presupuestario en curso</w:t>
            </w:r>
          </w:p>
        </w:tc>
        <w:tc>
          <w:tcPr>
            <w:tcW w:w="7200" w:type="dxa"/>
            <w:gridSpan w:val="7"/>
            <w:vAlign w:val="center"/>
          </w:tcPr>
          <w:p>
            <w:pPr>
              <w:jc w:val="center"/>
              <w:rPr>
                <w:noProof/>
                <w:sz w:val="18"/>
              </w:rPr>
            </w:pPr>
            <w:r>
              <w:rPr>
                <w:noProof/>
                <w:sz w:val="18"/>
              </w:rPr>
              <w:t>Incidencia de la propuesta/iniciativa</w:t>
            </w:r>
            <w:r>
              <w:rPr>
                <w:rStyle w:val="FootnoteReference"/>
                <w:noProof/>
                <w:sz w:val="18"/>
              </w:rPr>
              <w:footnoteReference w:id="30"/>
            </w:r>
          </w:p>
        </w:tc>
      </w:tr>
      <w:tr>
        <w:trPr>
          <w:trHeight w:val="388"/>
        </w:trPr>
        <w:tc>
          <w:tcPr>
            <w:tcW w:w="1719" w:type="dxa"/>
            <w:vMerge/>
            <w:vAlign w:val="center"/>
          </w:tcPr>
          <w:p>
            <w:pPr>
              <w:rPr>
                <w:noProof/>
                <w:sz w:val="18"/>
              </w:rPr>
            </w:pPr>
          </w:p>
        </w:tc>
        <w:tc>
          <w:tcPr>
            <w:tcW w:w="1276" w:type="dxa"/>
            <w:vMerge/>
            <w:vAlign w:val="center"/>
          </w:tcPr>
          <w:p>
            <w:pPr>
              <w:rPr>
                <w:noProof/>
                <w:sz w:val="18"/>
              </w:rPr>
            </w:pPr>
          </w:p>
        </w:tc>
        <w:tc>
          <w:tcPr>
            <w:tcW w:w="1080" w:type="dxa"/>
            <w:vAlign w:val="center"/>
          </w:tcPr>
          <w:p>
            <w:pPr>
              <w:jc w:val="center"/>
              <w:rPr>
                <w:noProof/>
                <w:sz w:val="18"/>
              </w:rPr>
            </w:pPr>
            <w:r>
              <w:rPr>
                <w:noProof/>
                <w:sz w:val="18"/>
              </w:rPr>
              <w:t>Año</w:t>
            </w:r>
            <w:r>
              <w:rPr>
                <w:noProof/>
                <w:sz w:val="22"/>
              </w:rPr>
              <w:br/>
            </w:r>
            <w:r>
              <w:rPr>
                <w:b/>
                <w:noProof/>
                <w:sz w:val="18"/>
              </w:rPr>
              <w:t>N</w:t>
            </w:r>
          </w:p>
        </w:tc>
        <w:tc>
          <w:tcPr>
            <w:tcW w:w="900" w:type="dxa"/>
            <w:vAlign w:val="center"/>
          </w:tcPr>
          <w:p>
            <w:pPr>
              <w:jc w:val="center"/>
              <w:rPr>
                <w:noProof/>
                <w:sz w:val="18"/>
              </w:rPr>
            </w:pPr>
            <w:r>
              <w:rPr>
                <w:noProof/>
                <w:sz w:val="18"/>
              </w:rPr>
              <w:t>Año</w:t>
            </w:r>
            <w:r>
              <w:rPr>
                <w:noProof/>
                <w:sz w:val="22"/>
              </w:rPr>
              <w:br/>
            </w:r>
            <w:r>
              <w:rPr>
                <w:b/>
                <w:noProof/>
                <w:sz w:val="18"/>
              </w:rPr>
              <w:t>N+1</w:t>
            </w:r>
          </w:p>
        </w:tc>
        <w:tc>
          <w:tcPr>
            <w:tcW w:w="900" w:type="dxa"/>
            <w:vAlign w:val="center"/>
          </w:tcPr>
          <w:p>
            <w:pPr>
              <w:jc w:val="center"/>
              <w:rPr>
                <w:noProof/>
                <w:sz w:val="18"/>
              </w:rPr>
            </w:pPr>
            <w:r>
              <w:rPr>
                <w:noProof/>
                <w:sz w:val="18"/>
              </w:rPr>
              <w:t>Año</w:t>
            </w:r>
            <w:r>
              <w:rPr>
                <w:noProof/>
                <w:sz w:val="22"/>
              </w:rPr>
              <w:br/>
            </w:r>
            <w:r>
              <w:rPr>
                <w:b/>
                <w:noProof/>
                <w:sz w:val="18"/>
              </w:rPr>
              <w:t>N+2</w:t>
            </w:r>
          </w:p>
        </w:tc>
        <w:tc>
          <w:tcPr>
            <w:tcW w:w="1080" w:type="dxa"/>
            <w:vAlign w:val="center"/>
          </w:tcPr>
          <w:p>
            <w:pPr>
              <w:jc w:val="center"/>
              <w:rPr>
                <w:noProof/>
                <w:sz w:val="18"/>
              </w:rPr>
            </w:pPr>
            <w:r>
              <w:rPr>
                <w:noProof/>
                <w:sz w:val="18"/>
              </w:rPr>
              <w:t>Año</w:t>
            </w:r>
            <w:r>
              <w:rPr>
                <w:noProof/>
                <w:sz w:val="22"/>
              </w:rPr>
              <w:br/>
            </w:r>
            <w:r>
              <w:rPr>
                <w:b/>
                <w:noProof/>
                <w:sz w:val="18"/>
              </w:rPr>
              <w:t>N+3</w:t>
            </w:r>
          </w:p>
        </w:tc>
        <w:tc>
          <w:tcPr>
            <w:tcW w:w="3240" w:type="dxa"/>
            <w:gridSpan w:val="3"/>
            <w:vAlign w:val="center"/>
          </w:tcPr>
          <w:p>
            <w:pPr>
              <w:jc w:val="center"/>
              <w:rPr>
                <w:b/>
                <w:noProof/>
                <w:sz w:val="18"/>
              </w:rPr>
            </w:pPr>
            <w:r>
              <w:rPr>
                <w:noProof/>
                <w:sz w:val="18"/>
              </w:rPr>
              <w:t>Insértense tantos años como sea necesario para reflejar la duración de la incidencia (véase el punto 1.6)</w:t>
            </w:r>
          </w:p>
        </w:tc>
      </w:tr>
      <w:tr>
        <w:trPr>
          <w:trHeight w:val="388"/>
        </w:trPr>
        <w:tc>
          <w:tcPr>
            <w:tcW w:w="1719" w:type="dxa"/>
            <w:vAlign w:val="center"/>
          </w:tcPr>
          <w:p>
            <w:pPr>
              <w:spacing w:before="40" w:after="40"/>
              <w:rPr>
                <w:noProof/>
                <w:sz w:val="18"/>
              </w:rPr>
            </w:pPr>
            <w:r>
              <w:rPr>
                <w:noProof/>
                <w:sz w:val="18"/>
              </w:rPr>
              <w:t>Artículo …</w:t>
            </w:r>
          </w:p>
        </w:tc>
        <w:tc>
          <w:tcPr>
            <w:tcW w:w="1276" w:type="dxa"/>
          </w:tcPr>
          <w:p>
            <w:pPr>
              <w:spacing w:beforeLines="40" w:before="96" w:afterLines="40" w:after="96"/>
              <w:jc w:val="center"/>
              <w:rPr>
                <w:i/>
                <w:noProof/>
                <w:sz w:val="18"/>
              </w:rPr>
            </w:pPr>
          </w:p>
        </w:tc>
        <w:tc>
          <w:tcPr>
            <w:tcW w:w="108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r>
    </w:tbl>
    <w:p>
      <w:pPr>
        <w:pStyle w:val="Text1"/>
        <w:rPr>
          <w:noProof/>
          <w:sz w:val="20"/>
        </w:rPr>
      </w:pPr>
      <w:r>
        <w:rPr>
          <w:noProof/>
          <w:sz w:val="20"/>
        </w:rPr>
        <w:t>En el caso de los ingresos diversos «asignados», especifíquese la línea o líneas presupuestarias de gasto en la(s) que repercutan.</w:t>
      </w:r>
    </w:p>
    <w:p>
      <w:pPr>
        <w:pStyle w:val="Text1"/>
        <w:pBdr>
          <w:top w:val="single" w:sz="4" w:space="1" w:color="auto"/>
          <w:left w:val="single" w:sz="4" w:space="4" w:color="auto"/>
          <w:bottom w:val="single" w:sz="4" w:space="1" w:color="auto"/>
          <w:right w:val="single" w:sz="4" w:space="4" w:color="auto"/>
        </w:pBdr>
        <w:rPr>
          <w:noProof/>
        </w:rPr>
      </w:pPr>
      <w:r>
        <w:rPr>
          <w:noProof/>
        </w:rPr>
        <w:t>[...]</w:t>
      </w:r>
    </w:p>
    <w:p>
      <w:pPr>
        <w:pStyle w:val="Text1"/>
        <w:rPr>
          <w:noProof/>
          <w:sz w:val="20"/>
        </w:rPr>
      </w:pPr>
      <w:r>
        <w:rPr>
          <w:noProof/>
          <w:sz w:val="20"/>
        </w:rPr>
        <w:t>Especifíquese el método de cálculo de la incidencia en los ingresos.</w:t>
      </w:r>
    </w:p>
    <w:p>
      <w:pPr>
        <w:pStyle w:val="Text1"/>
        <w:pBdr>
          <w:top w:val="single" w:sz="4" w:space="1" w:color="auto"/>
          <w:left w:val="single" w:sz="4" w:space="4" w:color="auto"/>
          <w:bottom w:val="single" w:sz="4" w:space="1" w:color="auto"/>
          <w:right w:val="single" w:sz="4" w:space="4" w:color="auto"/>
        </w:pBdr>
        <w:rPr>
          <w:noProof/>
        </w:rPr>
      </w:pPr>
      <w:r>
        <w:rPr>
          <w:noProof/>
        </w:rPr>
        <w:t>[...]</w:t>
      </w:r>
    </w:p>
    <w:sectPr>
      <w:headerReference w:type="default" r:id="rId26"/>
      <w:footerReference w:type="default" r:id="rId27"/>
      <w:headerReference w:type="first" r:id="rId28"/>
      <w:footerReference w:type="first" r:id="rId29"/>
      <w:pgSz w:w="11907" w:h="16839" w:code="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ES</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ES</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ES</w:t>
    </w:r>
    <w:r>
      <w:rPr>
        <w:rFonts w:ascii="Arial" w:hAnsi="Arial" w:cs="Arial"/>
        <w:b/>
        <w:sz w:val="48"/>
      </w:rPr>
      <w:tab/>
    </w:r>
    <w:r>
      <w:rPr>
        <w:rFonts w:ascii="Arial" w:hAnsi="Arial" w:cs="Arial"/>
        <w:b/>
        <w:sz w:val="48"/>
      </w:rPr>
      <w:tab/>
    </w:r>
    <w:r>
      <w:tab/>
    </w:r>
    <w:r>
      <w:rPr>
        <w:rFonts w:ascii="Arial" w:hAnsi="Arial" w:cs="Arial"/>
        <w:b/>
        <w:sz w:val="48"/>
      </w:rPr>
      <w:t>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ES</w:t>
    </w:r>
    <w:r>
      <w:rPr>
        <w:rFonts w:ascii="Arial" w:hAnsi="Arial" w:cs="Arial"/>
        <w:b/>
        <w:sz w:val="48"/>
      </w:rPr>
      <w:tab/>
    </w:r>
    <w:r>
      <w:fldChar w:fldCharType="begin"/>
    </w:r>
    <w:r>
      <w:instrText xml:space="preserve"> PAGE  \* MERGEFORMAT </w:instrText>
    </w:r>
    <w:r>
      <w:fldChar w:fldCharType="separate"/>
    </w:r>
    <w:r>
      <w:rPr>
        <w:noProof/>
      </w:rPr>
      <w:t>11</w:t>
    </w:r>
    <w:r>
      <w:fldChar w:fldCharType="end"/>
    </w:r>
    <w:r>
      <w:tab/>
    </w:r>
    <w:r>
      <w:tab/>
    </w:r>
    <w:r>
      <w:rPr>
        <w:rFonts w:ascii="Arial" w:hAnsi="Arial" w:cs="Arial"/>
        <w:b/>
        <w:sz w:val="48"/>
      </w:rPr>
      <w:t>ES</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ES</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ES</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ES</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ES</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Recomendación (UE) 2018/234 de la Comisión, de 14 de febrero de 2018, con vistas a reforzar el carácter europeo y el desarrollo eficiente de las elecciones de 2019 al Parlamento Europeo (DO L 45 de 17.2.2018, p. 40).</w:t>
      </w:r>
    </w:p>
  </w:footnote>
  <w:footnote w:id="3">
    <w:p>
      <w:pPr>
        <w:pStyle w:val="FootnoteText"/>
      </w:pPr>
      <w:r>
        <w:rPr>
          <w:rStyle w:val="FootnoteReference"/>
        </w:rPr>
        <w:footnoteRef/>
      </w:r>
      <w:r>
        <w:tab/>
        <w:t xml:space="preserve">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(DO L 119 de 4.5.2016, p. 1). </w:t>
      </w:r>
    </w:p>
  </w:footnote>
  <w:footnote w:id="4">
    <w:p>
      <w:pPr>
        <w:pStyle w:val="FootnoteText"/>
        <w:rPr>
          <w:lang w:val="pt-PT"/>
        </w:rPr>
      </w:pPr>
      <w:r>
        <w:rPr>
          <w:rStyle w:val="FootnoteReference"/>
        </w:rPr>
        <w:footnoteRef/>
      </w:r>
      <w:r>
        <w:rPr>
          <w:lang w:val="pt-PT"/>
        </w:rPr>
        <w:tab/>
        <w:t>DO L 317 de 4.11.2014, p. 1.</w:t>
      </w:r>
    </w:p>
  </w:footnote>
  <w:footnote w:id="5">
    <w:p>
      <w:pPr>
        <w:pStyle w:val="FootnoteText"/>
        <w:rPr>
          <w:lang w:val="pt-PT"/>
        </w:rPr>
      </w:pPr>
      <w:r>
        <w:rPr>
          <w:rStyle w:val="FootnoteReference"/>
        </w:rPr>
        <w:footnoteRef/>
      </w:r>
      <w:r>
        <w:rPr>
          <w:lang w:val="pt-PT"/>
        </w:rPr>
        <w:tab/>
        <w:t xml:space="preserve">COM(2018) 638. </w:t>
      </w:r>
    </w:p>
  </w:footnote>
  <w:footnote w:id="6">
    <w:p>
      <w:pPr>
        <w:pStyle w:val="FootnoteText"/>
        <w:rPr>
          <w:lang w:val="pt-PT"/>
        </w:rPr>
      </w:pPr>
      <w:r>
        <w:rPr>
          <w:rStyle w:val="FootnoteReference"/>
        </w:rPr>
        <w:footnoteRef/>
      </w:r>
      <w:r>
        <w:rPr>
          <w:lang w:val="pt-PT"/>
        </w:rPr>
        <w:tab/>
        <w:t>C(2018) 5949.</w:t>
      </w:r>
    </w:p>
  </w:footnote>
  <w:footnote w:id="7">
    <w:p>
      <w:pPr>
        <w:pStyle w:val="FootnoteText"/>
      </w:pPr>
      <w:r>
        <w:rPr>
          <w:rStyle w:val="FootnoteReference"/>
        </w:rPr>
        <w:footnoteRef/>
      </w:r>
      <w:r>
        <w:tab/>
        <w:t>COM(2018) 637.</w:t>
      </w:r>
    </w:p>
  </w:footnote>
  <w:footnote w:id="8">
    <w:p>
      <w:pPr>
        <w:pStyle w:val="FootnoteText"/>
      </w:pPr>
      <w:r>
        <w:rPr>
          <w:rStyle w:val="FootnoteReference"/>
        </w:rPr>
        <w:footnoteRef/>
      </w:r>
      <w:r>
        <w:tab/>
        <w:t xml:space="preserve">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(DO L 119 de 4.5.2016, p. 1). </w:t>
      </w:r>
    </w:p>
  </w:footnote>
  <w:footnote w:id="9">
    <w:p>
      <w:pPr>
        <w:pStyle w:val="FootnoteText"/>
      </w:pPr>
      <w:r>
        <w:rPr>
          <w:rStyle w:val="FootnoteReference"/>
        </w:rPr>
        <w:footnoteRef/>
      </w:r>
      <w:r>
        <w:tab/>
        <w:t>Recomendación (UE) 2018/234 de la Comisión, de 14 de febrero de 2018, con vistas a reforzar el carácter europeo y el desarrollo eficiente de las elecciones de 2019 al Parlamento Europeo (DO L 45 de 17.2.2018, p. 40).</w:t>
      </w:r>
    </w:p>
  </w:footnote>
  <w:footnote w:id="10">
    <w:p>
      <w:pPr>
        <w:pStyle w:val="FootnoteText"/>
      </w:pPr>
      <w:r>
        <w:rPr>
          <w:rStyle w:val="FootnoteReference"/>
        </w:rPr>
        <w:footnoteRef/>
      </w:r>
      <w:r>
        <w:tab/>
        <w:t xml:space="preserve">COM(2018) 235 final. </w:t>
      </w:r>
    </w:p>
  </w:footnote>
  <w:footnote w:id="11">
    <w:p>
      <w:pPr>
        <w:pStyle w:val="FootnoteText"/>
      </w:pPr>
      <w:r>
        <w:rPr>
          <w:rStyle w:val="FootnoteReference"/>
        </w:rPr>
        <w:footnoteRef/>
      </w:r>
      <w:r>
        <w:tab/>
        <w:t>COM(2017) 10 final.</w:t>
      </w:r>
    </w:p>
  </w:footnote>
  <w:footnote w:id="12">
    <w:p>
      <w:pPr>
        <w:pStyle w:val="FootnoteText"/>
      </w:pPr>
      <w:r>
        <w:rPr>
          <w:rStyle w:val="FootnoteReference"/>
        </w:rPr>
        <w:footnoteRef/>
      </w:r>
      <w:r>
        <w:tab/>
        <w:t>Directiva 2002/58/CE del Parlamento Europeo y del Consejo, de 12 de julio de 2002, relativa al tratamiento de los datos personales y a la protección de la intimidad en el sector de las comunicaciones electrónicas (Directiva sobre la privacidad y las comunicaciones electrónicas) (DO L 201 de 31.7.2002, p. 37)</w:t>
      </w:r>
      <w:r>
        <w:rPr>
          <w:rStyle w:val="Strong"/>
          <w:b w:val="0"/>
        </w:rPr>
        <w:t>.</w:t>
      </w:r>
    </w:p>
  </w:footnote>
  <w:footnote w:id="13">
    <w:p>
      <w:pPr>
        <w:pStyle w:val="FootnoteText"/>
        <w:jc w:val="left"/>
      </w:pPr>
      <w:r>
        <w:rPr>
          <w:rStyle w:val="FootnoteReference"/>
        </w:rPr>
        <w:footnoteRef/>
      </w:r>
      <w:r>
        <w:tab/>
      </w:r>
      <w:hyperlink r:id="rId1">
        <w:r>
          <w:rPr>
            <w:rStyle w:val="Hyperlink"/>
          </w:rPr>
          <w:t>https://europa.eu/european-union/sites/europaeu/files/docs/body/consolidated_version_of_the_treaty_establishing_the_european_atomic_energy_community_es.pdf</w:t>
        </w:r>
      </w:hyperlink>
      <w:r>
        <w:t xml:space="preserve"> </w:t>
      </w:r>
    </w:p>
  </w:footnote>
  <w:footnote w:id="14">
    <w:p>
      <w:pPr>
        <w:pStyle w:val="FootnoteText"/>
        <w:rPr>
          <w:lang w:val="pt-PT"/>
        </w:rPr>
      </w:pPr>
      <w:r>
        <w:rPr>
          <w:rStyle w:val="FootnoteReference"/>
        </w:rPr>
        <w:footnoteRef/>
      </w:r>
      <w:r>
        <w:rPr>
          <w:lang w:val="pt-PT"/>
        </w:rPr>
        <w:tab/>
        <w:t>DO C  de , p. .</w:t>
      </w:r>
    </w:p>
  </w:footnote>
  <w:footnote w:id="15">
    <w:p>
      <w:pPr>
        <w:pStyle w:val="FootnoteText"/>
        <w:rPr>
          <w:lang w:val="pt-PT"/>
        </w:rPr>
      </w:pPr>
      <w:r>
        <w:rPr>
          <w:rStyle w:val="FootnoteReference"/>
        </w:rPr>
        <w:footnoteRef/>
      </w:r>
      <w:r>
        <w:rPr>
          <w:lang w:val="pt-PT"/>
        </w:rPr>
        <w:tab/>
        <w:t>DO C  de , p. .</w:t>
      </w:r>
    </w:p>
  </w:footnote>
  <w:footnote w:id="16">
    <w:p>
      <w:pPr>
        <w:pStyle w:val="FootnoteText"/>
      </w:pPr>
      <w:r>
        <w:rPr>
          <w:rStyle w:val="FootnoteReference"/>
        </w:rPr>
        <w:footnoteRef/>
      </w:r>
      <w:r>
        <w:tab/>
        <w:t>Reglamento (UE, Euratom) n.º 1141/2014 del Parlamento Europeo y del Consejo, de 22 de octubre de 2014, sobre el estatuto y la financiación de los partidos políticos europeos y las fundaciones políticas europeas (DO L 317 de 4.11.2014, p. 1).</w:t>
      </w:r>
    </w:p>
  </w:footnote>
  <w:footnote w:id="17">
    <w:p>
      <w:pPr>
        <w:pStyle w:val="FootnoteText"/>
      </w:pPr>
      <w:r>
        <w:rPr>
          <w:rStyle w:val="FootnoteReference"/>
        </w:rPr>
        <w:footnoteRef/>
      </w:r>
      <w:r>
        <w:tab/>
        <w:t>Reglamento n.º 31 (CEE), 11 (CEEA), por el que se establece el Estatuto de los funcionarios y el régimen aplicable a los otros agentes de la Comunidad Económica Europea y de la Comunidad Europea de la Energía Atómica (</w:t>
      </w:r>
      <w:r>
        <w:rPr>
          <w:color w:val="444444"/>
        </w:rPr>
        <w:t>DO 45 de 14.6.1962, p. 1385</w:t>
      </w:r>
      <w:r>
        <w:t>).</w:t>
      </w:r>
    </w:p>
  </w:footnote>
  <w:footnote w:id="18">
    <w:p>
      <w:pPr>
        <w:pStyle w:val="FootnoteText"/>
      </w:pPr>
      <w:r>
        <w:rPr>
          <w:rStyle w:val="FootnoteReference"/>
        </w:rPr>
        <w:footnoteRef/>
      </w:r>
      <w:r>
        <w:tab/>
        <w:t>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(DO L 119 de 4.5.2016, p. 1).</w:t>
      </w:r>
    </w:p>
  </w:footnote>
  <w:footnote w:id="19">
    <w:p>
      <w:pPr>
        <w:pStyle w:val="FootnoteText"/>
        <w:rPr>
          <w:szCs w:val="24"/>
        </w:rPr>
      </w:pPr>
      <w:r>
        <w:rPr>
          <w:rStyle w:val="FootnoteReference"/>
        </w:rPr>
        <w:footnoteRef/>
      </w:r>
      <w:r>
        <w:tab/>
        <w:t>Tal como se contempla en el artículo 58, apartado 2, letras a) o b), del Reglamento Financiero.</w:t>
      </w:r>
    </w:p>
  </w:footnote>
  <w:footnote w:id="20">
    <w:p>
      <w:pPr>
        <w:pStyle w:val="FootnoteText"/>
        <w:rPr>
          <w:szCs w:val="24"/>
        </w:rPr>
      </w:pPr>
      <w:r>
        <w:rPr>
          <w:rStyle w:val="FootnoteReference"/>
        </w:rPr>
        <w:footnoteRef/>
      </w:r>
      <w:r>
        <w:tab/>
        <w:t xml:space="preserve">Las explicaciones sobre los modos de gestión y las referencias al Reglamento Financiero pueden consultarse en el sitio BudgWeb: </w:t>
      </w:r>
      <w:hyperlink r:id="rId2">
        <w:r>
          <w:rPr>
            <w:rStyle w:val="Hyperlink"/>
          </w:rPr>
          <w:t>https://myintracomm.ec.europa.eu/budgweb/ES/man/budgmanag/Pages/budgmanag.aspx</w:t>
        </w:r>
      </w:hyperlink>
      <w:r>
        <w:t>.</w:t>
      </w:r>
    </w:p>
  </w:footnote>
  <w:footnote w:id="21">
    <w:p>
      <w:pPr>
        <w:pStyle w:val="FootnoteText"/>
        <w:rPr>
          <w:szCs w:val="24"/>
        </w:rPr>
      </w:pPr>
      <w:r>
        <w:rPr>
          <w:rStyle w:val="FootnoteReference"/>
        </w:rPr>
        <w:footnoteRef/>
      </w:r>
      <w:r>
        <w:tab/>
        <w:t>CD = créditos disociados / CND = créditos no disociados.</w:t>
      </w:r>
    </w:p>
  </w:footnote>
  <w:footnote w:id="22">
    <w:p>
      <w:pPr>
        <w:pStyle w:val="FootnoteText"/>
        <w:rPr>
          <w:szCs w:val="24"/>
        </w:rPr>
      </w:pPr>
      <w:r>
        <w:rPr>
          <w:rStyle w:val="FootnoteReference"/>
        </w:rPr>
        <w:footnoteRef/>
      </w:r>
      <w:r>
        <w:tab/>
        <w:t xml:space="preserve">AELC: Asociación Europea de Libre Comercio. </w:t>
      </w:r>
    </w:p>
  </w:footnote>
  <w:footnote w:id="23">
    <w:p>
      <w:pPr>
        <w:pStyle w:val="FootnoteText"/>
        <w:rPr>
          <w:szCs w:val="24"/>
        </w:rPr>
      </w:pPr>
      <w:r>
        <w:rPr>
          <w:rStyle w:val="FootnoteReference"/>
        </w:rPr>
        <w:footnoteRef/>
      </w:r>
      <w:r>
        <w:tab/>
        <w:t>Países candidatos y, en su caso, candidatos potenciales de los Balcanes Occidentales</w:t>
      </w:r>
    </w:p>
  </w:footnote>
  <w:footnote w:id="24">
    <w:p>
      <w:pPr>
        <w:pStyle w:val="FootnoteText"/>
      </w:pPr>
      <w:r>
        <w:rPr>
          <w:rStyle w:val="FootnoteReference"/>
        </w:rPr>
        <w:footnoteRef/>
      </w:r>
      <w:r>
        <w:tab/>
        <w:t>El año N es el año de comienzo de la ejecución de la propuesta/iniciativa. Sustitúyase «N» por el primer año de aplicación previsto (por ejemplo: 2021). Igual para los años siguientes.</w:t>
      </w:r>
    </w:p>
  </w:footnote>
  <w:footnote w:id="25">
    <w:p>
      <w:pPr>
        <w:pStyle w:val="FootnoteText"/>
        <w:rPr>
          <w:szCs w:val="24"/>
        </w:rPr>
      </w:pPr>
      <w:r>
        <w:rPr>
          <w:rStyle w:val="FootnoteReference"/>
        </w:rPr>
        <w:footnoteRef/>
      </w:r>
      <w:r>
        <w:tab/>
        <w:t>Los resultados son los productos y servicios que van a suministrarse (por ejemplo, número de intercambios de estudiantes financiados, número de kilómetros de carreteras construidos, etc.).</w:t>
      </w:r>
    </w:p>
  </w:footnote>
  <w:footnote w:id="26">
    <w:p>
      <w:pPr>
        <w:pStyle w:val="FootnoteText"/>
        <w:rPr>
          <w:szCs w:val="24"/>
        </w:rPr>
      </w:pPr>
      <w:r>
        <w:rPr>
          <w:rStyle w:val="FootnoteReference"/>
        </w:rPr>
        <w:footnoteRef/>
      </w:r>
      <w:r>
        <w:tab/>
        <w:t>Tal como se describe en el punto 1.4.2, «Objetivo(s) específico(s)...».</w:t>
      </w:r>
    </w:p>
  </w:footnote>
  <w:footnote w:id="27">
    <w:p>
      <w:pPr>
        <w:pStyle w:val="FootnoteText"/>
        <w:rPr>
          <w:szCs w:val="24"/>
        </w:rPr>
      </w:pPr>
      <w:r>
        <w:rPr>
          <w:rStyle w:val="FootnoteReference"/>
        </w:rPr>
        <w:footnoteRef/>
      </w:r>
      <w:r>
        <w:tab/>
        <w:t>El año N es el año de comienzo de la ejecución de la propuesta/iniciativa.</w:t>
      </w:r>
      <w:r>
        <w:rPr>
          <w:sz w:val="18"/>
        </w:rPr>
        <w:t xml:space="preserve"> Sustitúyase «N» por el primer año de aplicación previsto (por ejemplo: 2021). Igual para los años siguientes.</w:t>
      </w:r>
    </w:p>
  </w:footnote>
  <w:footnote w:id="28">
    <w:p>
      <w:pPr>
        <w:pStyle w:val="FootnoteText"/>
        <w:rPr>
          <w:szCs w:val="24"/>
        </w:rPr>
      </w:pPr>
      <w:r>
        <w:rPr>
          <w:rStyle w:val="FootnoteReference"/>
        </w:rPr>
        <w:footnoteRef/>
      </w:r>
      <w:r>
        <w:tab/>
        <w:t>El año N es el año de comienzo de la ejecución de la propuesta/iniciativa.</w:t>
      </w:r>
      <w:r>
        <w:rPr>
          <w:sz w:val="18"/>
        </w:rPr>
        <w:t xml:space="preserve"> Sustitúyase «N» por el primer año de aplicación previsto (por ejemplo: 2021). Igual para los años siguientes.</w:t>
      </w:r>
    </w:p>
  </w:footnote>
  <w:footnote w:id="29">
    <w:p>
      <w:pPr>
        <w:pStyle w:val="FootnoteText"/>
        <w:rPr>
          <w:szCs w:val="24"/>
        </w:rPr>
      </w:pPr>
      <w:r>
        <w:rPr>
          <w:rStyle w:val="FootnoteReference"/>
        </w:rPr>
        <w:footnoteRef/>
      </w:r>
      <w:r>
        <w:tab/>
        <w:t>Véanse los artículos 11 y 17 del Reglamento (UE, Euratom) n.º 1311/2013 del Consejo, por el que se establece el marco financiero plurianual para el período 2014-2020.</w:t>
      </w:r>
    </w:p>
  </w:footnote>
  <w:footnote w:id="30">
    <w:p>
      <w:pPr>
        <w:pStyle w:val="FootnoteText"/>
        <w:rPr>
          <w:szCs w:val="24"/>
        </w:rPr>
      </w:pPr>
      <w:r>
        <w:rPr>
          <w:rStyle w:val="FootnoteReference"/>
        </w:rPr>
        <w:footnoteRef/>
      </w:r>
      <w:r>
        <w:tab/>
        <w:t>Por lo que se refiere a los recursos propios tradicionales (derechos de aduana, cotizaciones sobre el azúcar), los importes indicados deben ser importes netos, es decir, importes brutos tras la deducción del 20 % de los gastos de recaudación.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7EC8292C"/>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90766C10"/>
    <w:lvl w:ilvl="0">
      <w:start w:val="1"/>
      <w:numFmt w:val="decimal"/>
      <w:pStyle w:val="ListNumber3"/>
      <w:lvlText w:val="%1."/>
      <w:lvlJc w:val="left"/>
      <w:pPr>
        <w:tabs>
          <w:tab w:val="num" w:pos="926"/>
        </w:tabs>
        <w:ind w:left="926" w:hanging="360"/>
      </w:pPr>
    </w:lvl>
  </w:abstractNum>
  <w:abstractNum w:abstractNumId="2">
    <w:nsid w:val="FFFFFF7F"/>
    <w:multiLevelType w:val="singleLevel"/>
    <w:tmpl w:val="8C54FB88"/>
    <w:lvl w:ilvl="0">
      <w:start w:val="1"/>
      <w:numFmt w:val="decimal"/>
      <w:pStyle w:val="ListNumber2"/>
      <w:lvlText w:val="%1."/>
      <w:lvlJc w:val="left"/>
      <w:pPr>
        <w:tabs>
          <w:tab w:val="num" w:pos="643"/>
        </w:tabs>
        <w:ind w:left="643" w:hanging="360"/>
      </w:pPr>
    </w:lvl>
  </w:abstractNum>
  <w:abstractNum w:abstractNumId="3">
    <w:nsid w:val="FFFFFF81"/>
    <w:multiLevelType w:val="singleLevel"/>
    <w:tmpl w:val="6E1A4F18"/>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F204089A"/>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808866EA"/>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8B4C57BA"/>
    <w:lvl w:ilvl="0">
      <w:start w:val="1"/>
      <w:numFmt w:val="decimal"/>
      <w:pStyle w:val="ListNumber"/>
      <w:lvlText w:val="%1."/>
      <w:lvlJc w:val="left"/>
      <w:pPr>
        <w:tabs>
          <w:tab w:val="num" w:pos="360"/>
        </w:tabs>
        <w:ind w:left="360" w:hanging="360"/>
      </w:pPr>
    </w:lvl>
  </w:abstractNum>
  <w:abstractNum w:abstractNumId="7">
    <w:nsid w:val="FFFFFF89"/>
    <w:multiLevelType w:val="singleLevel"/>
    <w:tmpl w:val="2B443CD8"/>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96D67A1"/>
    <w:multiLevelType w:val="singleLevel"/>
    <w:tmpl w:val="9AC8831A"/>
    <w:name w:val="List Dash 2"/>
    <w:lvl w:ilvl="0">
      <w:start w:val="1"/>
      <w:numFmt w:val="bullet"/>
      <w:pStyle w:val="ListDash2"/>
      <w:lvlText w:val="–"/>
      <w:lvlJc w:val="left"/>
      <w:pPr>
        <w:tabs>
          <w:tab w:val="num" w:pos="1134"/>
        </w:tabs>
        <w:ind w:left="1134" w:hanging="283"/>
      </w:pPr>
      <w:rPr>
        <w:rFonts w:ascii="Times New Roman" w:hAnsi="Times New Roman"/>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62A8042C"/>
    <w:multiLevelType w:val="singleLevel"/>
    <w:tmpl w:val="CCF20C06"/>
    <w:name w:val="List Dash 1"/>
    <w:lvl w:ilvl="0">
      <w:start w:val="1"/>
      <w:numFmt w:val="bullet"/>
      <w:pStyle w:val="ListDash1"/>
      <w:lvlText w:val="–"/>
      <w:lvlJc w:val="left"/>
      <w:pPr>
        <w:tabs>
          <w:tab w:val="num" w:pos="1134"/>
        </w:tabs>
        <w:ind w:left="1134" w:hanging="283"/>
      </w:pPr>
      <w:rPr>
        <w:rFonts w:ascii="Times New Roman" w:hAnsi="Times New Roman"/>
      </w:rPr>
    </w:lvl>
  </w:abstractNum>
  <w:abstractNum w:abstractNumId="21">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nsid w:val="6A6901C1"/>
    <w:multiLevelType w:val="singleLevel"/>
    <w:tmpl w:val="208841AE"/>
    <w:name w:val="List Bullet 1"/>
    <w:lvl w:ilvl="0">
      <w:start w:val="1"/>
      <w:numFmt w:val="bullet"/>
      <w:pStyle w:val="ListBullet1"/>
      <w:lvlText w:val=""/>
      <w:lvlJc w:val="left"/>
      <w:pPr>
        <w:tabs>
          <w:tab w:val="num" w:pos="1134"/>
        </w:tabs>
        <w:ind w:left="1134" w:hanging="283"/>
      </w:pPr>
      <w:rPr>
        <w:rFonts w:ascii="Symbol" w:hAnsi="Symbol" w:hint="default"/>
      </w:rPr>
    </w:lvl>
  </w:abstractNum>
  <w:abstractNum w:abstractNumId="24">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4"/>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24"/>
    <w:lvlOverride w:ilvl="0">
      <w:startOverride w:val="1"/>
    </w:lvlOverride>
  </w:num>
  <w:num w:numId="11">
    <w:abstractNumId w:val="21"/>
  </w:num>
  <w:num w:numId="12">
    <w:abstractNumId w:val="23"/>
  </w:num>
  <w:num w:numId="13">
    <w:abstractNumId w:val="20"/>
  </w:num>
  <w:num w:numId="14">
    <w:abstractNumId w:val="16"/>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12"/>
  </w:num>
  <w:num w:numId="19">
    <w:abstractNumId w:val="22"/>
  </w:num>
  <w:num w:numId="20">
    <w:abstractNumId w:val="11"/>
  </w:num>
  <w:num w:numId="21">
    <w:abstractNumId w:val="13"/>
  </w:num>
  <w:num w:numId="22">
    <w:abstractNumId w:val="9"/>
  </w:num>
  <w:num w:numId="23">
    <w:abstractNumId w:val="21"/>
  </w:num>
  <w:num w:numId="24">
    <w:abstractNumId w:val="8"/>
  </w:num>
  <w:num w:numId="25">
    <w:abstractNumId w:val="14"/>
  </w:num>
  <w:num w:numId="26">
    <w:abstractNumId w:val="17"/>
  </w:num>
  <w:num w:numId="27">
    <w:abstractNumId w:val="18"/>
  </w:num>
  <w:num w:numId="28">
    <w:abstractNumId w:val="10"/>
  </w:num>
  <w:num w:numId="29">
    <w:abstractNumId w:val="15"/>
  </w:num>
  <w:num w:numId="30">
    <w:abstractNumId w:val="24"/>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IEBA Michalina (SG)">
    <w15:presenceInfo w15:providerId="None" w15:userId="ZIEBA Michalina (S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hideSpellingErrors/>
  <w:hideGrammaticalErrors/>
  <w:activeWritingStyle w:appName="MSWord" w:lang="en-I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pt-PT" w:vendorID="64" w:dllVersion="131078" w:nlCheck="1" w:checkStyle="0"/>
  <w:activeWritingStyle w:appName="MSWord" w:lang="es-ES_tradnl" w:vendorID="64" w:dllVersion="131078" w:nlCheck="1" w:checkStyle="1"/>
  <w:attachedTemplate r:id="rId1"/>
  <w:revisionView w:markup="0"/>
  <w:defaultTabStop w:val="720"/>
  <w:hyphenationZone w:val="425"/>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9-17 12:43:34"/>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6"/>
    <w:docVar w:name="DQCResult_ModifiedMarkers" w:val="0;0"/>
    <w:docVar w:name="DQCResult_ModifiedNumbering" w:val="0;0"/>
    <w:docVar w:name="DQCResult_Objects" w:val="0;0"/>
    <w:docVar w:name="DQCResult_Sections" w:val="0;1"/>
    <w:docVar w:name="DQCResult_StructureCheck" w:val="0;0"/>
    <w:docVar w:name="DQCResult_SuperfluousWhitespace" w:val="0;9"/>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C505E8C9-9DD1-4769-B405-2AA9B23D9094"/>
    <w:docVar w:name="LW_COVERPAGE_TYPE" w:val="1"/>
    <w:docVar w:name="LW_CROSSREFERENCE" w:val="&lt;UNUSED&gt;"/>
    <w:docVar w:name="LW_DocType" w:val="COM"/>
    <w:docVar w:name="LW_EMISSION" w:val="12.9.2018"/>
    <w:docVar w:name="LW_EMISSION_ISODATE" w:val="2018-09-12"/>
    <w:docVar w:name="LW_EMISSION_LOCATION" w:val="BRX"/>
    <w:docVar w:name="LW_EMISSION_PREFIX" w:val="Bruselas, "/>
    <w:docVar w:name="LW_EMISSION_SUFFIX" w:val="&lt;EMPTY&gt;"/>
    <w:docVar w:name="LW_ID_DOCMODEL" w:val="SJ-023"/>
    <w:docVar w:name="LW_ID_DOCSIGNATURE" w:val="SJ-023"/>
    <w:docVar w:name="LW_ID_DOCSTRUCTURE" w:val="COM/PL/ORG"/>
    <w:docVar w:name="LW_ID_DOCTYPE" w:val="SJ-023"/>
    <w:docVar w:name="LW_ID_EXP.MOTIFS.NEW" w:val="EM_PL_"/>
    <w:docVar w:name="LW_ID_STATUT" w:val="SJ-023"/>
    <w:docVar w:name="LW_INTERETEEE.CP" w:val="&lt;UNUSED&gt;"/>
    <w:docVar w:name="LW_LANGUE" w:val="ES"/>
    <w:docVar w:name="LW_LEVEL_OF_SENSITIVITY" w:val="Standard treatment"/>
    <w:docVar w:name="LW_NOM.INST" w:val="COMISIÓN EUROPEA"/>
    <w:docVar w:name="LW_NOM.INST_JOINTDOC" w:val="&lt;EMPTY&gt;"/>
    <w:docVar w:name="LW_PART_NBR" w:val="1"/>
    <w:docVar w:name="LW_PART_NBR_TOTAL" w:val="1"/>
    <w:docVar w:name="LW_REF.II.NEW.CP" w:val="COD"/>
    <w:docVar w:name="LW_REF.II.NEW.CP_NUMBER" w:val="0336"/>
    <w:docVar w:name="LW_REF.II.NEW.CP_YEAR" w:val="2018"/>
    <w:docVar w:name="LW_REF.INST.NEW" w:val="COM"/>
    <w:docVar w:name="LW_REF.INST.NEW_ADOPTED" w:val="final"/>
    <w:docVar w:name="LW_REF.INST.NEW_TEXT" w:val="(2018) 63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Propuesta de"/>
    <w:docVar w:name="LW_SUPERTITRE" w:val="&lt;UNUSED&gt;"/>
    <w:docVar w:name="LW_TITRE.OBJ.CP" w:val="por el que se modifica el Reglamento (UE, Euratom) n.º 1141/2014 en lo que respecta a un procedimiento de verificación relativo a las infracciones de las normas de protección de los datos personales en el contexto de las elecciones al Parlamento Europeo_x000b__x000b_&lt;FMT:Italic&gt;Contribución de la Comisión Europea a la reunión de dirigentes&lt;/FMT&gt; &lt;FMT:Italic&gt;que se celebrará en Salzburgo los días 19 y 20 de septiembre de 2018&lt;/FMT&gt;_x000b_"/>
    <w:docVar w:name="LW_TYPE.DOC.CP" w:val="REGLAMENTO DEL PARLAMENTO EUROPEO Y DEL CONSEJO"/>
  </w:docVar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0" w:qFormat="1"/>
    <w:lsdException w:name="table of figures" w:uiPriority="0"/>
    <w:lsdException w:name="footnote reference" w:qFormat="1"/>
    <w:lsdException w:name="annotation reference"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pPr>
      <w:keepNext/>
      <w:numPr>
        <w:numId w:val="2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pPr>
      <w:spacing w:before="0" w:after="200"/>
    </w:pPr>
    <w:rPr>
      <w:i/>
      <w:iCs/>
      <w:color w:val="1F497D" w:themeColor="text2"/>
      <w:sz w:val="18"/>
      <w:szCs w:val="18"/>
    </w:rPr>
  </w:style>
  <w:style w:type="paragraph" w:styleId="TableofFigures">
    <w:name w:val="table of figures"/>
    <w:basedOn w:val="Normal"/>
    <w:next w:val="Normal"/>
    <w:unhideWhenUsed/>
    <w:pPr>
      <w:spacing w:after="0"/>
    </w:pPr>
  </w:style>
  <w:style w:type="paragraph" w:styleId="ListBullet">
    <w:name w:val="List Bullet"/>
    <w:basedOn w:val="Normal"/>
    <w:unhideWhenUsed/>
    <w:pPr>
      <w:numPr>
        <w:numId w:val="2"/>
      </w:numPr>
      <w:contextualSpacing/>
    </w:pPr>
  </w:style>
  <w:style w:type="paragraph" w:styleId="ListBullet2">
    <w:name w:val="List Bullet 2"/>
    <w:basedOn w:val="Normal"/>
    <w:unhideWhenUsed/>
    <w:pPr>
      <w:numPr>
        <w:numId w:val="3"/>
      </w:numPr>
      <w:contextualSpacing/>
    </w:pPr>
  </w:style>
  <w:style w:type="paragraph" w:styleId="ListBullet3">
    <w:name w:val="List Bullet 3"/>
    <w:basedOn w:val="Normal"/>
    <w:unhideWhenUsed/>
    <w:pPr>
      <w:numPr>
        <w:numId w:val="4"/>
      </w:numPr>
      <w:contextualSpacing/>
    </w:pPr>
  </w:style>
  <w:style w:type="paragraph" w:styleId="ListBullet4">
    <w:name w:val="List Bullet 4"/>
    <w:basedOn w:val="Normal"/>
    <w:unhideWhenUsed/>
    <w:pPr>
      <w:numPr>
        <w:numId w:val="5"/>
      </w:numPr>
      <w:contextualSpacing/>
    </w:pPr>
  </w:style>
  <w:style w:type="paragraph" w:styleId="ListNumber">
    <w:name w:val="List Number"/>
    <w:basedOn w:val="Normal"/>
    <w:unhideWhenUsed/>
    <w:pPr>
      <w:numPr>
        <w:numId w:val="6"/>
      </w:numPr>
      <w:contextualSpacing/>
    </w:pPr>
  </w:style>
  <w:style w:type="paragraph" w:styleId="ListNumber2">
    <w:name w:val="List Number 2"/>
    <w:basedOn w:val="Normal"/>
    <w:unhideWhenUsed/>
    <w:pPr>
      <w:numPr>
        <w:numId w:val="7"/>
      </w:numPr>
      <w:contextualSpacing/>
    </w:pPr>
  </w:style>
  <w:style w:type="paragraph" w:styleId="ListNumber3">
    <w:name w:val="List Number 3"/>
    <w:basedOn w:val="Normal"/>
    <w:unhideWhenUsed/>
    <w:pPr>
      <w:numPr>
        <w:numId w:val="8"/>
      </w:numPr>
      <w:contextualSpacing/>
    </w:pPr>
  </w:style>
  <w:style w:type="paragraph" w:styleId="ListNumber4">
    <w:name w:val="List Number 4"/>
    <w:basedOn w:val="Normal"/>
    <w:unhideWhenUsed/>
    <w:pPr>
      <w:numPr>
        <w:numId w:val="9"/>
      </w:numPr>
      <w:contextualSpacing/>
    </w:p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hAnsi="Times New Roman" w:cs="Times New Roman"/>
      <w:sz w:val="20"/>
      <w:szCs w:val="20"/>
      <w:lang w:val="es-ES"/>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rPr>
      <w:rFonts w:ascii="Times New Roman" w:hAnsi="Times New Roman" w:cs="Times New Roman"/>
      <w:b/>
      <w:bCs/>
      <w:sz w:val="20"/>
      <w:szCs w:val="20"/>
      <w:lang w:val="es-ES"/>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lang w:val="es-ES"/>
    </w:rPr>
  </w:style>
  <w:style w:type="character" w:styleId="Emphasis">
    <w:name w:val="Emphasis"/>
    <w:uiPriority w:val="20"/>
    <w:qFormat/>
    <w:rPr>
      <w:i/>
      <w:iCs/>
    </w:rPr>
  </w:style>
  <w:style w:type="character" w:styleId="FollowedHyperlink">
    <w:name w:val="FollowedHyperlink"/>
    <w:basedOn w:val="DefaultParagraphFont"/>
    <w:unhideWhenUsed/>
    <w:rPr>
      <w:color w:val="800080" w:themeColor="followedHyperlink"/>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normal2">
    <w:name w:val="normal2"/>
    <w:basedOn w:val="Normal"/>
    <w:pPr>
      <w:spacing w:after="0" w:line="312" w:lineRule="atLeast"/>
    </w:pPr>
    <w:rPr>
      <w:rFonts w:eastAsia="Times New Roman"/>
      <w:szCs w:val="24"/>
    </w:rPr>
  </w:style>
  <w:style w:type="character" w:styleId="Strong">
    <w:name w:val="Strong"/>
    <w:basedOn w:val="DefaultParagraphFont"/>
    <w:uiPriority w:val="22"/>
    <w:qFormat/>
    <w:rPr>
      <w:b/>
      <w:bCs/>
    </w:rPr>
  </w:style>
  <w:style w:type="paragraph" w:customStyle="1" w:styleId="norm">
    <w:name w:val="norm"/>
    <w:basedOn w:val="Normal"/>
    <w:pPr>
      <w:spacing w:after="0"/>
    </w:pPr>
    <w:rPr>
      <w:rFonts w:eastAsia="Times New Roman"/>
      <w:szCs w:val="24"/>
    </w:rPr>
  </w:style>
  <w:style w:type="paragraph" w:customStyle="1" w:styleId="ListBullet1">
    <w:name w:val="List Bullet 1"/>
    <w:basedOn w:val="Normal"/>
    <w:pPr>
      <w:numPr>
        <w:numId w:val="12"/>
      </w:numPr>
    </w:pPr>
  </w:style>
  <w:style w:type="paragraph" w:customStyle="1" w:styleId="ListDash1">
    <w:name w:val="List Dash 1"/>
    <w:basedOn w:val="Normal"/>
    <w:pPr>
      <w:numPr>
        <w:numId w:val="13"/>
      </w:numPr>
    </w:pPr>
  </w:style>
  <w:style w:type="paragraph" w:customStyle="1" w:styleId="ListDash2">
    <w:name w:val="List Dash 2"/>
    <w:basedOn w:val="Normal"/>
    <w:pPr>
      <w:numPr>
        <w:numId w:val="14"/>
      </w:numPr>
    </w:pPr>
  </w:style>
  <w:style w:type="paragraph" w:customStyle="1" w:styleId="ListNumberLevel2">
    <w:name w:val="List Number (Level 2)"/>
    <w:basedOn w:val="Normal"/>
    <w:pPr>
      <w:tabs>
        <w:tab w:val="num" w:pos="1417"/>
      </w:tabs>
      <w:ind w:left="1417" w:hanging="708"/>
    </w:pPr>
  </w:style>
  <w:style w:type="paragraph" w:customStyle="1" w:styleId="ListNumberLevel3">
    <w:name w:val="List Number (Level 3)"/>
    <w:basedOn w:val="Normal"/>
    <w:pPr>
      <w:tabs>
        <w:tab w:val="num" w:pos="2126"/>
      </w:tabs>
      <w:ind w:left="2126" w:hanging="709"/>
    </w:pPr>
  </w:style>
  <w:style w:type="paragraph" w:customStyle="1" w:styleId="ListNumberLevel4">
    <w:name w:val="List Number (Level 4)"/>
    <w:basedOn w:val="Normal"/>
    <w:pPr>
      <w:tabs>
        <w:tab w:val="num" w:pos="2835"/>
      </w:tabs>
      <w:ind w:left="2835" w:hanging="709"/>
    </w:pPr>
  </w:style>
  <w:style w:type="paragraph" w:customStyle="1" w:styleId="Fichefinancirestandardtitre">
    <w:name w:val="Fiche financière (standard) titre"/>
    <w:basedOn w:val="Normal"/>
    <w:next w:val="Normal"/>
    <w:pPr>
      <w:jc w:val="center"/>
    </w:pPr>
    <w:rPr>
      <w:b/>
      <w:u w:val="single"/>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OCHeadingChar">
    <w:name w:val="TOC Heading Char"/>
    <w:basedOn w:val="DefaultParagraphFont"/>
    <w:uiPriority w:val="39"/>
    <w:rPr>
      <w:rFonts w:ascii="Times New Roman" w:hAnsi="Times New Roman" w:cs="Times New Roman"/>
      <w:b/>
      <w:sz w:val="28"/>
      <w:lang w:val="es-ES"/>
    </w:rPr>
  </w:style>
  <w:style w:type="character" w:customStyle="1" w:styleId="FooterCoverPageChar">
    <w:name w:val="Footer Cover Page Char"/>
    <w:basedOn w:val="TOCHeadingChar"/>
    <w:link w:val="FooterCoverPage"/>
    <w:rPr>
      <w:rFonts w:ascii="Times New Roman" w:hAnsi="Times New Roman" w:cs="Times New Roman"/>
      <w:b w:val="0"/>
      <w:sz w:val="24"/>
      <w:lang w:val="es-ES"/>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basedOn w:val="TOCHeadingChar"/>
    <w:link w:val="HeaderCoverPage"/>
    <w:rPr>
      <w:rFonts w:ascii="Times New Roman" w:hAnsi="Times New Roman" w:cs="Times New Roman"/>
      <w:b w:val="0"/>
      <w:sz w:val="24"/>
      <w:lang w:val="es-ES" w:eastAsia="es-ES"/>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s-ES_tradnl"/>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s-ES_tradn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7"/>
      </w:numPr>
    </w:pPr>
  </w:style>
  <w:style w:type="paragraph" w:customStyle="1" w:styleId="Tiret1">
    <w:name w:val="Tiret 1"/>
    <w:basedOn w:val="Point1"/>
    <w:pPr>
      <w:numPr>
        <w:numId w:val="18"/>
      </w:numPr>
    </w:pPr>
  </w:style>
  <w:style w:type="paragraph" w:customStyle="1" w:styleId="Tiret2">
    <w:name w:val="Tiret 2"/>
    <w:basedOn w:val="Point2"/>
    <w:pPr>
      <w:numPr>
        <w:numId w:val="19"/>
      </w:numPr>
    </w:pPr>
  </w:style>
  <w:style w:type="paragraph" w:customStyle="1" w:styleId="Tiret3">
    <w:name w:val="Tiret 3"/>
    <w:basedOn w:val="Point3"/>
    <w:pPr>
      <w:numPr>
        <w:numId w:val="20"/>
      </w:numPr>
    </w:pPr>
  </w:style>
  <w:style w:type="paragraph" w:customStyle="1" w:styleId="Tiret4">
    <w:name w:val="Tiret 4"/>
    <w:basedOn w:val="Point4"/>
    <w:pPr>
      <w:numPr>
        <w:numId w:val="2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2"/>
      </w:numPr>
    </w:pPr>
  </w:style>
  <w:style w:type="paragraph" w:customStyle="1" w:styleId="NumPar2">
    <w:name w:val="NumPar 2"/>
    <w:basedOn w:val="Normal"/>
    <w:next w:val="Text1"/>
    <w:pPr>
      <w:numPr>
        <w:ilvl w:val="1"/>
        <w:numId w:val="22"/>
      </w:numPr>
    </w:pPr>
  </w:style>
  <w:style w:type="paragraph" w:customStyle="1" w:styleId="NumPar3">
    <w:name w:val="NumPar 3"/>
    <w:basedOn w:val="Normal"/>
    <w:next w:val="Text1"/>
    <w:pPr>
      <w:numPr>
        <w:ilvl w:val="2"/>
        <w:numId w:val="22"/>
      </w:numPr>
    </w:pPr>
  </w:style>
  <w:style w:type="paragraph" w:customStyle="1" w:styleId="NumPar4">
    <w:name w:val="NumPar 4"/>
    <w:basedOn w:val="Normal"/>
    <w:next w:val="Text1"/>
    <w:pPr>
      <w:numPr>
        <w:ilvl w:val="3"/>
        <w:numId w:val="2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4"/>
      </w:numPr>
    </w:pPr>
  </w:style>
  <w:style w:type="paragraph" w:customStyle="1" w:styleId="Point1number">
    <w:name w:val="Point 1 (number)"/>
    <w:basedOn w:val="Normal"/>
    <w:pPr>
      <w:numPr>
        <w:ilvl w:val="2"/>
        <w:numId w:val="24"/>
      </w:numPr>
    </w:pPr>
  </w:style>
  <w:style w:type="paragraph" w:customStyle="1" w:styleId="Point2number">
    <w:name w:val="Point 2 (number)"/>
    <w:basedOn w:val="Normal"/>
    <w:pPr>
      <w:numPr>
        <w:ilvl w:val="4"/>
        <w:numId w:val="24"/>
      </w:numPr>
    </w:pPr>
  </w:style>
  <w:style w:type="paragraph" w:customStyle="1" w:styleId="Point3number">
    <w:name w:val="Point 3 (number)"/>
    <w:basedOn w:val="Normal"/>
    <w:pPr>
      <w:numPr>
        <w:ilvl w:val="6"/>
        <w:numId w:val="24"/>
      </w:numPr>
    </w:pPr>
  </w:style>
  <w:style w:type="paragraph" w:customStyle="1" w:styleId="Point0letter">
    <w:name w:val="Point 0 (letter)"/>
    <w:basedOn w:val="Normal"/>
    <w:pPr>
      <w:numPr>
        <w:ilvl w:val="1"/>
        <w:numId w:val="24"/>
      </w:numPr>
    </w:pPr>
  </w:style>
  <w:style w:type="paragraph" w:customStyle="1" w:styleId="Point1letter">
    <w:name w:val="Point 1 (letter)"/>
    <w:basedOn w:val="Normal"/>
    <w:pPr>
      <w:numPr>
        <w:ilvl w:val="3"/>
        <w:numId w:val="24"/>
      </w:numPr>
    </w:pPr>
  </w:style>
  <w:style w:type="paragraph" w:customStyle="1" w:styleId="Point2letter">
    <w:name w:val="Point 2 (letter)"/>
    <w:basedOn w:val="Normal"/>
    <w:pPr>
      <w:numPr>
        <w:ilvl w:val="5"/>
        <w:numId w:val="24"/>
      </w:numPr>
    </w:pPr>
  </w:style>
  <w:style w:type="paragraph" w:customStyle="1" w:styleId="Point3letter">
    <w:name w:val="Point 3 (letter)"/>
    <w:basedOn w:val="Normal"/>
    <w:pPr>
      <w:numPr>
        <w:ilvl w:val="7"/>
        <w:numId w:val="24"/>
      </w:numPr>
    </w:pPr>
  </w:style>
  <w:style w:type="paragraph" w:customStyle="1" w:styleId="Point4letter">
    <w:name w:val="Point 4 (letter)"/>
    <w:basedOn w:val="Normal"/>
    <w:pPr>
      <w:numPr>
        <w:ilvl w:val="8"/>
        <w:numId w:val="24"/>
      </w:numPr>
    </w:pPr>
  </w:style>
  <w:style w:type="paragraph" w:customStyle="1" w:styleId="Bullet0">
    <w:name w:val="Bullet 0"/>
    <w:basedOn w:val="Normal"/>
    <w:pPr>
      <w:numPr>
        <w:numId w:val="25"/>
      </w:numPr>
    </w:pPr>
  </w:style>
  <w:style w:type="paragraph" w:customStyle="1" w:styleId="Bullet1">
    <w:name w:val="Bullet 1"/>
    <w:basedOn w:val="Normal"/>
    <w:pPr>
      <w:numPr>
        <w:numId w:val="26"/>
      </w:numPr>
    </w:pPr>
  </w:style>
  <w:style w:type="paragraph" w:customStyle="1" w:styleId="Bullet2">
    <w:name w:val="Bullet 2"/>
    <w:basedOn w:val="Normal"/>
    <w:pPr>
      <w:numPr>
        <w:numId w:val="27"/>
      </w:numPr>
    </w:pPr>
  </w:style>
  <w:style w:type="paragraph" w:customStyle="1" w:styleId="Bullet3">
    <w:name w:val="Bullet 3"/>
    <w:basedOn w:val="Normal"/>
    <w:pPr>
      <w:numPr>
        <w:numId w:val="28"/>
      </w:numPr>
    </w:pPr>
  </w:style>
  <w:style w:type="paragraph" w:customStyle="1" w:styleId="Bullet4">
    <w:name w:val="Bullet 4"/>
    <w:basedOn w:val="Normal"/>
    <w:pPr>
      <w:numPr>
        <w:numId w:val="2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0" w:qFormat="1"/>
    <w:lsdException w:name="table of figures" w:uiPriority="0"/>
    <w:lsdException w:name="footnote reference" w:qFormat="1"/>
    <w:lsdException w:name="annotation reference"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pPr>
      <w:keepNext/>
      <w:numPr>
        <w:numId w:val="2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pPr>
      <w:spacing w:before="0" w:after="200"/>
    </w:pPr>
    <w:rPr>
      <w:i/>
      <w:iCs/>
      <w:color w:val="1F497D" w:themeColor="text2"/>
      <w:sz w:val="18"/>
      <w:szCs w:val="18"/>
    </w:rPr>
  </w:style>
  <w:style w:type="paragraph" w:styleId="TableofFigures">
    <w:name w:val="table of figures"/>
    <w:basedOn w:val="Normal"/>
    <w:next w:val="Normal"/>
    <w:unhideWhenUsed/>
    <w:pPr>
      <w:spacing w:after="0"/>
    </w:pPr>
  </w:style>
  <w:style w:type="paragraph" w:styleId="ListBullet">
    <w:name w:val="List Bullet"/>
    <w:basedOn w:val="Normal"/>
    <w:unhideWhenUsed/>
    <w:pPr>
      <w:numPr>
        <w:numId w:val="2"/>
      </w:numPr>
      <w:contextualSpacing/>
    </w:pPr>
  </w:style>
  <w:style w:type="paragraph" w:styleId="ListBullet2">
    <w:name w:val="List Bullet 2"/>
    <w:basedOn w:val="Normal"/>
    <w:unhideWhenUsed/>
    <w:pPr>
      <w:numPr>
        <w:numId w:val="3"/>
      </w:numPr>
      <w:contextualSpacing/>
    </w:pPr>
  </w:style>
  <w:style w:type="paragraph" w:styleId="ListBullet3">
    <w:name w:val="List Bullet 3"/>
    <w:basedOn w:val="Normal"/>
    <w:unhideWhenUsed/>
    <w:pPr>
      <w:numPr>
        <w:numId w:val="4"/>
      </w:numPr>
      <w:contextualSpacing/>
    </w:pPr>
  </w:style>
  <w:style w:type="paragraph" w:styleId="ListBullet4">
    <w:name w:val="List Bullet 4"/>
    <w:basedOn w:val="Normal"/>
    <w:unhideWhenUsed/>
    <w:pPr>
      <w:numPr>
        <w:numId w:val="5"/>
      </w:numPr>
      <w:contextualSpacing/>
    </w:pPr>
  </w:style>
  <w:style w:type="paragraph" w:styleId="ListNumber">
    <w:name w:val="List Number"/>
    <w:basedOn w:val="Normal"/>
    <w:unhideWhenUsed/>
    <w:pPr>
      <w:numPr>
        <w:numId w:val="6"/>
      </w:numPr>
      <w:contextualSpacing/>
    </w:pPr>
  </w:style>
  <w:style w:type="paragraph" w:styleId="ListNumber2">
    <w:name w:val="List Number 2"/>
    <w:basedOn w:val="Normal"/>
    <w:unhideWhenUsed/>
    <w:pPr>
      <w:numPr>
        <w:numId w:val="7"/>
      </w:numPr>
      <w:contextualSpacing/>
    </w:pPr>
  </w:style>
  <w:style w:type="paragraph" w:styleId="ListNumber3">
    <w:name w:val="List Number 3"/>
    <w:basedOn w:val="Normal"/>
    <w:unhideWhenUsed/>
    <w:pPr>
      <w:numPr>
        <w:numId w:val="8"/>
      </w:numPr>
      <w:contextualSpacing/>
    </w:pPr>
  </w:style>
  <w:style w:type="paragraph" w:styleId="ListNumber4">
    <w:name w:val="List Number 4"/>
    <w:basedOn w:val="Normal"/>
    <w:unhideWhenUsed/>
    <w:pPr>
      <w:numPr>
        <w:numId w:val="9"/>
      </w:numPr>
      <w:contextualSpacing/>
    </w:p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hAnsi="Times New Roman" w:cs="Times New Roman"/>
      <w:sz w:val="20"/>
      <w:szCs w:val="20"/>
      <w:lang w:val="es-ES"/>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rPr>
      <w:rFonts w:ascii="Times New Roman" w:hAnsi="Times New Roman" w:cs="Times New Roman"/>
      <w:b/>
      <w:bCs/>
      <w:sz w:val="20"/>
      <w:szCs w:val="20"/>
      <w:lang w:val="es-ES"/>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lang w:val="es-ES"/>
    </w:rPr>
  </w:style>
  <w:style w:type="character" w:styleId="Emphasis">
    <w:name w:val="Emphasis"/>
    <w:uiPriority w:val="20"/>
    <w:qFormat/>
    <w:rPr>
      <w:i/>
      <w:iCs/>
    </w:rPr>
  </w:style>
  <w:style w:type="character" w:styleId="FollowedHyperlink">
    <w:name w:val="FollowedHyperlink"/>
    <w:basedOn w:val="DefaultParagraphFont"/>
    <w:unhideWhenUsed/>
    <w:rPr>
      <w:color w:val="800080" w:themeColor="followedHyperlink"/>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normal2">
    <w:name w:val="normal2"/>
    <w:basedOn w:val="Normal"/>
    <w:pPr>
      <w:spacing w:after="0" w:line="312" w:lineRule="atLeast"/>
    </w:pPr>
    <w:rPr>
      <w:rFonts w:eastAsia="Times New Roman"/>
      <w:szCs w:val="24"/>
    </w:rPr>
  </w:style>
  <w:style w:type="character" w:styleId="Strong">
    <w:name w:val="Strong"/>
    <w:basedOn w:val="DefaultParagraphFont"/>
    <w:uiPriority w:val="22"/>
    <w:qFormat/>
    <w:rPr>
      <w:b/>
      <w:bCs/>
    </w:rPr>
  </w:style>
  <w:style w:type="paragraph" w:customStyle="1" w:styleId="norm">
    <w:name w:val="norm"/>
    <w:basedOn w:val="Normal"/>
    <w:pPr>
      <w:spacing w:after="0"/>
    </w:pPr>
    <w:rPr>
      <w:rFonts w:eastAsia="Times New Roman"/>
      <w:szCs w:val="24"/>
    </w:rPr>
  </w:style>
  <w:style w:type="paragraph" w:customStyle="1" w:styleId="ListBullet1">
    <w:name w:val="List Bullet 1"/>
    <w:basedOn w:val="Normal"/>
    <w:pPr>
      <w:numPr>
        <w:numId w:val="12"/>
      </w:numPr>
    </w:pPr>
  </w:style>
  <w:style w:type="paragraph" w:customStyle="1" w:styleId="ListDash1">
    <w:name w:val="List Dash 1"/>
    <w:basedOn w:val="Normal"/>
    <w:pPr>
      <w:numPr>
        <w:numId w:val="13"/>
      </w:numPr>
    </w:pPr>
  </w:style>
  <w:style w:type="paragraph" w:customStyle="1" w:styleId="ListDash2">
    <w:name w:val="List Dash 2"/>
    <w:basedOn w:val="Normal"/>
    <w:pPr>
      <w:numPr>
        <w:numId w:val="14"/>
      </w:numPr>
    </w:pPr>
  </w:style>
  <w:style w:type="paragraph" w:customStyle="1" w:styleId="ListNumberLevel2">
    <w:name w:val="List Number (Level 2)"/>
    <w:basedOn w:val="Normal"/>
    <w:pPr>
      <w:tabs>
        <w:tab w:val="num" w:pos="1417"/>
      </w:tabs>
      <w:ind w:left="1417" w:hanging="708"/>
    </w:pPr>
  </w:style>
  <w:style w:type="paragraph" w:customStyle="1" w:styleId="ListNumberLevel3">
    <w:name w:val="List Number (Level 3)"/>
    <w:basedOn w:val="Normal"/>
    <w:pPr>
      <w:tabs>
        <w:tab w:val="num" w:pos="2126"/>
      </w:tabs>
      <w:ind w:left="2126" w:hanging="709"/>
    </w:pPr>
  </w:style>
  <w:style w:type="paragraph" w:customStyle="1" w:styleId="ListNumberLevel4">
    <w:name w:val="List Number (Level 4)"/>
    <w:basedOn w:val="Normal"/>
    <w:pPr>
      <w:tabs>
        <w:tab w:val="num" w:pos="2835"/>
      </w:tabs>
      <w:ind w:left="2835" w:hanging="709"/>
    </w:pPr>
  </w:style>
  <w:style w:type="paragraph" w:customStyle="1" w:styleId="Fichefinancirestandardtitre">
    <w:name w:val="Fiche financière (standard) titre"/>
    <w:basedOn w:val="Normal"/>
    <w:next w:val="Normal"/>
    <w:pPr>
      <w:jc w:val="center"/>
    </w:pPr>
    <w:rPr>
      <w:b/>
      <w:u w:val="single"/>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OCHeadingChar">
    <w:name w:val="TOC Heading Char"/>
    <w:basedOn w:val="DefaultParagraphFont"/>
    <w:uiPriority w:val="39"/>
    <w:rPr>
      <w:rFonts w:ascii="Times New Roman" w:hAnsi="Times New Roman" w:cs="Times New Roman"/>
      <w:b/>
      <w:sz w:val="28"/>
      <w:lang w:val="es-ES"/>
    </w:rPr>
  </w:style>
  <w:style w:type="character" w:customStyle="1" w:styleId="FooterCoverPageChar">
    <w:name w:val="Footer Cover Page Char"/>
    <w:basedOn w:val="TOCHeadingChar"/>
    <w:link w:val="FooterCoverPage"/>
    <w:rPr>
      <w:rFonts w:ascii="Times New Roman" w:hAnsi="Times New Roman" w:cs="Times New Roman"/>
      <w:b w:val="0"/>
      <w:sz w:val="24"/>
      <w:lang w:val="es-ES"/>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basedOn w:val="TOCHeadingChar"/>
    <w:link w:val="HeaderCoverPage"/>
    <w:rPr>
      <w:rFonts w:ascii="Times New Roman" w:hAnsi="Times New Roman" w:cs="Times New Roman"/>
      <w:b w:val="0"/>
      <w:sz w:val="24"/>
      <w:lang w:val="es-ES" w:eastAsia="es-ES"/>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s-ES_tradnl"/>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s-ES_tradn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7"/>
      </w:numPr>
    </w:pPr>
  </w:style>
  <w:style w:type="paragraph" w:customStyle="1" w:styleId="Tiret1">
    <w:name w:val="Tiret 1"/>
    <w:basedOn w:val="Point1"/>
    <w:pPr>
      <w:numPr>
        <w:numId w:val="18"/>
      </w:numPr>
    </w:pPr>
  </w:style>
  <w:style w:type="paragraph" w:customStyle="1" w:styleId="Tiret2">
    <w:name w:val="Tiret 2"/>
    <w:basedOn w:val="Point2"/>
    <w:pPr>
      <w:numPr>
        <w:numId w:val="19"/>
      </w:numPr>
    </w:pPr>
  </w:style>
  <w:style w:type="paragraph" w:customStyle="1" w:styleId="Tiret3">
    <w:name w:val="Tiret 3"/>
    <w:basedOn w:val="Point3"/>
    <w:pPr>
      <w:numPr>
        <w:numId w:val="20"/>
      </w:numPr>
    </w:pPr>
  </w:style>
  <w:style w:type="paragraph" w:customStyle="1" w:styleId="Tiret4">
    <w:name w:val="Tiret 4"/>
    <w:basedOn w:val="Point4"/>
    <w:pPr>
      <w:numPr>
        <w:numId w:val="2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2"/>
      </w:numPr>
    </w:pPr>
  </w:style>
  <w:style w:type="paragraph" w:customStyle="1" w:styleId="NumPar2">
    <w:name w:val="NumPar 2"/>
    <w:basedOn w:val="Normal"/>
    <w:next w:val="Text1"/>
    <w:pPr>
      <w:numPr>
        <w:ilvl w:val="1"/>
        <w:numId w:val="22"/>
      </w:numPr>
    </w:pPr>
  </w:style>
  <w:style w:type="paragraph" w:customStyle="1" w:styleId="NumPar3">
    <w:name w:val="NumPar 3"/>
    <w:basedOn w:val="Normal"/>
    <w:next w:val="Text1"/>
    <w:pPr>
      <w:numPr>
        <w:ilvl w:val="2"/>
        <w:numId w:val="22"/>
      </w:numPr>
    </w:pPr>
  </w:style>
  <w:style w:type="paragraph" w:customStyle="1" w:styleId="NumPar4">
    <w:name w:val="NumPar 4"/>
    <w:basedOn w:val="Normal"/>
    <w:next w:val="Text1"/>
    <w:pPr>
      <w:numPr>
        <w:ilvl w:val="3"/>
        <w:numId w:val="2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4"/>
      </w:numPr>
    </w:pPr>
  </w:style>
  <w:style w:type="paragraph" w:customStyle="1" w:styleId="Point1number">
    <w:name w:val="Point 1 (number)"/>
    <w:basedOn w:val="Normal"/>
    <w:pPr>
      <w:numPr>
        <w:ilvl w:val="2"/>
        <w:numId w:val="24"/>
      </w:numPr>
    </w:pPr>
  </w:style>
  <w:style w:type="paragraph" w:customStyle="1" w:styleId="Point2number">
    <w:name w:val="Point 2 (number)"/>
    <w:basedOn w:val="Normal"/>
    <w:pPr>
      <w:numPr>
        <w:ilvl w:val="4"/>
        <w:numId w:val="24"/>
      </w:numPr>
    </w:pPr>
  </w:style>
  <w:style w:type="paragraph" w:customStyle="1" w:styleId="Point3number">
    <w:name w:val="Point 3 (number)"/>
    <w:basedOn w:val="Normal"/>
    <w:pPr>
      <w:numPr>
        <w:ilvl w:val="6"/>
        <w:numId w:val="24"/>
      </w:numPr>
    </w:pPr>
  </w:style>
  <w:style w:type="paragraph" w:customStyle="1" w:styleId="Point0letter">
    <w:name w:val="Point 0 (letter)"/>
    <w:basedOn w:val="Normal"/>
    <w:pPr>
      <w:numPr>
        <w:ilvl w:val="1"/>
        <w:numId w:val="24"/>
      </w:numPr>
    </w:pPr>
  </w:style>
  <w:style w:type="paragraph" w:customStyle="1" w:styleId="Point1letter">
    <w:name w:val="Point 1 (letter)"/>
    <w:basedOn w:val="Normal"/>
    <w:pPr>
      <w:numPr>
        <w:ilvl w:val="3"/>
        <w:numId w:val="24"/>
      </w:numPr>
    </w:pPr>
  </w:style>
  <w:style w:type="paragraph" w:customStyle="1" w:styleId="Point2letter">
    <w:name w:val="Point 2 (letter)"/>
    <w:basedOn w:val="Normal"/>
    <w:pPr>
      <w:numPr>
        <w:ilvl w:val="5"/>
        <w:numId w:val="24"/>
      </w:numPr>
    </w:pPr>
  </w:style>
  <w:style w:type="paragraph" w:customStyle="1" w:styleId="Point3letter">
    <w:name w:val="Point 3 (letter)"/>
    <w:basedOn w:val="Normal"/>
    <w:pPr>
      <w:numPr>
        <w:ilvl w:val="7"/>
        <w:numId w:val="24"/>
      </w:numPr>
    </w:pPr>
  </w:style>
  <w:style w:type="paragraph" w:customStyle="1" w:styleId="Point4letter">
    <w:name w:val="Point 4 (letter)"/>
    <w:basedOn w:val="Normal"/>
    <w:pPr>
      <w:numPr>
        <w:ilvl w:val="8"/>
        <w:numId w:val="24"/>
      </w:numPr>
    </w:pPr>
  </w:style>
  <w:style w:type="paragraph" w:customStyle="1" w:styleId="Bullet0">
    <w:name w:val="Bullet 0"/>
    <w:basedOn w:val="Normal"/>
    <w:pPr>
      <w:numPr>
        <w:numId w:val="25"/>
      </w:numPr>
    </w:pPr>
  </w:style>
  <w:style w:type="paragraph" w:customStyle="1" w:styleId="Bullet1">
    <w:name w:val="Bullet 1"/>
    <w:basedOn w:val="Normal"/>
    <w:pPr>
      <w:numPr>
        <w:numId w:val="26"/>
      </w:numPr>
    </w:pPr>
  </w:style>
  <w:style w:type="paragraph" w:customStyle="1" w:styleId="Bullet2">
    <w:name w:val="Bullet 2"/>
    <w:basedOn w:val="Normal"/>
    <w:pPr>
      <w:numPr>
        <w:numId w:val="27"/>
      </w:numPr>
    </w:pPr>
  </w:style>
  <w:style w:type="paragraph" w:customStyle="1" w:styleId="Bullet3">
    <w:name w:val="Bullet 3"/>
    <w:basedOn w:val="Normal"/>
    <w:pPr>
      <w:numPr>
        <w:numId w:val="28"/>
      </w:numPr>
    </w:pPr>
  </w:style>
  <w:style w:type="paragraph" w:customStyle="1" w:styleId="Bullet4">
    <w:name w:val="Bullet 4"/>
    <w:basedOn w:val="Normal"/>
    <w:pPr>
      <w:numPr>
        <w:numId w:val="2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94139">
      <w:bodyDiv w:val="1"/>
      <w:marLeft w:val="0"/>
      <w:marRight w:val="0"/>
      <w:marTop w:val="0"/>
      <w:marBottom w:val="0"/>
      <w:divBdr>
        <w:top w:val="none" w:sz="0" w:space="0" w:color="auto"/>
        <w:left w:val="none" w:sz="0" w:space="0" w:color="auto"/>
        <w:bottom w:val="none" w:sz="0" w:space="0" w:color="auto"/>
        <w:right w:val="none" w:sz="0" w:space="0" w:color="auto"/>
      </w:divBdr>
      <w:divsChild>
        <w:div w:id="170604281">
          <w:marLeft w:val="0"/>
          <w:marRight w:val="0"/>
          <w:marTop w:val="0"/>
          <w:marBottom w:val="0"/>
          <w:divBdr>
            <w:top w:val="none" w:sz="0" w:space="0" w:color="auto"/>
            <w:left w:val="none" w:sz="0" w:space="0" w:color="auto"/>
            <w:bottom w:val="none" w:sz="0" w:space="0" w:color="auto"/>
            <w:right w:val="none" w:sz="0" w:space="0" w:color="auto"/>
          </w:divBdr>
          <w:divsChild>
            <w:div w:id="880746428">
              <w:marLeft w:val="0"/>
              <w:marRight w:val="0"/>
              <w:marTop w:val="0"/>
              <w:marBottom w:val="0"/>
              <w:divBdr>
                <w:top w:val="none" w:sz="0" w:space="0" w:color="auto"/>
                <w:left w:val="none" w:sz="0" w:space="0" w:color="auto"/>
                <w:bottom w:val="none" w:sz="0" w:space="0" w:color="auto"/>
                <w:right w:val="none" w:sz="0" w:space="0" w:color="auto"/>
              </w:divBdr>
              <w:divsChild>
                <w:div w:id="1358971456">
                  <w:marLeft w:val="0"/>
                  <w:marRight w:val="0"/>
                  <w:marTop w:val="0"/>
                  <w:marBottom w:val="0"/>
                  <w:divBdr>
                    <w:top w:val="none" w:sz="0" w:space="0" w:color="auto"/>
                    <w:left w:val="none" w:sz="0" w:space="0" w:color="auto"/>
                    <w:bottom w:val="none" w:sz="0" w:space="0" w:color="auto"/>
                    <w:right w:val="none" w:sz="0" w:space="0" w:color="auto"/>
                  </w:divBdr>
                  <w:divsChild>
                    <w:div w:id="2000648853">
                      <w:marLeft w:val="1"/>
                      <w:marRight w:val="1"/>
                      <w:marTop w:val="0"/>
                      <w:marBottom w:val="0"/>
                      <w:divBdr>
                        <w:top w:val="none" w:sz="0" w:space="0" w:color="auto"/>
                        <w:left w:val="none" w:sz="0" w:space="0" w:color="auto"/>
                        <w:bottom w:val="none" w:sz="0" w:space="0" w:color="auto"/>
                        <w:right w:val="none" w:sz="0" w:space="0" w:color="auto"/>
                      </w:divBdr>
                      <w:divsChild>
                        <w:div w:id="586841760">
                          <w:marLeft w:val="0"/>
                          <w:marRight w:val="0"/>
                          <w:marTop w:val="0"/>
                          <w:marBottom w:val="0"/>
                          <w:divBdr>
                            <w:top w:val="none" w:sz="0" w:space="0" w:color="auto"/>
                            <w:left w:val="none" w:sz="0" w:space="0" w:color="auto"/>
                            <w:bottom w:val="none" w:sz="0" w:space="0" w:color="auto"/>
                            <w:right w:val="none" w:sz="0" w:space="0" w:color="auto"/>
                          </w:divBdr>
                          <w:divsChild>
                            <w:div w:id="1905294853">
                              <w:marLeft w:val="0"/>
                              <w:marRight w:val="0"/>
                              <w:marTop w:val="0"/>
                              <w:marBottom w:val="360"/>
                              <w:divBdr>
                                <w:top w:val="none" w:sz="0" w:space="0" w:color="auto"/>
                                <w:left w:val="none" w:sz="0" w:space="0" w:color="auto"/>
                                <w:bottom w:val="none" w:sz="0" w:space="0" w:color="auto"/>
                                <w:right w:val="none" w:sz="0" w:space="0" w:color="auto"/>
                              </w:divBdr>
                              <w:divsChild>
                                <w:div w:id="378015364">
                                  <w:marLeft w:val="0"/>
                                  <w:marRight w:val="0"/>
                                  <w:marTop w:val="0"/>
                                  <w:marBottom w:val="0"/>
                                  <w:divBdr>
                                    <w:top w:val="none" w:sz="0" w:space="0" w:color="auto"/>
                                    <w:left w:val="none" w:sz="0" w:space="0" w:color="auto"/>
                                    <w:bottom w:val="none" w:sz="0" w:space="0" w:color="auto"/>
                                    <w:right w:val="none" w:sz="0" w:space="0" w:color="auto"/>
                                  </w:divBdr>
                                  <w:divsChild>
                                    <w:div w:id="305359737">
                                      <w:marLeft w:val="0"/>
                                      <w:marRight w:val="0"/>
                                      <w:marTop w:val="0"/>
                                      <w:marBottom w:val="0"/>
                                      <w:divBdr>
                                        <w:top w:val="none" w:sz="0" w:space="0" w:color="auto"/>
                                        <w:left w:val="none" w:sz="0" w:space="0" w:color="auto"/>
                                        <w:bottom w:val="none" w:sz="0" w:space="0" w:color="auto"/>
                                        <w:right w:val="none" w:sz="0" w:space="0" w:color="auto"/>
                                      </w:divBdr>
                                      <w:divsChild>
                                        <w:div w:id="863641041">
                                          <w:marLeft w:val="0"/>
                                          <w:marRight w:val="0"/>
                                          <w:marTop w:val="0"/>
                                          <w:marBottom w:val="0"/>
                                          <w:divBdr>
                                            <w:top w:val="none" w:sz="0" w:space="0" w:color="auto"/>
                                            <w:left w:val="none" w:sz="0" w:space="0" w:color="auto"/>
                                            <w:bottom w:val="none" w:sz="0" w:space="0" w:color="auto"/>
                                            <w:right w:val="none" w:sz="0" w:space="0" w:color="auto"/>
                                          </w:divBdr>
                                        </w:div>
                                        <w:div w:id="182420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45222">
      <w:bodyDiv w:val="1"/>
      <w:marLeft w:val="0"/>
      <w:marRight w:val="0"/>
      <w:marTop w:val="0"/>
      <w:marBottom w:val="0"/>
      <w:divBdr>
        <w:top w:val="none" w:sz="0" w:space="0" w:color="auto"/>
        <w:left w:val="none" w:sz="0" w:space="0" w:color="auto"/>
        <w:bottom w:val="none" w:sz="0" w:space="0" w:color="auto"/>
        <w:right w:val="none" w:sz="0" w:space="0" w:color="auto"/>
      </w:divBdr>
      <w:divsChild>
        <w:div w:id="765617296">
          <w:marLeft w:val="0"/>
          <w:marRight w:val="0"/>
          <w:marTop w:val="0"/>
          <w:marBottom w:val="0"/>
          <w:divBdr>
            <w:top w:val="none" w:sz="0" w:space="0" w:color="auto"/>
            <w:left w:val="none" w:sz="0" w:space="0" w:color="auto"/>
            <w:bottom w:val="none" w:sz="0" w:space="0" w:color="auto"/>
            <w:right w:val="none" w:sz="0" w:space="0" w:color="auto"/>
          </w:divBdr>
          <w:divsChild>
            <w:div w:id="657807361">
              <w:marLeft w:val="0"/>
              <w:marRight w:val="0"/>
              <w:marTop w:val="0"/>
              <w:marBottom w:val="0"/>
              <w:divBdr>
                <w:top w:val="none" w:sz="0" w:space="0" w:color="auto"/>
                <w:left w:val="none" w:sz="0" w:space="0" w:color="auto"/>
                <w:bottom w:val="none" w:sz="0" w:space="0" w:color="auto"/>
                <w:right w:val="none" w:sz="0" w:space="0" w:color="auto"/>
              </w:divBdr>
              <w:divsChild>
                <w:div w:id="594285200">
                  <w:marLeft w:val="0"/>
                  <w:marRight w:val="0"/>
                  <w:marTop w:val="0"/>
                  <w:marBottom w:val="0"/>
                  <w:divBdr>
                    <w:top w:val="none" w:sz="0" w:space="0" w:color="auto"/>
                    <w:left w:val="none" w:sz="0" w:space="0" w:color="auto"/>
                    <w:bottom w:val="none" w:sz="0" w:space="0" w:color="auto"/>
                    <w:right w:val="none" w:sz="0" w:space="0" w:color="auto"/>
                  </w:divBdr>
                  <w:divsChild>
                    <w:div w:id="682826771">
                      <w:marLeft w:val="1"/>
                      <w:marRight w:val="1"/>
                      <w:marTop w:val="0"/>
                      <w:marBottom w:val="0"/>
                      <w:divBdr>
                        <w:top w:val="none" w:sz="0" w:space="0" w:color="auto"/>
                        <w:left w:val="none" w:sz="0" w:space="0" w:color="auto"/>
                        <w:bottom w:val="none" w:sz="0" w:space="0" w:color="auto"/>
                        <w:right w:val="none" w:sz="0" w:space="0" w:color="auto"/>
                      </w:divBdr>
                      <w:divsChild>
                        <w:div w:id="1368024662">
                          <w:marLeft w:val="0"/>
                          <w:marRight w:val="0"/>
                          <w:marTop w:val="0"/>
                          <w:marBottom w:val="0"/>
                          <w:divBdr>
                            <w:top w:val="none" w:sz="0" w:space="0" w:color="auto"/>
                            <w:left w:val="none" w:sz="0" w:space="0" w:color="auto"/>
                            <w:bottom w:val="none" w:sz="0" w:space="0" w:color="auto"/>
                            <w:right w:val="none" w:sz="0" w:space="0" w:color="auto"/>
                          </w:divBdr>
                          <w:divsChild>
                            <w:div w:id="1047022686">
                              <w:marLeft w:val="0"/>
                              <w:marRight w:val="0"/>
                              <w:marTop w:val="0"/>
                              <w:marBottom w:val="360"/>
                              <w:divBdr>
                                <w:top w:val="none" w:sz="0" w:space="0" w:color="auto"/>
                                <w:left w:val="none" w:sz="0" w:space="0" w:color="auto"/>
                                <w:bottom w:val="none" w:sz="0" w:space="0" w:color="auto"/>
                                <w:right w:val="none" w:sz="0" w:space="0" w:color="auto"/>
                              </w:divBdr>
                              <w:divsChild>
                                <w:div w:id="212928918">
                                  <w:marLeft w:val="0"/>
                                  <w:marRight w:val="0"/>
                                  <w:marTop w:val="0"/>
                                  <w:marBottom w:val="0"/>
                                  <w:divBdr>
                                    <w:top w:val="none" w:sz="0" w:space="0" w:color="auto"/>
                                    <w:left w:val="none" w:sz="0" w:space="0" w:color="auto"/>
                                    <w:bottom w:val="none" w:sz="0" w:space="0" w:color="auto"/>
                                    <w:right w:val="none" w:sz="0" w:space="0" w:color="auto"/>
                                  </w:divBdr>
                                  <w:divsChild>
                                    <w:div w:id="614216841">
                                      <w:marLeft w:val="0"/>
                                      <w:marRight w:val="0"/>
                                      <w:marTop w:val="0"/>
                                      <w:marBottom w:val="0"/>
                                      <w:divBdr>
                                        <w:top w:val="none" w:sz="0" w:space="0" w:color="auto"/>
                                        <w:left w:val="none" w:sz="0" w:space="0" w:color="auto"/>
                                        <w:bottom w:val="none" w:sz="0" w:space="0" w:color="auto"/>
                                        <w:right w:val="none" w:sz="0" w:space="0" w:color="auto"/>
                                      </w:divBdr>
                                      <w:divsChild>
                                        <w:div w:id="812984310">
                                          <w:marLeft w:val="0"/>
                                          <w:marRight w:val="0"/>
                                          <w:marTop w:val="0"/>
                                          <w:marBottom w:val="0"/>
                                          <w:divBdr>
                                            <w:top w:val="none" w:sz="0" w:space="0" w:color="auto"/>
                                            <w:left w:val="none" w:sz="0" w:space="0" w:color="auto"/>
                                            <w:bottom w:val="none" w:sz="0" w:space="0" w:color="auto"/>
                                            <w:right w:val="none" w:sz="0" w:space="0" w:color="auto"/>
                                          </w:divBdr>
                                          <w:divsChild>
                                            <w:div w:id="1263221035">
                                              <w:marLeft w:val="0"/>
                                              <w:marRight w:val="0"/>
                                              <w:marTop w:val="0"/>
                                              <w:marBottom w:val="0"/>
                                              <w:divBdr>
                                                <w:top w:val="none" w:sz="0" w:space="0" w:color="auto"/>
                                                <w:left w:val="none" w:sz="0" w:space="0" w:color="auto"/>
                                                <w:bottom w:val="none" w:sz="0" w:space="0" w:color="auto"/>
                                                <w:right w:val="none" w:sz="0" w:space="0" w:color="auto"/>
                                              </w:divBdr>
                                              <w:divsChild>
                                                <w:div w:id="1024135031">
                                                  <w:marLeft w:val="0"/>
                                                  <w:marRight w:val="0"/>
                                                  <w:marTop w:val="0"/>
                                                  <w:marBottom w:val="0"/>
                                                  <w:divBdr>
                                                    <w:top w:val="none" w:sz="0" w:space="0" w:color="auto"/>
                                                    <w:left w:val="none" w:sz="0" w:space="0" w:color="auto"/>
                                                    <w:bottom w:val="none" w:sz="0" w:space="0" w:color="auto"/>
                                                    <w:right w:val="none" w:sz="0" w:space="0" w:color="auto"/>
                                                  </w:divBdr>
                                                  <w:divsChild>
                                                    <w:div w:id="292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37250721">
      <w:bodyDiv w:val="1"/>
      <w:marLeft w:val="0"/>
      <w:marRight w:val="0"/>
      <w:marTop w:val="0"/>
      <w:marBottom w:val="0"/>
      <w:divBdr>
        <w:top w:val="none" w:sz="0" w:space="0" w:color="auto"/>
        <w:left w:val="none" w:sz="0" w:space="0" w:color="auto"/>
        <w:bottom w:val="none" w:sz="0" w:space="0" w:color="auto"/>
        <w:right w:val="none" w:sz="0" w:space="0" w:color="auto"/>
      </w:divBdr>
    </w:div>
    <w:div w:id="239752497">
      <w:bodyDiv w:val="1"/>
      <w:marLeft w:val="0"/>
      <w:marRight w:val="0"/>
      <w:marTop w:val="0"/>
      <w:marBottom w:val="0"/>
      <w:divBdr>
        <w:top w:val="none" w:sz="0" w:space="0" w:color="auto"/>
        <w:left w:val="none" w:sz="0" w:space="0" w:color="auto"/>
        <w:bottom w:val="none" w:sz="0" w:space="0" w:color="auto"/>
        <w:right w:val="none" w:sz="0" w:space="0" w:color="auto"/>
      </w:divBdr>
    </w:div>
    <w:div w:id="457334782">
      <w:bodyDiv w:val="1"/>
      <w:marLeft w:val="0"/>
      <w:marRight w:val="0"/>
      <w:marTop w:val="0"/>
      <w:marBottom w:val="0"/>
      <w:divBdr>
        <w:top w:val="none" w:sz="0" w:space="0" w:color="auto"/>
        <w:left w:val="none" w:sz="0" w:space="0" w:color="auto"/>
        <w:bottom w:val="none" w:sz="0" w:space="0" w:color="auto"/>
        <w:right w:val="none" w:sz="0" w:space="0" w:color="auto"/>
      </w:divBdr>
    </w:div>
    <w:div w:id="906039964">
      <w:bodyDiv w:val="1"/>
      <w:marLeft w:val="0"/>
      <w:marRight w:val="0"/>
      <w:marTop w:val="0"/>
      <w:marBottom w:val="0"/>
      <w:divBdr>
        <w:top w:val="none" w:sz="0" w:space="0" w:color="auto"/>
        <w:left w:val="none" w:sz="0" w:space="0" w:color="auto"/>
        <w:bottom w:val="none" w:sz="0" w:space="0" w:color="auto"/>
        <w:right w:val="none" w:sz="0" w:space="0" w:color="auto"/>
      </w:divBdr>
      <w:divsChild>
        <w:div w:id="1181893515">
          <w:marLeft w:val="0"/>
          <w:marRight w:val="0"/>
          <w:marTop w:val="0"/>
          <w:marBottom w:val="0"/>
          <w:divBdr>
            <w:top w:val="none" w:sz="0" w:space="0" w:color="auto"/>
            <w:left w:val="none" w:sz="0" w:space="0" w:color="auto"/>
            <w:bottom w:val="none" w:sz="0" w:space="0" w:color="auto"/>
            <w:right w:val="none" w:sz="0" w:space="0" w:color="auto"/>
          </w:divBdr>
          <w:divsChild>
            <w:div w:id="1857423059">
              <w:marLeft w:val="0"/>
              <w:marRight w:val="0"/>
              <w:marTop w:val="0"/>
              <w:marBottom w:val="0"/>
              <w:divBdr>
                <w:top w:val="none" w:sz="0" w:space="0" w:color="auto"/>
                <w:left w:val="none" w:sz="0" w:space="0" w:color="auto"/>
                <w:bottom w:val="none" w:sz="0" w:space="0" w:color="auto"/>
                <w:right w:val="none" w:sz="0" w:space="0" w:color="auto"/>
              </w:divBdr>
              <w:divsChild>
                <w:div w:id="1602570094">
                  <w:marLeft w:val="0"/>
                  <w:marRight w:val="0"/>
                  <w:marTop w:val="0"/>
                  <w:marBottom w:val="0"/>
                  <w:divBdr>
                    <w:top w:val="none" w:sz="0" w:space="0" w:color="auto"/>
                    <w:left w:val="none" w:sz="0" w:space="0" w:color="auto"/>
                    <w:bottom w:val="none" w:sz="0" w:space="0" w:color="auto"/>
                    <w:right w:val="none" w:sz="0" w:space="0" w:color="auto"/>
                  </w:divBdr>
                  <w:divsChild>
                    <w:div w:id="348797094">
                      <w:marLeft w:val="1"/>
                      <w:marRight w:val="1"/>
                      <w:marTop w:val="0"/>
                      <w:marBottom w:val="0"/>
                      <w:divBdr>
                        <w:top w:val="none" w:sz="0" w:space="0" w:color="auto"/>
                        <w:left w:val="none" w:sz="0" w:space="0" w:color="auto"/>
                        <w:bottom w:val="none" w:sz="0" w:space="0" w:color="auto"/>
                        <w:right w:val="none" w:sz="0" w:space="0" w:color="auto"/>
                      </w:divBdr>
                      <w:divsChild>
                        <w:div w:id="1615474655">
                          <w:marLeft w:val="0"/>
                          <w:marRight w:val="0"/>
                          <w:marTop w:val="0"/>
                          <w:marBottom w:val="0"/>
                          <w:divBdr>
                            <w:top w:val="none" w:sz="0" w:space="0" w:color="auto"/>
                            <w:left w:val="none" w:sz="0" w:space="0" w:color="auto"/>
                            <w:bottom w:val="none" w:sz="0" w:space="0" w:color="auto"/>
                            <w:right w:val="none" w:sz="0" w:space="0" w:color="auto"/>
                          </w:divBdr>
                          <w:divsChild>
                            <w:div w:id="6178583">
                              <w:marLeft w:val="0"/>
                              <w:marRight w:val="0"/>
                              <w:marTop w:val="0"/>
                              <w:marBottom w:val="360"/>
                              <w:divBdr>
                                <w:top w:val="none" w:sz="0" w:space="0" w:color="auto"/>
                                <w:left w:val="none" w:sz="0" w:space="0" w:color="auto"/>
                                <w:bottom w:val="none" w:sz="0" w:space="0" w:color="auto"/>
                                <w:right w:val="none" w:sz="0" w:space="0" w:color="auto"/>
                              </w:divBdr>
                              <w:divsChild>
                                <w:div w:id="917447419">
                                  <w:marLeft w:val="0"/>
                                  <w:marRight w:val="0"/>
                                  <w:marTop w:val="0"/>
                                  <w:marBottom w:val="0"/>
                                  <w:divBdr>
                                    <w:top w:val="none" w:sz="0" w:space="0" w:color="auto"/>
                                    <w:left w:val="none" w:sz="0" w:space="0" w:color="auto"/>
                                    <w:bottom w:val="none" w:sz="0" w:space="0" w:color="auto"/>
                                    <w:right w:val="none" w:sz="0" w:space="0" w:color="auto"/>
                                  </w:divBdr>
                                  <w:divsChild>
                                    <w:div w:id="1466895262">
                                      <w:marLeft w:val="0"/>
                                      <w:marRight w:val="0"/>
                                      <w:marTop w:val="0"/>
                                      <w:marBottom w:val="0"/>
                                      <w:divBdr>
                                        <w:top w:val="none" w:sz="0" w:space="0" w:color="auto"/>
                                        <w:left w:val="none" w:sz="0" w:space="0" w:color="auto"/>
                                        <w:bottom w:val="none" w:sz="0" w:space="0" w:color="auto"/>
                                        <w:right w:val="none" w:sz="0" w:space="0" w:color="auto"/>
                                      </w:divBdr>
                                      <w:divsChild>
                                        <w:div w:id="978657614">
                                          <w:marLeft w:val="0"/>
                                          <w:marRight w:val="0"/>
                                          <w:marTop w:val="0"/>
                                          <w:marBottom w:val="0"/>
                                          <w:divBdr>
                                            <w:top w:val="none" w:sz="0" w:space="0" w:color="auto"/>
                                            <w:left w:val="none" w:sz="0" w:space="0" w:color="auto"/>
                                            <w:bottom w:val="none" w:sz="0" w:space="0" w:color="auto"/>
                                            <w:right w:val="none" w:sz="0" w:space="0" w:color="auto"/>
                                          </w:divBdr>
                                        </w:div>
                                        <w:div w:id="106263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2566034">
      <w:bodyDiv w:val="1"/>
      <w:marLeft w:val="0"/>
      <w:marRight w:val="0"/>
      <w:marTop w:val="0"/>
      <w:marBottom w:val="0"/>
      <w:divBdr>
        <w:top w:val="none" w:sz="0" w:space="0" w:color="auto"/>
        <w:left w:val="none" w:sz="0" w:space="0" w:color="auto"/>
        <w:bottom w:val="none" w:sz="0" w:space="0" w:color="auto"/>
        <w:right w:val="none" w:sz="0" w:space="0" w:color="auto"/>
      </w:divBdr>
      <w:divsChild>
        <w:div w:id="484471053">
          <w:marLeft w:val="0"/>
          <w:marRight w:val="0"/>
          <w:marTop w:val="0"/>
          <w:marBottom w:val="0"/>
          <w:divBdr>
            <w:top w:val="none" w:sz="0" w:space="0" w:color="auto"/>
            <w:left w:val="none" w:sz="0" w:space="0" w:color="auto"/>
            <w:bottom w:val="none" w:sz="0" w:space="0" w:color="auto"/>
            <w:right w:val="none" w:sz="0" w:space="0" w:color="auto"/>
          </w:divBdr>
          <w:divsChild>
            <w:div w:id="139350986">
              <w:marLeft w:val="0"/>
              <w:marRight w:val="0"/>
              <w:marTop w:val="0"/>
              <w:marBottom w:val="0"/>
              <w:divBdr>
                <w:top w:val="none" w:sz="0" w:space="0" w:color="auto"/>
                <w:left w:val="none" w:sz="0" w:space="0" w:color="auto"/>
                <w:bottom w:val="none" w:sz="0" w:space="0" w:color="auto"/>
                <w:right w:val="none" w:sz="0" w:space="0" w:color="auto"/>
              </w:divBdr>
              <w:divsChild>
                <w:div w:id="1945186091">
                  <w:marLeft w:val="0"/>
                  <w:marRight w:val="0"/>
                  <w:marTop w:val="0"/>
                  <w:marBottom w:val="0"/>
                  <w:divBdr>
                    <w:top w:val="none" w:sz="0" w:space="0" w:color="auto"/>
                    <w:left w:val="none" w:sz="0" w:space="0" w:color="auto"/>
                    <w:bottom w:val="none" w:sz="0" w:space="0" w:color="auto"/>
                    <w:right w:val="none" w:sz="0" w:space="0" w:color="auto"/>
                  </w:divBdr>
                  <w:divsChild>
                    <w:div w:id="1010913008">
                      <w:marLeft w:val="1"/>
                      <w:marRight w:val="1"/>
                      <w:marTop w:val="0"/>
                      <w:marBottom w:val="0"/>
                      <w:divBdr>
                        <w:top w:val="none" w:sz="0" w:space="0" w:color="auto"/>
                        <w:left w:val="none" w:sz="0" w:space="0" w:color="auto"/>
                        <w:bottom w:val="none" w:sz="0" w:space="0" w:color="auto"/>
                        <w:right w:val="none" w:sz="0" w:space="0" w:color="auto"/>
                      </w:divBdr>
                      <w:divsChild>
                        <w:div w:id="1205555010">
                          <w:marLeft w:val="0"/>
                          <w:marRight w:val="0"/>
                          <w:marTop w:val="0"/>
                          <w:marBottom w:val="0"/>
                          <w:divBdr>
                            <w:top w:val="none" w:sz="0" w:space="0" w:color="auto"/>
                            <w:left w:val="none" w:sz="0" w:space="0" w:color="auto"/>
                            <w:bottom w:val="none" w:sz="0" w:space="0" w:color="auto"/>
                            <w:right w:val="none" w:sz="0" w:space="0" w:color="auto"/>
                          </w:divBdr>
                          <w:divsChild>
                            <w:div w:id="1966347664">
                              <w:marLeft w:val="0"/>
                              <w:marRight w:val="0"/>
                              <w:marTop w:val="0"/>
                              <w:marBottom w:val="360"/>
                              <w:divBdr>
                                <w:top w:val="none" w:sz="0" w:space="0" w:color="auto"/>
                                <w:left w:val="none" w:sz="0" w:space="0" w:color="auto"/>
                                <w:bottom w:val="none" w:sz="0" w:space="0" w:color="auto"/>
                                <w:right w:val="none" w:sz="0" w:space="0" w:color="auto"/>
                              </w:divBdr>
                              <w:divsChild>
                                <w:div w:id="286199355">
                                  <w:marLeft w:val="0"/>
                                  <w:marRight w:val="0"/>
                                  <w:marTop w:val="0"/>
                                  <w:marBottom w:val="0"/>
                                  <w:divBdr>
                                    <w:top w:val="none" w:sz="0" w:space="0" w:color="auto"/>
                                    <w:left w:val="none" w:sz="0" w:space="0" w:color="auto"/>
                                    <w:bottom w:val="none" w:sz="0" w:space="0" w:color="auto"/>
                                    <w:right w:val="none" w:sz="0" w:space="0" w:color="auto"/>
                                  </w:divBdr>
                                  <w:divsChild>
                                    <w:div w:id="1758676634">
                                      <w:marLeft w:val="0"/>
                                      <w:marRight w:val="0"/>
                                      <w:marTop w:val="0"/>
                                      <w:marBottom w:val="0"/>
                                      <w:divBdr>
                                        <w:top w:val="none" w:sz="0" w:space="0" w:color="auto"/>
                                        <w:left w:val="none" w:sz="0" w:space="0" w:color="auto"/>
                                        <w:bottom w:val="none" w:sz="0" w:space="0" w:color="auto"/>
                                        <w:right w:val="none" w:sz="0" w:space="0" w:color="auto"/>
                                      </w:divBdr>
                                      <w:divsChild>
                                        <w:div w:id="1539002036">
                                          <w:marLeft w:val="0"/>
                                          <w:marRight w:val="0"/>
                                          <w:marTop w:val="0"/>
                                          <w:marBottom w:val="0"/>
                                          <w:divBdr>
                                            <w:top w:val="none" w:sz="0" w:space="0" w:color="auto"/>
                                            <w:left w:val="none" w:sz="0" w:space="0" w:color="auto"/>
                                            <w:bottom w:val="none" w:sz="0" w:space="0" w:color="auto"/>
                                            <w:right w:val="none" w:sz="0" w:space="0" w:color="auto"/>
                                          </w:divBdr>
                                        </w:div>
                                        <w:div w:id="170591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1543413">
      <w:bodyDiv w:val="1"/>
      <w:marLeft w:val="0"/>
      <w:marRight w:val="0"/>
      <w:marTop w:val="0"/>
      <w:marBottom w:val="0"/>
      <w:divBdr>
        <w:top w:val="none" w:sz="0" w:space="0" w:color="auto"/>
        <w:left w:val="none" w:sz="0" w:space="0" w:color="auto"/>
        <w:bottom w:val="none" w:sz="0" w:space="0" w:color="auto"/>
        <w:right w:val="none" w:sz="0" w:space="0" w:color="auto"/>
      </w:divBdr>
    </w:div>
    <w:div w:id="1112551098">
      <w:bodyDiv w:val="1"/>
      <w:marLeft w:val="0"/>
      <w:marRight w:val="0"/>
      <w:marTop w:val="0"/>
      <w:marBottom w:val="0"/>
      <w:divBdr>
        <w:top w:val="none" w:sz="0" w:space="0" w:color="auto"/>
        <w:left w:val="none" w:sz="0" w:space="0" w:color="auto"/>
        <w:bottom w:val="none" w:sz="0" w:space="0" w:color="auto"/>
        <w:right w:val="none" w:sz="0" w:space="0" w:color="auto"/>
      </w:divBdr>
      <w:divsChild>
        <w:div w:id="575214962">
          <w:marLeft w:val="0"/>
          <w:marRight w:val="0"/>
          <w:marTop w:val="0"/>
          <w:marBottom w:val="0"/>
          <w:divBdr>
            <w:top w:val="none" w:sz="0" w:space="0" w:color="auto"/>
            <w:left w:val="none" w:sz="0" w:space="0" w:color="auto"/>
            <w:bottom w:val="none" w:sz="0" w:space="0" w:color="auto"/>
            <w:right w:val="none" w:sz="0" w:space="0" w:color="auto"/>
          </w:divBdr>
          <w:divsChild>
            <w:div w:id="717508174">
              <w:marLeft w:val="0"/>
              <w:marRight w:val="0"/>
              <w:marTop w:val="0"/>
              <w:marBottom w:val="0"/>
              <w:divBdr>
                <w:top w:val="none" w:sz="0" w:space="0" w:color="auto"/>
                <w:left w:val="none" w:sz="0" w:space="0" w:color="auto"/>
                <w:bottom w:val="none" w:sz="0" w:space="0" w:color="auto"/>
                <w:right w:val="none" w:sz="0" w:space="0" w:color="auto"/>
              </w:divBdr>
              <w:divsChild>
                <w:div w:id="457340103">
                  <w:marLeft w:val="0"/>
                  <w:marRight w:val="0"/>
                  <w:marTop w:val="0"/>
                  <w:marBottom w:val="0"/>
                  <w:divBdr>
                    <w:top w:val="none" w:sz="0" w:space="0" w:color="auto"/>
                    <w:left w:val="none" w:sz="0" w:space="0" w:color="auto"/>
                    <w:bottom w:val="none" w:sz="0" w:space="0" w:color="auto"/>
                    <w:right w:val="none" w:sz="0" w:space="0" w:color="auto"/>
                  </w:divBdr>
                  <w:divsChild>
                    <w:div w:id="1453287772">
                      <w:marLeft w:val="1"/>
                      <w:marRight w:val="1"/>
                      <w:marTop w:val="0"/>
                      <w:marBottom w:val="0"/>
                      <w:divBdr>
                        <w:top w:val="none" w:sz="0" w:space="0" w:color="auto"/>
                        <w:left w:val="none" w:sz="0" w:space="0" w:color="auto"/>
                        <w:bottom w:val="none" w:sz="0" w:space="0" w:color="auto"/>
                        <w:right w:val="none" w:sz="0" w:space="0" w:color="auto"/>
                      </w:divBdr>
                      <w:divsChild>
                        <w:div w:id="314264814">
                          <w:marLeft w:val="0"/>
                          <w:marRight w:val="0"/>
                          <w:marTop w:val="0"/>
                          <w:marBottom w:val="0"/>
                          <w:divBdr>
                            <w:top w:val="none" w:sz="0" w:space="0" w:color="auto"/>
                            <w:left w:val="none" w:sz="0" w:space="0" w:color="auto"/>
                            <w:bottom w:val="none" w:sz="0" w:space="0" w:color="auto"/>
                            <w:right w:val="none" w:sz="0" w:space="0" w:color="auto"/>
                          </w:divBdr>
                          <w:divsChild>
                            <w:div w:id="1615215167">
                              <w:marLeft w:val="0"/>
                              <w:marRight w:val="0"/>
                              <w:marTop w:val="0"/>
                              <w:marBottom w:val="360"/>
                              <w:divBdr>
                                <w:top w:val="none" w:sz="0" w:space="0" w:color="auto"/>
                                <w:left w:val="none" w:sz="0" w:space="0" w:color="auto"/>
                                <w:bottom w:val="none" w:sz="0" w:space="0" w:color="auto"/>
                                <w:right w:val="none" w:sz="0" w:space="0" w:color="auto"/>
                              </w:divBdr>
                              <w:divsChild>
                                <w:div w:id="524952688">
                                  <w:marLeft w:val="0"/>
                                  <w:marRight w:val="0"/>
                                  <w:marTop w:val="0"/>
                                  <w:marBottom w:val="0"/>
                                  <w:divBdr>
                                    <w:top w:val="none" w:sz="0" w:space="0" w:color="auto"/>
                                    <w:left w:val="none" w:sz="0" w:space="0" w:color="auto"/>
                                    <w:bottom w:val="none" w:sz="0" w:space="0" w:color="auto"/>
                                    <w:right w:val="none" w:sz="0" w:space="0" w:color="auto"/>
                                  </w:divBdr>
                                  <w:divsChild>
                                    <w:div w:id="1752000515">
                                      <w:marLeft w:val="0"/>
                                      <w:marRight w:val="0"/>
                                      <w:marTop w:val="0"/>
                                      <w:marBottom w:val="0"/>
                                      <w:divBdr>
                                        <w:top w:val="none" w:sz="0" w:space="0" w:color="auto"/>
                                        <w:left w:val="none" w:sz="0" w:space="0" w:color="auto"/>
                                        <w:bottom w:val="none" w:sz="0" w:space="0" w:color="auto"/>
                                        <w:right w:val="none" w:sz="0" w:space="0" w:color="auto"/>
                                      </w:divBdr>
                                      <w:divsChild>
                                        <w:div w:id="1181121915">
                                          <w:marLeft w:val="0"/>
                                          <w:marRight w:val="0"/>
                                          <w:marTop w:val="0"/>
                                          <w:marBottom w:val="0"/>
                                          <w:divBdr>
                                            <w:top w:val="none" w:sz="0" w:space="0" w:color="auto"/>
                                            <w:left w:val="none" w:sz="0" w:space="0" w:color="auto"/>
                                            <w:bottom w:val="none" w:sz="0" w:space="0" w:color="auto"/>
                                            <w:right w:val="none" w:sz="0" w:space="0" w:color="auto"/>
                                          </w:divBdr>
                                        </w:div>
                                        <w:div w:id="197479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9445695">
      <w:bodyDiv w:val="1"/>
      <w:marLeft w:val="0"/>
      <w:marRight w:val="0"/>
      <w:marTop w:val="0"/>
      <w:marBottom w:val="0"/>
      <w:divBdr>
        <w:top w:val="none" w:sz="0" w:space="0" w:color="auto"/>
        <w:left w:val="none" w:sz="0" w:space="0" w:color="auto"/>
        <w:bottom w:val="none" w:sz="0" w:space="0" w:color="auto"/>
        <w:right w:val="none" w:sz="0" w:space="0" w:color="auto"/>
      </w:divBdr>
    </w:div>
    <w:div w:id="1662350892">
      <w:bodyDiv w:val="1"/>
      <w:marLeft w:val="0"/>
      <w:marRight w:val="0"/>
      <w:marTop w:val="0"/>
      <w:marBottom w:val="0"/>
      <w:divBdr>
        <w:top w:val="none" w:sz="0" w:space="0" w:color="auto"/>
        <w:left w:val="none" w:sz="0" w:space="0" w:color="auto"/>
        <w:bottom w:val="none" w:sz="0" w:space="0" w:color="auto"/>
        <w:right w:val="none" w:sz="0" w:space="0" w:color="auto"/>
      </w:divBdr>
    </w:div>
    <w:div w:id="1689672597">
      <w:bodyDiv w:val="1"/>
      <w:marLeft w:val="0"/>
      <w:marRight w:val="0"/>
      <w:marTop w:val="0"/>
      <w:marBottom w:val="0"/>
      <w:divBdr>
        <w:top w:val="none" w:sz="0" w:space="0" w:color="auto"/>
        <w:left w:val="none" w:sz="0" w:space="0" w:color="auto"/>
        <w:bottom w:val="none" w:sz="0" w:space="0" w:color="auto"/>
        <w:right w:val="none" w:sz="0" w:space="0" w:color="auto"/>
      </w:divBdr>
    </w:div>
    <w:div w:id="1742021330">
      <w:bodyDiv w:val="1"/>
      <w:marLeft w:val="0"/>
      <w:marRight w:val="0"/>
      <w:marTop w:val="0"/>
      <w:marBottom w:val="0"/>
      <w:divBdr>
        <w:top w:val="none" w:sz="0" w:space="0" w:color="auto"/>
        <w:left w:val="none" w:sz="0" w:space="0" w:color="auto"/>
        <w:bottom w:val="none" w:sz="0" w:space="0" w:color="auto"/>
        <w:right w:val="none" w:sz="0" w:space="0" w:color="auto"/>
      </w:divBdr>
    </w:div>
    <w:div w:id="1856655732">
      <w:bodyDiv w:val="1"/>
      <w:marLeft w:val="0"/>
      <w:marRight w:val="0"/>
      <w:marTop w:val="0"/>
      <w:marBottom w:val="0"/>
      <w:divBdr>
        <w:top w:val="none" w:sz="0" w:space="0" w:color="auto"/>
        <w:left w:val="none" w:sz="0" w:space="0" w:color="auto"/>
        <w:bottom w:val="none" w:sz="0" w:space="0" w:color="auto"/>
        <w:right w:val="none" w:sz="0" w:space="0" w:color="auto"/>
      </w:divBdr>
    </w:div>
    <w:div w:id="211054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5.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8.xml"/><Relationship Id="rId28" Type="http://schemas.openxmlformats.org/officeDocument/2006/relationships/header" Target="header9.xml"/><Relationship Id="rId10" Type="http://schemas.openxmlformats.org/officeDocument/2006/relationships/header" Target="header1.xml"/><Relationship Id="rId19" Type="http://schemas.openxmlformats.org/officeDocument/2006/relationships/footer" Target="footer6.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footer" Target="footer10.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myintracomm.ec.europa.eu/budgweb/ES/man/budgmanag/Pages/budgmanag.aspx" TargetMode="External"/><Relationship Id="rId1" Type="http://schemas.openxmlformats.org/officeDocument/2006/relationships/hyperlink" Target="https://europa.eu/european-union/sites/europaeu/files/docs/body/consolidated_version_of_the_treaty_establishing_the_european_atomic_energy_community_e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AD7EC18-3FBC-4A93-9F0A-5A2BCAFB8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25</Pages>
  <Words>7748</Words>
  <Characters>42542</Characters>
  <Application>Microsoft Office Word</Application>
  <DocSecurity>0</DocSecurity>
  <Lines>1181</Lines>
  <Paragraphs>513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20</cp:revision>
  <cp:lastPrinted>2018-09-04T11:22:00Z</cp:lastPrinted>
  <dcterms:created xsi:type="dcterms:W3CDTF">2018-09-14T11:11:00Z</dcterms:created>
  <dcterms:modified xsi:type="dcterms:W3CDTF">2018-09-17T10:43:00Z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6.0.1, Build 20180503</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DQCStatus">
    <vt:lpwstr>Green (DQC version 03)</vt:lpwstr>
  </property>
</Properties>
</file>