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40D" w:rsidRPr="00DE45DF" w:rsidRDefault="00DE45DF">
      <w:pPr>
        <w:pStyle w:val="Pagedecouverture"/>
        <w:rPr>
          <w:noProof/>
        </w:rPr>
      </w:pPr>
      <w:bookmarkStart w:id="0" w:name="LW_BM_COVERPAGE"/>
      <w:bookmarkStart w:id="1" w:name="_GoBack"/>
      <w:bookmarkEnd w:id="1"/>
      <w:r w:rsidRPr="00DE45D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089EEE44-93B9-4E8A-A821-020DE6DB6E32" style="width:450.4pt;height:320.65pt">
            <v:imagedata r:id="rId9" o:title=""/>
          </v:shape>
        </w:pict>
      </w:r>
    </w:p>
    <w:bookmarkEnd w:id="0"/>
    <w:p w:rsidR="005E240D" w:rsidRPr="00DE45DF" w:rsidRDefault="005E240D">
      <w:pPr>
        <w:rPr>
          <w:noProof/>
        </w:rPr>
        <w:sectPr w:rsidR="005E240D" w:rsidRPr="00DE45DF">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rsidR="005E240D" w:rsidRPr="00DE45DF" w:rsidRDefault="00DE45DF">
      <w:pPr>
        <w:rPr>
          <w:rFonts w:ascii="Times New Roman" w:hAnsi="Times New Roman" w:cs="Times New Roman"/>
          <w:b/>
          <w:noProof/>
          <w:sz w:val="24"/>
          <w:szCs w:val="24"/>
        </w:rPr>
      </w:pPr>
      <w:r w:rsidRPr="00DE45DF">
        <w:rPr>
          <w:rFonts w:ascii="Times New Roman" w:hAnsi="Times New Roman"/>
          <w:b/>
          <w:noProof/>
          <w:sz w:val="24"/>
        </w:rPr>
        <w:lastRenderedPageBreak/>
        <w:t>I.</w:t>
      </w:r>
      <w:r w:rsidRPr="00DE45DF">
        <w:rPr>
          <w:noProof/>
        </w:rPr>
        <w:tab/>
      </w:r>
      <w:r w:rsidRPr="00DE45DF">
        <w:rPr>
          <w:rFonts w:ascii="Times New Roman" w:hAnsi="Times New Roman"/>
          <w:b/>
          <w:noProof/>
          <w:sz w:val="24"/>
        </w:rPr>
        <w:t>INTRODUCTION</w:t>
      </w:r>
    </w:p>
    <w:p w:rsidR="005E240D" w:rsidRPr="00DE45DF" w:rsidRDefault="00DE45DF">
      <w:pPr>
        <w:spacing w:after="240" w:line="240" w:lineRule="auto"/>
        <w:jc w:val="both"/>
        <w:rPr>
          <w:rFonts w:ascii="Times New Roman" w:hAnsi="Times New Roman" w:cs="Times New Roman"/>
          <w:noProof/>
          <w:sz w:val="24"/>
          <w:szCs w:val="24"/>
        </w:rPr>
      </w:pPr>
      <w:r w:rsidRPr="00DE45DF">
        <w:rPr>
          <w:rFonts w:ascii="Times New Roman" w:hAnsi="Times New Roman"/>
          <w:noProof/>
          <w:sz w:val="24"/>
        </w:rPr>
        <w:t>Le présent rapport est le douzième rapport mensuel sur les progrès accomplis dans la mise en place d’une union de la sécurité réelle et effective; il fait état de l’évolution de la situation en ce qui concerne deux piliers principaux: d’une part, lutter co</w:t>
      </w:r>
      <w:r w:rsidRPr="00DE45DF">
        <w:rPr>
          <w:rFonts w:ascii="Times New Roman" w:hAnsi="Times New Roman"/>
          <w:noProof/>
          <w:sz w:val="24"/>
        </w:rPr>
        <w:t xml:space="preserve">ntre le terrorisme et la criminalité organisée et contre les moyens sur lesquels ils s’appuient, et, d’autre part, renforcer nos défenses et notre résilience face à ces menaces. </w:t>
      </w:r>
    </w:p>
    <w:p w:rsidR="005E240D" w:rsidRPr="00DE45DF" w:rsidRDefault="00DE45DF">
      <w:pPr>
        <w:spacing w:after="240" w:line="240" w:lineRule="auto"/>
        <w:jc w:val="both"/>
        <w:rPr>
          <w:rFonts w:ascii="Times New Roman" w:hAnsi="Times New Roman" w:cs="Times New Roman"/>
          <w:noProof/>
          <w:sz w:val="24"/>
          <w:szCs w:val="24"/>
        </w:rPr>
      </w:pPr>
      <w:r w:rsidRPr="00DE45DF">
        <w:rPr>
          <w:rFonts w:ascii="Times New Roman" w:hAnsi="Times New Roman"/>
          <w:noProof/>
          <w:sz w:val="24"/>
        </w:rPr>
        <w:t xml:space="preserve">Cela fait presque un an que l’attentat sur le marché de Noël à Berlin du </w:t>
      </w:r>
      <w:r w:rsidRPr="00DE45DF">
        <w:rPr>
          <w:rFonts w:ascii="Times New Roman" w:hAnsi="Times New Roman"/>
          <w:noProof/>
          <w:sz w:val="24"/>
        </w:rPr>
        <w:t>19</w:t>
      </w:r>
      <w:r w:rsidRPr="00DE45DF">
        <w:rPr>
          <w:rFonts w:ascii="Times New Roman" w:hAnsi="Times New Roman"/>
          <w:noProof/>
          <w:sz w:val="24"/>
        </w:rPr>
        <w:t> d</w:t>
      </w:r>
      <w:r w:rsidRPr="00DE45DF">
        <w:rPr>
          <w:rFonts w:ascii="Times New Roman" w:hAnsi="Times New Roman"/>
          <w:noProof/>
          <w:sz w:val="24"/>
        </w:rPr>
        <w:t>écembre </w:t>
      </w:r>
      <w:r w:rsidRPr="00DE45DF">
        <w:rPr>
          <w:rFonts w:ascii="Times New Roman" w:hAnsi="Times New Roman"/>
          <w:noProof/>
          <w:sz w:val="24"/>
        </w:rPr>
        <w:t>2016</w:t>
      </w:r>
      <w:r w:rsidRPr="00DE45DF">
        <w:rPr>
          <w:rFonts w:ascii="Times New Roman" w:hAnsi="Times New Roman"/>
          <w:noProof/>
          <w:sz w:val="24"/>
        </w:rPr>
        <w:t xml:space="preserve">, dont le bilan a été de douze morts et cinquante-six blessés, a été perpétré par un individu qui avait utilisé plusieurs identités pour échapper aux autorités frontalières et répressives. Cet acte et les autres attentats terroristes perpétrés </w:t>
      </w:r>
      <w:r w:rsidRPr="00DE45DF">
        <w:rPr>
          <w:rFonts w:ascii="Times New Roman" w:hAnsi="Times New Roman"/>
          <w:noProof/>
          <w:sz w:val="24"/>
        </w:rPr>
        <w:t>par des auteurs qui ont utilisé plusieurs identités, comme l’attaque à l’arme blanche commise à Marseille en octobre </w:t>
      </w:r>
      <w:r w:rsidRPr="00DE45DF">
        <w:rPr>
          <w:rFonts w:ascii="Times New Roman" w:hAnsi="Times New Roman"/>
          <w:noProof/>
          <w:sz w:val="24"/>
        </w:rPr>
        <w:t>2017</w:t>
      </w:r>
      <w:r w:rsidRPr="00DE45DF">
        <w:rPr>
          <w:rFonts w:ascii="Times New Roman" w:hAnsi="Times New Roman"/>
          <w:noProof/>
          <w:sz w:val="24"/>
        </w:rPr>
        <w:t>, ont mis en évidence non seulement l’importance d’un partage d’informations efficace entre les autorités des États membres, mais égale</w:t>
      </w:r>
      <w:r w:rsidRPr="00DE45DF">
        <w:rPr>
          <w:rFonts w:ascii="Times New Roman" w:hAnsi="Times New Roman"/>
          <w:noProof/>
          <w:sz w:val="24"/>
        </w:rPr>
        <w:t>ment l’importance cruciale des travaux entamés par la Commission au printemps </w:t>
      </w:r>
      <w:r w:rsidRPr="00DE45DF">
        <w:rPr>
          <w:rFonts w:ascii="Times New Roman" w:hAnsi="Times New Roman"/>
          <w:noProof/>
          <w:sz w:val="24"/>
        </w:rPr>
        <w:t>2016</w:t>
      </w:r>
      <w:r w:rsidRPr="00DE45DF">
        <w:rPr>
          <w:rStyle w:val="FootnoteReference"/>
          <w:rFonts w:ascii="Times New Roman" w:hAnsi="Times New Roman"/>
          <w:noProof/>
          <w:sz w:val="24"/>
        </w:rPr>
        <w:footnoteReference w:id="2"/>
      </w:r>
      <w:r w:rsidRPr="00DE45DF">
        <w:rPr>
          <w:rFonts w:ascii="Times New Roman" w:hAnsi="Times New Roman"/>
          <w:noProof/>
          <w:sz w:val="24"/>
        </w:rPr>
        <w:t xml:space="preserve"> afin de remédier aux failles actuelles de la gestion des informations au niveau de l’Union qui permettent à un individu d’apparaître dans différentes bases de données de l’</w:t>
      </w:r>
      <w:r w:rsidRPr="00DE45DF">
        <w:rPr>
          <w:rFonts w:ascii="Times New Roman" w:hAnsi="Times New Roman"/>
          <w:noProof/>
          <w:sz w:val="24"/>
        </w:rPr>
        <w:t>Union sous plusieurs identités différentes. Les propositions législatives de règlements</w:t>
      </w:r>
      <w:r w:rsidRPr="00DE45DF">
        <w:rPr>
          <w:rStyle w:val="FootnoteReference"/>
          <w:rFonts w:ascii="Times New Roman" w:hAnsi="Times New Roman"/>
          <w:noProof/>
          <w:sz w:val="24"/>
        </w:rPr>
        <w:footnoteReference w:id="3"/>
      </w:r>
      <w:r w:rsidRPr="00DE45DF">
        <w:rPr>
          <w:rFonts w:ascii="Times New Roman" w:hAnsi="Times New Roman"/>
          <w:noProof/>
          <w:sz w:val="24"/>
        </w:rPr>
        <w:t xml:space="preserve"> sur l’interopérabilité des systèmes d’information, qui sont soumises dans le cadre d’un train de mesures accompagnant le présent rapport, visent à éliminer les possibi</w:t>
      </w:r>
      <w:r w:rsidRPr="00DE45DF">
        <w:rPr>
          <w:rFonts w:ascii="Times New Roman" w:hAnsi="Times New Roman"/>
          <w:noProof/>
          <w:sz w:val="24"/>
        </w:rPr>
        <w:t xml:space="preserve">lités d’exploiter les lacunes actuelles dont profitent les terroristes et les criminels pour commettre des fraudes à l’identité et, ainsi, à mieux protéger les frontières extérieures de l’Union, renforcer la sécurité intérieure et améliorer la gestion des </w:t>
      </w:r>
      <w:r w:rsidRPr="00DE45DF">
        <w:rPr>
          <w:rFonts w:ascii="Times New Roman" w:hAnsi="Times New Roman"/>
          <w:noProof/>
          <w:sz w:val="24"/>
        </w:rPr>
        <w:t>flux migratoires</w:t>
      </w:r>
      <w:r w:rsidRPr="00DE45DF">
        <w:rPr>
          <w:rStyle w:val="FootnoteReference"/>
          <w:rFonts w:ascii="Times New Roman" w:hAnsi="Times New Roman"/>
          <w:noProof/>
          <w:sz w:val="24"/>
        </w:rPr>
        <w:footnoteReference w:id="4"/>
      </w:r>
      <w:r w:rsidRPr="00DE45DF">
        <w:rPr>
          <w:noProof/>
        </w:rPr>
        <w:t>.</w:t>
      </w:r>
      <w:r w:rsidRPr="00DE45DF">
        <w:rPr>
          <w:rFonts w:ascii="Times New Roman" w:hAnsi="Times New Roman"/>
          <w:noProof/>
          <w:sz w:val="24"/>
        </w:rPr>
        <w:t xml:space="preserve"> Ces propositions constituent une évolution radicale, d’une part en ce qu’elles modifient la façon dont l’Union gère les informations pour la gestion de la sécurité, des frontières et des flux migratoires, et d’autre part en ce qu’elles m</w:t>
      </w:r>
      <w:r w:rsidRPr="00DE45DF">
        <w:rPr>
          <w:rFonts w:ascii="Times New Roman" w:hAnsi="Times New Roman"/>
          <w:noProof/>
          <w:sz w:val="24"/>
        </w:rPr>
        <w:t>ettent les données à la disposition des autorités nationales, afin que ces dernières aient accès aux informations dont elles ont besoin au moment et à l’endroit où elles en ont besoin. Compte tenu du caractère essentiel de ces propositions pour l’améliorat</w:t>
      </w:r>
      <w:r w:rsidRPr="00DE45DF">
        <w:rPr>
          <w:rFonts w:ascii="Times New Roman" w:hAnsi="Times New Roman"/>
          <w:noProof/>
          <w:sz w:val="24"/>
        </w:rPr>
        <w:t>ion de l’efficacité des autorités frontalières et répressives, la Commission invite désormais les colégislateurs à examiner de façon hautement prioritaire les propositions législatives sur l’interopérabilité et à parvenir rapidement à un accord sur les aut</w:t>
      </w:r>
      <w:r w:rsidRPr="00DE45DF">
        <w:rPr>
          <w:rFonts w:ascii="Times New Roman" w:hAnsi="Times New Roman"/>
          <w:noProof/>
          <w:sz w:val="24"/>
        </w:rPr>
        <w:t>res propositions législatives présentées, qui concernent les différents systèmes d’information permettant aux acteurs présents en première ligne de disposer des informations dont ils ont besoin pour remplir leur mission consistant à veiller à la sécurité d</w:t>
      </w:r>
      <w:r w:rsidRPr="00DE45DF">
        <w:rPr>
          <w:rFonts w:ascii="Times New Roman" w:hAnsi="Times New Roman"/>
          <w:noProof/>
          <w:sz w:val="24"/>
        </w:rPr>
        <w:t xml:space="preserve">e nos concitoyens. </w:t>
      </w:r>
    </w:p>
    <w:p w:rsidR="005E240D" w:rsidRPr="00DE45DF" w:rsidRDefault="00DE45DF">
      <w:pPr>
        <w:spacing w:after="240" w:line="240" w:lineRule="auto"/>
        <w:jc w:val="both"/>
        <w:rPr>
          <w:rFonts w:ascii="Times New Roman" w:hAnsi="Times New Roman" w:cs="Times New Roman"/>
          <w:noProof/>
          <w:sz w:val="24"/>
          <w:szCs w:val="24"/>
        </w:rPr>
      </w:pPr>
      <w:r w:rsidRPr="00DE45DF">
        <w:rPr>
          <w:rFonts w:ascii="Times New Roman" w:hAnsi="Times New Roman"/>
          <w:noProof/>
          <w:sz w:val="24"/>
        </w:rPr>
        <w:t>Le présent rapport est dès lors axé sur les prochaines étapes de la mise en place de systèmes d’information plus robustes et plus intelligents au service de la sécurité, des frontières et de la gestion des flux migratoires, afin d’améli</w:t>
      </w:r>
      <w:r w:rsidRPr="00DE45DF">
        <w:rPr>
          <w:rFonts w:ascii="Times New Roman" w:hAnsi="Times New Roman"/>
          <w:noProof/>
          <w:sz w:val="24"/>
        </w:rPr>
        <w:t xml:space="preserve">orer et de rendre plus efficace l’architecture de données des systèmes d’information de l’Union, tout en garantissant le respect plein et entier des exigences en matière de protection des données. </w:t>
      </w:r>
    </w:p>
    <w:p w:rsidR="005E240D" w:rsidRPr="00DE45DF" w:rsidRDefault="00DE45DF">
      <w:pPr>
        <w:spacing w:after="240" w:line="240" w:lineRule="auto"/>
        <w:jc w:val="both"/>
        <w:rPr>
          <w:rFonts w:ascii="Times New Roman" w:hAnsi="Times New Roman" w:cs="Times New Roman"/>
          <w:noProof/>
          <w:sz w:val="24"/>
          <w:szCs w:val="24"/>
        </w:rPr>
      </w:pPr>
      <w:r w:rsidRPr="00DE45DF">
        <w:rPr>
          <w:rFonts w:ascii="Times New Roman" w:hAnsi="Times New Roman"/>
          <w:noProof/>
          <w:sz w:val="24"/>
        </w:rPr>
        <w:t>Ce rapport fait aussi le point sur plusieurs mesures desti</w:t>
      </w:r>
      <w:r w:rsidRPr="00DE45DF">
        <w:rPr>
          <w:rFonts w:ascii="Times New Roman" w:hAnsi="Times New Roman"/>
          <w:noProof/>
          <w:sz w:val="24"/>
        </w:rPr>
        <w:t>nées à optimiser les avantages des systèmes d’information existants, en couvrant les travaux législatifs et les démarches en cours devant assurer leur pleine mise en œuvre et une meilleure application des systèmes d’information de l’Union. En octobre </w:t>
      </w:r>
      <w:r w:rsidRPr="00DE45DF">
        <w:rPr>
          <w:rFonts w:ascii="Times New Roman" w:hAnsi="Times New Roman"/>
          <w:noProof/>
          <w:sz w:val="24"/>
        </w:rPr>
        <w:t>2017</w:t>
      </w:r>
      <w:r w:rsidRPr="00DE45DF">
        <w:rPr>
          <w:rFonts w:ascii="Times New Roman" w:hAnsi="Times New Roman"/>
          <w:noProof/>
          <w:sz w:val="24"/>
        </w:rPr>
        <w:t>,</w:t>
      </w:r>
      <w:r w:rsidRPr="00DE45DF">
        <w:rPr>
          <w:rFonts w:ascii="Times New Roman" w:hAnsi="Times New Roman"/>
          <w:noProof/>
          <w:sz w:val="24"/>
        </w:rPr>
        <w:t xml:space="preserve"> le Conseil européen a fait le point sur la mise en </w:t>
      </w:r>
      <w:r w:rsidRPr="00DE45DF">
        <w:rPr>
          <w:rFonts w:ascii="Times New Roman" w:hAnsi="Times New Roman"/>
          <w:noProof/>
          <w:sz w:val="24"/>
        </w:rPr>
        <w:lastRenderedPageBreak/>
        <w:t>œuvre de la feuille de route de Bratislava</w:t>
      </w:r>
      <w:r w:rsidRPr="00DE45DF">
        <w:rPr>
          <w:rStyle w:val="FootnoteReference"/>
          <w:rFonts w:ascii="Times New Roman" w:hAnsi="Times New Roman"/>
          <w:noProof/>
          <w:sz w:val="24"/>
        </w:rPr>
        <w:footnoteReference w:id="5"/>
      </w:r>
      <w:r w:rsidRPr="00DE45DF">
        <w:rPr>
          <w:rFonts w:ascii="Times New Roman" w:hAnsi="Times New Roman"/>
          <w:noProof/>
          <w:sz w:val="24"/>
        </w:rPr>
        <w:t xml:space="preserve"> et a pris acte des progrès notables accomplis par l’Union, en particulier en ce qui concerne la sécurité intérieure, dans quatre domaines: l’intensification de </w:t>
      </w:r>
      <w:r w:rsidRPr="00DE45DF">
        <w:rPr>
          <w:rFonts w:ascii="Times New Roman" w:hAnsi="Times New Roman"/>
          <w:noProof/>
          <w:sz w:val="24"/>
        </w:rPr>
        <w:t>la coopération et de l’échange d’informations, le renforcement des contrôles et de l’interconnexion des bases de données, la mise en place d’un système européen d’information et d’autorisation concernant les voyages (ETIAS), et la lutte systématique contre</w:t>
      </w:r>
      <w:r w:rsidRPr="00DE45DF">
        <w:rPr>
          <w:rFonts w:ascii="Times New Roman" w:hAnsi="Times New Roman"/>
          <w:noProof/>
          <w:sz w:val="24"/>
        </w:rPr>
        <w:t xml:space="preserve"> la radicalisation. Le présent rapport montre que des progrès supplémentaires ont été réalisés dans tous ces domaines au cours des deux derniers mois.</w:t>
      </w:r>
    </w:p>
    <w:p w:rsidR="005E240D" w:rsidRPr="00DE45DF" w:rsidRDefault="00DE45DF">
      <w:pPr>
        <w:spacing w:after="240"/>
        <w:jc w:val="both"/>
        <w:rPr>
          <w:rFonts w:ascii="Times New Roman" w:hAnsi="Times New Roman" w:cs="Times New Roman"/>
          <w:b/>
          <w:noProof/>
          <w:sz w:val="24"/>
          <w:szCs w:val="24"/>
        </w:rPr>
      </w:pPr>
      <w:r w:rsidRPr="00DE45DF">
        <w:rPr>
          <w:rFonts w:ascii="Times New Roman" w:hAnsi="Times New Roman"/>
          <w:b/>
          <w:noProof/>
          <w:sz w:val="24"/>
        </w:rPr>
        <w:t>II.</w:t>
      </w:r>
      <w:r w:rsidRPr="00DE45DF">
        <w:rPr>
          <w:noProof/>
        </w:rPr>
        <w:tab/>
      </w:r>
      <w:r w:rsidRPr="00DE45DF">
        <w:rPr>
          <w:rFonts w:ascii="Times New Roman" w:hAnsi="Times New Roman"/>
          <w:b/>
          <w:noProof/>
          <w:sz w:val="24"/>
        </w:rPr>
        <w:t>DES SYSTÈMES D’INFORMATION PLUS ROBUSTES ET PLUS INTELLIGENTS AU SERVICE DE LA SÉCURITÉ, DES FRONTIÈR</w:t>
      </w:r>
      <w:r w:rsidRPr="00DE45DF">
        <w:rPr>
          <w:rFonts w:ascii="Times New Roman" w:hAnsi="Times New Roman"/>
          <w:b/>
          <w:noProof/>
          <w:sz w:val="24"/>
        </w:rPr>
        <w:t>ES ET DE LA GESTION DES FLUX MIGRATOIRES</w:t>
      </w:r>
    </w:p>
    <w:p w:rsidR="005E240D" w:rsidRPr="00DE45DF" w:rsidRDefault="00DE45DF">
      <w:pPr>
        <w:spacing w:after="120" w:line="240" w:lineRule="auto"/>
        <w:jc w:val="both"/>
        <w:rPr>
          <w:rFonts w:ascii="Times New Roman" w:hAnsi="Times New Roman" w:cs="Times New Roman"/>
          <w:noProof/>
          <w:sz w:val="24"/>
          <w:szCs w:val="24"/>
        </w:rPr>
      </w:pPr>
      <w:r w:rsidRPr="00DE45DF">
        <w:rPr>
          <w:rFonts w:ascii="Times New Roman" w:hAnsi="Times New Roman"/>
          <w:noProof/>
          <w:sz w:val="24"/>
        </w:rPr>
        <w:t>D’après des enquêtes récentes, les citoyens de l’Union soutiennent fortement l’intensification de l’échange d’informations au sein de l’Union pour la lutte contre le terrorisme et la criminalité organisée</w:t>
      </w:r>
      <w:r w:rsidRPr="00DE45DF">
        <w:rPr>
          <w:rStyle w:val="FootnoteReference"/>
          <w:rFonts w:ascii="Times New Roman" w:hAnsi="Times New Roman"/>
          <w:noProof/>
          <w:sz w:val="24"/>
        </w:rPr>
        <w:footnoteReference w:id="6"/>
      </w:r>
      <w:r w:rsidRPr="00DE45DF">
        <w:rPr>
          <w:noProof/>
        </w:rPr>
        <w:t>.</w:t>
      </w:r>
      <w:r w:rsidRPr="00DE45DF">
        <w:rPr>
          <w:rFonts w:ascii="Times New Roman" w:hAnsi="Times New Roman"/>
          <w:noProof/>
          <w:sz w:val="24"/>
        </w:rPr>
        <w:t xml:space="preserve"> Les informations fournies par les systèmes de l’Union sont déterminantes pour aider les autorités nationales à gérer les frontières extérieures, à lutter contre la criminalité et le terrorisme et à réduire l’immigration irrégulière. Afin de maximiser cett</w:t>
      </w:r>
      <w:r w:rsidRPr="00DE45DF">
        <w:rPr>
          <w:rFonts w:ascii="Times New Roman" w:hAnsi="Times New Roman"/>
          <w:noProof/>
          <w:sz w:val="24"/>
        </w:rPr>
        <w:t xml:space="preserve">e valeur ajoutée de l’Union, les informations susmentionnées doivent être complètes, précises et fiables. Actuellement, les informations sont fragmentées, complexes et difficiles à utiliser. </w:t>
      </w:r>
    </w:p>
    <w:p w:rsidR="005E240D" w:rsidRPr="00DE45DF" w:rsidRDefault="00DE45DF">
      <w:pPr>
        <w:spacing w:after="120" w:line="240" w:lineRule="auto"/>
        <w:jc w:val="both"/>
        <w:rPr>
          <w:rFonts w:ascii="Times New Roman" w:hAnsi="Times New Roman" w:cs="Times New Roman"/>
          <w:noProof/>
          <w:sz w:val="24"/>
          <w:szCs w:val="24"/>
        </w:rPr>
      </w:pPr>
      <w:r w:rsidRPr="00DE45DF">
        <w:rPr>
          <w:rFonts w:ascii="Times New Roman" w:hAnsi="Times New Roman"/>
          <w:noProof/>
          <w:sz w:val="24"/>
        </w:rPr>
        <w:t>Pour remédier à ces failles</w:t>
      </w:r>
      <w:r w:rsidRPr="00DE45DF">
        <w:rPr>
          <w:rStyle w:val="FootnoteReference"/>
          <w:rFonts w:ascii="Times New Roman" w:hAnsi="Times New Roman"/>
          <w:noProof/>
          <w:sz w:val="24"/>
        </w:rPr>
        <w:footnoteReference w:id="7"/>
      </w:r>
      <w:r w:rsidRPr="00DE45DF">
        <w:rPr>
          <w:rFonts w:ascii="Times New Roman" w:hAnsi="Times New Roman"/>
          <w:noProof/>
          <w:sz w:val="24"/>
        </w:rPr>
        <w:t>, conformément à la communication de</w:t>
      </w:r>
      <w:r w:rsidRPr="00DE45DF">
        <w:rPr>
          <w:rFonts w:ascii="Times New Roman" w:hAnsi="Times New Roman"/>
          <w:noProof/>
          <w:sz w:val="24"/>
        </w:rPr>
        <w:t xml:space="preserve"> la Commission d’avril </w:t>
      </w:r>
      <w:r w:rsidRPr="00DE45DF">
        <w:rPr>
          <w:rFonts w:ascii="Times New Roman" w:hAnsi="Times New Roman"/>
          <w:noProof/>
          <w:sz w:val="24"/>
        </w:rPr>
        <w:t>2016</w:t>
      </w:r>
      <w:r w:rsidRPr="00DE45DF">
        <w:rPr>
          <w:rFonts w:ascii="Times New Roman" w:hAnsi="Times New Roman"/>
          <w:noProof/>
          <w:sz w:val="24"/>
        </w:rPr>
        <w:t>, les travaux ont été axés sur trois domaines: optimiser les avantages des systèmes d’information existants, concevoir de nouveaux systèmes, complémentaires, visant à combler les lacunes et améliorer l’interopérabilité des systèm</w:t>
      </w:r>
      <w:r w:rsidRPr="00DE45DF">
        <w:rPr>
          <w:rFonts w:ascii="Times New Roman" w:hAnsi="Times New Roman"/>
          <w:noProof/>
          <w:sz w:val="24"/>
        </w:rPr>
        <w:t>es d’information.</w:t>
      </w:r>
    </w:p>
    <w:p w:rsidR="005E240D" w:rsidRPr="00DE45DF" w:rsidRDefault="00DE45DF">
      <w:pPr>
        <w:pStyle w:val="ListParagraph"/>
        <w:numPr>
          <w:ilvl w:val="0"/>
          <w:numId w:val="19"/>
        </w:numPr>
        <w:spacing w:after="120" w:line="240" w:lineRule="auto"/>
        <w:jc w:val="both"/>
        <w:rPr>
          <w:rFonts w:ascii="Times New Roman" w:hAnsi="Times New Roman" w:cs="Times New Roman"/>
          <w:i/>
          <w:noProof/>
          <w:sz w:val="24"/>
          <w:szCs w:val="24"/>
        </w:rPr>
      </w:pPr>
      <w:r w:rsidRPr="00DE45DF">
        <w:rPr>
          <w:rFonts w:ascii="Times New Roman" w:hAnsi="Times New Roman"/>
          <w:i/>
          <w:noProof/>
          <w:sz w:val="24"/>
        </w:rPr>
        <w:t xml:space="preserve">Vers l’interopérabilité des systèmes d’information </w:t>
      </w:r>
    </w:p>
    <w:p w:rsidR="005E240D" w:rsidRPr="00DE45DF" w:rsidRDefault="00DE45DF">
      <w:pPr>
        <w:spacing w:after="240" w:line="240" w:lineRule="auto"/>
        <w:jc w:val="both"/>
        <w:rPr>
          <w:rFonts w:ascii="Times New Roman" w:hAnsi="Times New Roman" w:cs="Times New Roman"/>
          <w:noProof/>
          <w:sz w:val="24"/>
          <w:szCs w:val="24"/>
        </w:rPr>
      </w:pPr>
      <w:r w:rsidRPr="00DE45DF">
        <w:rPr>
          <w:rFonts w:ascii="Times New Roman" w:hAnsi="Times New Roman"/>
          <w:noProof/>
          <w:sz w:val="24"/>
        </w:rPr>
        <w:t xml:space="preserve">Premièrement, les mesures proposées aideront les agents sur le terrain à </w:t>
      </w:r>
      <w:r w:rsidRPr="00DE45DF">
        <w:rPr>
          <w:rFonts w:ascii="Times New Roman" w:hAnsi="Times New Roman"/>
          <w:b/>
          <w:noProof/>
          <w:sz w:val="24"/>
        </w:rPr>
        <w:t>exploiter de façon optimale les données existantes</w:t>
      </w:r>
      <w:r w:rsidRPr="00DE45DF">
        <w:rPr>
          <w:rFonts w:ascii="Times New Roman" w:hAnsi="Times New Roman"/>
          <w:noProof/>
          <w:sz w:val="24"/>
        </w:rPr>
        <w:t xml:space="preserve">. Un </w:t>
      </w:r>
      <w:r w:rsidRPr="00DE45DF">
        <w:rPr>
          <w:rFonts w:ascii="Times New Roman" w:hAnsi="Times New Roman"/>
          <w:i/>
          <w:noProof/>
          <w:sz w:val="24"/>
        </w:rPr>
        <w:t>portail de recherche européen</w:t>
      </w:r>
      <w:r w:rsidRPr="00DE45DF">
        <w:rPr>
          <w:rFonts w:ascii="Times New Roman" w:hAnsi="Times New Roman"/>
          <w:noProof/>
          <w:sz w:val="24"/>
        </w:rPr>
        <w:t xml:space="preserve"> procurera un «guichet unique»; il permettra d’effectuer des recherches simultanées dans plusieurs systèmes d’information de l’Union</w:t>
      </w:r>
      <w:r w:rsidRPr="00DE45DF">
        <w:rPr>
          <w:rStyle w:val="FootnoteReference"/>
          <w:rFonts w:ascii="Times New Roman" w:hAnsi="Times New Roman"/>
          <w:noProof/>
          <w:sz w:val="24"/>
        </w:rPr>
        <w:footnoteReference w:id="8"/>
      </w:r>
      <w:r w:rsidRPr="00DE45DF">
        <w:rPr>
          <w:rFonts w:ascii="Times New Roman" w:hAnsi="Times New Roman"/>
          <w:noProof/>
          <w:sz w:val="24"/>
        </w:rPr>
        <w:t xml:space="preserve"> ainsi que dans les systèmes de données pertinents d’Europol et d’Interpol, conformément aux droits d’accès des utilisateur</w:t>
      </w:r>
      <w:r w:rsidRPr="00DE45DF">
        <w:rPr>
          <w:rFonts w:ascii="Times New Roman" w:hAnsi="Times New Roman"/>
          <w:noProof/>
          <w:sz w:val="24"/>
        </w:rPr>
        <w:t>s. Les agents sur le terrain auront ainsi un accès efficace, rapide et aisé aux données dont ils ont besoin pour accomplir leur travail et ne seront plus confrontés à la question complexe de savoir quelle base de données consulter dans une situation donnée</w:t>
      </w:r>
      <w:r w:rsidRPr="00DE45DF">
        <w:rPr>
          <w:rFonts w:ascii="Times New Roman" w:hAnsi="Times New Roman"/>
          <w:noProof/>
          <w:sz w:val="24"/>
        </w:rPr>
        <w:t>.</w:t>
      </w:r>
    </w:p>
    <w:p w:rsidR="005E240D" w:rsidRPr="00DE45DF" w:rsidRDefault="00DE45DF">
      <w:pPr>
        <w:spacing w:after="240" w:line="240" w:lineRule="auto"/>
        <w:jc w:val="both"/>
        <w:rPr>
          <w:rFonts w:ascii="Times New Roman" w:hAnsi="Times New Roman" w:cs="Times New Roman"/>
          <w:noProof/>
          <w:sz w:val="24"/>
          <w:szCs w:val="24"/>
        </w:rPr>
      </w:pPr>
      <w:r w:rsidRPr="00DE45DF">
        <w:rPr>
          <w:rFonts w:ascii="Times New Roman" w:hAnsi="Times New Roman"/>
          <w:noProof/>
          <w:sz w:val="24"/>
        </w:rPr>
        <w:t xml:space="preserve">Deuxièmement, comme elles sont fondées sur l’utilisation des données biométriques, les mesures proposées permettront aux autorités nationales </w:t>
      </w:r>
      <w:r w:rsidRPr="00DE45DF">
        <w:rPr>
          <w:rFonts w:ascii="Times New Roman" w:hAnsi="Times New Roman"/>
          <w:b/>
          <w:noProof/>
          <w:sz w:val="24"/>
        </w:rPr>
        <w:t>de détecter les identités multiples et de lutter contre la fraude à l’identité</w:t>
      </w:r>
      <w:r w:rsidRPr="00DE45DF">
        <w:rPr>
          <w:rFonts w:ascii="Times New Roman" w:hAnsi="Times New Roman"/>
          <w:noProof/>
          <w:sz w:val="24"/>
        </w:rPr>
        <w:t xml:space="preserve">. Un </w:t>
      </w:r>
      <w:r w:rsidRPr="00DE45DF">
        <w:rPr>
          <w:rFonts w:ascii="Times New Roman" w:hAnsi="Times New Roman"/>
          <w:i/>
          <w:noProof/>
          <w:sz w:val="24"/>
        </w:rPr>
        <w:t>service partagé de mise en co</w:t>
      </w:r>
      <w:r w:rsidRPr="00DE45DF">
        <w:rPr>
          <w:rFonts w:ascii="Times New Roman" w:hAnsi="Times New Roman"/>
          <w:i/>
          <w:noProof/>
          <w:sz w:val="24"/>
        </w:rPr>
        <w:t>rrespondance de données biométriques</w:t>
      </w:r>
      <w:r w:rsidRPr="00DE45DF">
        <w:rPr>
          <w:rFonts w:ascii="Times New Roman" w:hAnsi="Times New Roman"/>
          <w:noProof/>
          <w:sz w:val="24"/>
        </w:rPr>
        <w:t xml:space="preserve"> permettra de rechercher et de comparer des données biométriques dans plusieurs systèmes centraux</w:t>
      </w:r>
      <w:r w:rsidRPr="00DE45DF">
        <w:rPr>
          <w:rStyle w:val="FootnoteReference"/>
          <w:rFonts w:ascii="Times New Roman" w:hAnsi="Times New Roman"/>
          <w:noProof/>
          <w:sz w:val="24"/>
        </w:rPr>
        <w:footnoteReference w:id="9"/>
      </w:r>
      <w:r w:rsidRPr="00DE45DF">
        <w:rPr>
          <w:rFonts w:ascii="Times New Roman" w:hAnsi="Times New Roman"/>
          <w:noProof/>
          <w:sz w:val="24"/>
        </w:rPr>
        <w:t xml:space="preserve">, tandis qu’un </w:t>
      </w:r>
      <w:r w:rsidRPr="00DE45DF">
        <w:rPr>
          <w:rFonts w:ascii="Times New Roman" w:hAnsi="Times New Roman"/>
          <w:i/>
          <w:noProof/>
          <w:sz w:val="24"/>
        </w:rPr>
        <w:t>répertoire commun de données d’identité</w:t>
      </w:r>
      <w:r w:rsidRPr="00DE45DF">
        <w:rPr>
          <w:rFonts w:ascii="Times New Roman" w:hAnsi="Times New Roman"/>
          <w:noProof/>
          <w:sz w:val="24"/>
        </w:rPr>
        <w:t xml:space="preserve"> contiendra les données d’identité biographiques et biométriques par</w:t>
      </w:r>
      <w:r w:rsidRPr="00DE45DF">
        <w:rPr>
          <w:rFonts w:ascii="Times New Roman" w:hAnsi="Times New Roman"/>
          <w:noProof/>
          <w:sz w:val="24"/>
        </w:rPr>
        <w:t>tagées des ressortissants de pays tiers présents dans les systèmes d’information de l’Union</w:t>
      </w:r>
      <w:r w:rsidRPr="00DE45DF">
        <w:rPr>
          <w:rStyle w:val="FootnoteReference"/>
          <w:rFonts w:ascii="Times New Roman" w:hAnsi="Times New Roman"/>
          <w:noProof/>
          <w:sz w:val="24"/>
        </w:rPr>
        <w:footnoteReference w:id="10"/>
      </w:r>
      <w:r w:rsidRPr="00DE45DF">
        <w:rPr>
          <w:noProof/>
        </w:rPr>
        <w:t>.</w:t>
      </w:r>
      <w:r w:rsidRPr="00DE45DF">
        <w:rPr>
          <w:rFonts w:ascii="Times New Roman" w:hAnsi="Times New Roman"/>
          <w:noProof/>
          <w:sz w:val="24"/>
        </w:rPr>
        <w:t xml:space="preserve"> Sur la base de ces deux composantes de l’interopérabilité, un </w:t>
      </w:r>
      <w:r w:rsidRPr="00DE45DF">
        <w:rPr>
          <w:rFonts w:ascii="Times New Roman" w:hAnsi="Times New Roman"/>
          <w:i/>
          <w:noProof/>
          <w:sz w:val="24"/>
        </w:rPr>
        <w:t>détecteur d’identités multiples</w:t>
      </w:r>
      <w:r w:rsidRPr="00DE45DF">
        <w:rPr>
          <w:rFonts w:ascii="Times New Roman" w:hAnsi="Times New Roman"/>
          <w:noProof/>
          <w:sz w:val="24"/>
        </w:rPr>
        <w:t xml:space="preserve"> vérifiera si les données relatives à une identité demandée existent </w:t>
      </w:r>
      <w:r w:rsidRPr="00DE45DF">
        <w:rPr>
          <w:rFonts w:ascii="Times New Roman" w:hAnsi="Times New Roman"/>
          <w:noProof/>
          <w:sz w:val="24"/>
        </w:rPr>
        <w:t>dans plus d’un des systèmes qui y sont connectés</w:t>
      </w:r>
      <w:r w:rsidRPr="00DE45DF">
        <w:rPr>
          <w:rStyle w:val="FootnoteReference"/>
          <w:rFonts w:ascii="Times New Roman" w:hAnsi="Times New Roman"/>
          <w:noProof/>
          <w:sz w:val="24"/>
        </w:rPr>
        <w:footnoteReference w:id="11"/>
      </w:r>
      <w:r w:rsidRPr="00DE45DF">
        <w:rPr>
          <w:noProof/>
        </w:rPr>
        <w:t>.</w:t>
      </w:r>
      <w:r w:rsidRPr="00DE45DF">
        <w:rPr>
          <w:rFonts w:ascii="Times New Roman" w:hAnsi="Times New Roman"/>
          <w:noProof/>
          <w:sz w:val="24"/>
        </w:rPr>
        <w:t xml:space="preserve"> Chaque fois que les agents des services d’immigration et des services d’asile enregistrent une personne dans les systèmes d’information de l’Union, ou lorsque les policiers et les garde-frontières contrôle</w:t>
      </w:r>
      <w:r w:rsidRPr="00DE45DF">
        <w:rPr>
          <w:rFonts w:ascii="Times New Roman" w:hAnsi="Times New Roman"/>
          <w:noProof/>
          <w:sz w:val="24"/>
        </w:rPr>
        <w:t>nt l’identité d’une personne dans ces systèmes, ils seront informés si la personne est déjà connue sous une autre identité ou si elle utilise plusieurs identités. Ce détecteur permettra de combler les lacunes actuelles et de fermer les angles morts que les</w:t>
      </w:r>
      <w:r w:rsidRPr="00DE45DF">
        <w:rPr>
          <w:rFonts w:ascii="Times New Roman" w:hAnsi="Times New Roman"/>
          <w:noProof/>
          <w:sz w:val="24"/>
        </w:rPr>
        <w:t xml:space="preserve"> terroristes et autres criminels cherchent à exploiter en se dissimulant derrière de fausses identités ou plusieurs identités.</w:t>
      </w:r>
    </w:p>
    <w:p w:rsidR="005E240D" w:rsidRPr="00DE45DF" w:rsidRDefault="00DE45DF">
      <w:pPr>
        <w:spacing w:after="240" w:line="240" w:lineRule="auto"/>
        <w:jc w:val="both"/>
        <w:rPr>
          <w:rFonts w:ascii="Times New Roman" w:hAnsi="Times New Roman" w:cs="Times New Roman"/>
          <w:noProof/>
          <w:sz w:val="24"/>
          <w:szCs w:val="24"/>
        </w:rPr>
      </w:pPr>
      <w:r w:rsidRPr="00DE45DF">
        <w:rPr>
          <w:rFonts w:ascii="Times New Roman" w:hAnsi="Times New Roman"/>
          <w:noProof/>
          <w:sz w:val="24"/>
        </w:rPr>
        <w:t xml:space="preserve">Troisièmement, les mesures proposées permettront aux policiers de mener des </w:t>
      </w:r>
      <w:r w:rsidRPr="00DE45DF">
        <w:rPr>
          <w:rFonts w:ascii="Times New Roman" w:hAnsi="Times New Roman"/>
          <w:b/>
          <w:noProof/>
          <w:sz w:val="24"/>
        </w:rPr>
        <w:t>contrôles d’identité rapides et efficaces sur leur te</w:t>
      </w:r>
      <w:r w:rsidRPr="00DE45DF">
        <w:rPr>
          <w:rFonts w:ascii="Times New Roman" w:hAnsi="Times New Roman"/>
          <w:b/>
          <w:noProof/>
          <w:sz w:val="24"/>
        </w:rPr>
        <w:t>rritoire</w:t>
      </w:r>
      <w:r w:rsidRPr="00DE45DF">
        <w:rPr>
          <w:rFonts w:ascii="Times New Roman" w:hAnsi="Times New Roman"/>
          <w:noProof/>
          <w:sz w:val="24"/>
        </w:rPr>
        <w:t>. Lors de ces contrôles, les policiers auront accès aux données d’identité des ressortissants de pays tiers dont les données sont enregistrées dans les systèmes d’information de l’Union, ce qui permettra l’identification correcte et la détection de</w:t>
      </w:r>
      <w:r w:rsidRPr="00DE45DF">
        <w:rPr>
          <w:rFonts w:ascii="Times New Roman" w:hAnsi="Times New Roman"/>
          <w:noProof/>
          <w:sz w:val="24"/>
        </w:rPr>
        <w:t>s identités multiples. Ainsi, les contrôles sur le territoire des États membres seront nettement plus efficaces, également conformément à la recommandation de la Commission relative à des contrôles de police proportionnés et à la coopération policière dans</w:t>
      </w:r>
      <w:r w:rsidRPr="00DE45DF">
        <w:rPr>
          <w:rFonts w:ascii="Times New Roman" w:hAnsi="Times New Roman"/>
          <w:noProof/>
          <w:sz w:val="24"/>
        </w:rPr>
        <w:t xml:space="preserve"> l’espace Schengen</w:t>
      </w:r>
      <w:r w:rsidRPr="00DE45DF">
        <w:rPr>
          <w:rStyle w:val="FootnoteReference"/>
          <w:rFonts w:ascii="Times New Roman" w:hAnsi="Times New Roman"/>
          <w:noProof/>
          <w:sz w:val="24"/>
        </w:rPr>
        <w:footnoteReference w:id="12"/>
      </w:r>
      <w:r w:rsidRPr="00DE45DF">
        <w:rPr>
          <w:noProof/>
        </w:rPr>
        <w:t>.</w:t>
      </w:r>
    </w:p>
    <w:p w:rsidR="005E240D" w:rsidRPr="00DE45DF" w:rsidRDefault="00DE45DF">
      <w:pPr>
        <w:spacing w:after="240" w:line="240" w:lineRule="auto"/>
        <w:jc w:val="both"/>
        <w:rPr>
          <w:rFonts w:ascii="Times New Roman" w:hAnsi="Times New Roman" w:cs="Times New Roman"/>
          <w:noProof/>
          <w:sz w:val="24"/>
          <w:szCs w:val="24"/>
        </w:rPr>
      </w:pPr>
      <w:r w:rsidRPr="00DE45DF">
        <w:rPr>
          <w:rFonts w:ascii="Times New Roman" w:hAnsi="Times New Roman"/>
          <w:noProof/>
          <w:sz w:val="24"/>
        </w:rPr>
        <w:t xml:space="preserve">Pour compléter ces composantes de l’interopérabilité, la Commission propose par ailleurs </w:t>
      </w:r>
      <w:r w:rsidRPr="00DE45DF">
        <w:rPr>
          <w:rFonts w:ascii="Times New Roman" w:hAnsi="Times New Roman"/>
          <w:b/>
          <w:noProof/>
          <w:sz w:val="24"/>
        </w:rPr>
        <w:t>de faciliter et de rationaliser l’accès des autorités répressives</w:t>
      </w:r>
      <w:r w:rsidRPr="00DE45DF">
        <w:rPr>
          <w:rFonts w:ascii="Times New Roman" w:hAnsi="Times New Roman"/>
          <w:noProof/>
          <w:sz w:val="24"/>
        </w:rPr>
        <w:t xml:space="preserve"> aux systèmes de services non répressifs en introduisant une nouvelle approche de</w:t>
      </w:r>
      <w:r w:rsidRPr="00DE45DF">
        <w:rPr>
          <w:rFonts w:ascii="Times New Roman" w:hAnsi="Times New Roman"/>
          <w:noProof/>
          <w:sz w:val="24"/>
        </w:rPr>
        <w:t xml:space="preserve"> consultation des données, qui compte deux étapes. En vertu des règles actuelles, les autorités répressives peuvent déjà consulter des systèmes d’information de services non répressifs à des fins de prévention, d’enquête, de détection ou de poursuite d’act</w:t>
      </w:r>
      <w:r w:rsidRPr="00DE45DF">
        <w:rPr>
          <w:rFonts w:ascii="Times New Roman" w:hAnsi="Times New Roman"/>
          <w:noProof/>
          <w:sz w:val="24"/>
        </w:rPr>
        <w:t>es de terrorisme et d’autres infractions pénales graves. Cependant, les systèmes concernés sont soumis à différentes conditions d’accès et garanties, et certaines des règles actuelles entravent l’efficacité de l’utilisation légitime des systèmes par ces au</w:t>
      </w:r>
      <w:r w:rsidRPr="00DE45DF">
        <w:rPr>
          <w:rFonts w:ascii="Times New Roman" w:hAnsi="Times New Roman"/>
          <w:noProof/>
          <w:sz w:val="24"/>
        </w:rPr>
        <w:t xml:space="preserve">torités. Dans le cadre de la nouvelle approche de consultation des données en deux temps, un agent des services répressifs commencerait par contrôler en parallèle tous les systèmes stockant des données dans le </w:t>
      </w:r>
      <w:r w:rsidRPr="00DE45DF">
        <w:rPr>
          <w:rFonts w:ascii="Times New Roman" w:hAnsi="Times New Roman"/>
          <w:i/>
          <w:noProof/>
          <w:sz w:val="24"/>
        </w:rPr>
        <w:t>répertoire commun de données d’identité</w:t>
      </w:r>
      <w:r w:rsidRPr="00DE45DF">
        <w:rPr>
          <w:rFonts w:ascii="Times New Roman" w:hAnsi="Times New Roman"/>
          <w:noProof/>
          <w:sz w:val="24"/>
        </w:rPr>
        <w:t xml:space="preserve"> afin d</w:t>
      </w:r>
      <w:r w:rsidRPr="00DE45DF">
        <w:rPr>
          <w:rFonts w:ascii="Times New Roman" w:hAnsi="Times New Roman"/>
          <w:noProof/>
          <w:sz w:val="24"/>
        </w:rPr>
        <w:t>e savoir si des informations sur la personne recherchée existaient dans un système. Afin de garantir la protection des données, la seule réponse serait «</w:t>
      </w:r>
      <w:r w:rsidRPr="00DE45DF">
        <w:rPr>
          <w:rFonts w:ascii="Times New Roman" w:hAnsi="Times New Roman"/>
          <w:i/>
          <w:noProof/>
          <w:sz w:val="24"/>
        </w:rPr>
        <w:t>concordance/non-concordance</w:t>
      </w:r>
      <w:r w:rsidRPr="00DE45DF">
        <w:rPr>
          <w:rFonts w:ascii="Times New Roman" w:hAnsi="Times New Roman"/>
          <w:noProof/>
          <w:sz w:val="24"/>
        </w:rPr>
        <w:t>». L’agent n’aurait accès aux données d’aucun système; il serait surtout inf</w:t>
      </w:r>
      <w:r w:rsidRPr="00DE45DF">
        <w:rPr>
          <w:rFonts w:ascii="Times New Roman" w:hAnsi="Times New Roman"/>
          <w:noProof/>
          <w:sz w:val="24"/>
        </w:rPr>
        <w:t>ormé de l’existence éventuelle de ces données et du système qui les contiendrait. Dans un deuxième temps, l’agent pourrait ensuite demander un accès complet au(x) système(s) d’information ayant donné une concordance, en formulant une demande d’accès indivi</w:t>
      </w:r>
      <w:r w:rsidRPr="00DE45DF">
        <w:rPr>
          <w:rFonts w:ascii="Times New Roman" w:hAnsi="Times New Roman"/>
          <w:noProof/>
          <w:sz w:val="24"/>
        </w:rPr>
        <w:t>duelle pour chaque système concerné conformément aux différentes règles établies pour chacun de ces systèmes. Comme c’est le cas actuellement, l’agent devrait justifier la nécessité d’accéder au système, conformément aux droits d’accès de ce système d’info</w:t>
      </w:r>
      <w:r w:rsidRPr="00DE45DF">
        <w:rPr>
          <w:rFonts w:ascii="Times New Roman" w:hAnsi="Times New Roman"/>
          <w:noProof/>
          <w:sz w:val="24"/>
        </w:rPr>
        <w:t>rmation et aux principes de limitation des finalités. L’accès complet resterait soumis à une autorisation préalable délivrée par une autorité désignée et continuerait à exiger un identifiant d’utilisateur et un login spécifiques. Une fois que cette approch</w:t>
      </w:r>
      <w:r w:rsidRPr="00DE45DF">
        <w:rPr>
          <w:rFonts w:ascii="Times New Roman" w:hAnsi="Times New Roman"/>
          <w:noProof/>
          <w:sz w:val="24"/>
        </w:rPr>
        <w:t>e de consultation des données en deux temps s’appliquera, il ne sera plus nécessaire d’effectuer une recherche préalable dans les bases de données nationales ou de lancer une recherche préalable dans le système automatisé d’identification des empreintes di</w:t>
      </w:r>
      <w:r w:rsidRPr="00DE45DF">
        <w:rPr>
          <w:rFonts w:ascii="Times New Roman" w:hAnsi="Times New Roman"/>
          <w:noProof/>
          <w:sz w:val="24"/>
        </w:rPr>
        <w:t>gitales d’autres États membres au titre de la décision </w:t>
      </w:r>
      <w:r w:rsidRPr="00DE45DF">
        <w:rPr>
          <w:rFonts w:ascii="Times New Roman" w:hAnsi="Times New Roman"/>
          <w:noProof/>
          <w:sz w:val="24"/>
        </w:rPr>
        <w:t>2008</w:t>
      </w:r>
      <w:r w:rsidRPr="00DE45DF">
        <w:rPr>
          <w:rFonts w:ascii="Times New Roman" w:hAnsi="Times New Roman"/>
          <w:noProof/>
          <w:sz w:val="24"/>
        </w:rPr>
        <w:t>/</w:t>
      </w:r>
      <w:r w:rsidRPr="00DE45DF">
        <w:rPr>
          <w:rFonts w:ascii="Times New Roman" w:hAnsi="Times New Roman"/>
          <w:noProof/>
          <w:sz w:val="24"/>
        </w:rPr>
        <w:t>615</w:t>
      </w:r>
      <w:r w:rsidRPr="00DE45DF">
        <w:rPr>
          <w:rFonts w:ascii="Times New Roman" w:hAnsi="Times New Roman"/>
          <w:noProof/>
          <w:sz w:val="24"/>
        </w:rPr>
        <w:t xml:space="preserve">/JAI («vérification Prüm»). </w:t>
      </w:r>
    </w:p>
    <w:p w:rsidR="005E240D" w:rsidRPr="00DE45DF" w:rsidRDefault="00DE45DF">
      <w:pPr>
        <w:spacing w:after="240" w:line="240" w:lineRule="auto"/>
        <w:jc w:val="both"/>
        <w:rPr>
          <w:rFonts w:ascii="Times New Roman" w:hAnsi="Times New Roman" w:cs="Times New Roman"/>
          <w:noProof/>
          <w:sz w:val="24"/>
          <w:szCs w:val="24"/>
        </w:rPr>
      </w:pPr>
      <w:r w:rsidRPr="00DE45DF">
        <w:rPr>
          <w:rFonts w:ascii="Times New Roman" w:hAnsi="Times New Roman"/>
          <w:noProof/>
          <w:sz w:val="24"/>
        </w:rPr>
        <w:t xml:space="preserve">Les propositions sur l’interopérabilité </w:t>
      </w:r>
      <w:r w:rsidRPr="00DE45DF">
        <w:rPr>
          <w:rFonts w:ascii="Times New Roman" w:hAnsi="Times New Roman"/>
          <w:b/>
          <w:noProof/>
          <w:sz w:val="24"/>
        </w:rPr>
        <w:t>respectent et promeuvent les droits fondamentaux, et notamment le droit à la protection des données</w:t>
      </w:r>
      <w:r w:rsidRPr="00DE45DF">
        <w:rPr>
          <w:rFonts w:ascii="Times New Roman" w:hAnsi="Times New Roman"/>
          <w:noProof/>
          <w:sz w:val="24"/>
        </w:rPr>
        <w:t xml:space="preserve">. Grâce à l’instauration </w:t>
      </w:r>
      <w:r w:rsidRPr="00DE45DF">
        <w:rPr>
          <w:rFonts w:ascii="Times New Roman" w:hAnsi="Times New Roman"/>
          <w:noProof/>
          <w:sz w:val="24"/>
        </w:rPr>
        <w:t xml:space="preserve">du nouveau cadre général de protection des données à caractère personnel dans l’Union et aux progrès considérables accomplis dans les domaines technologiques et de la sécurité informatique, le principe de limitation des finalités peut être plus facilement </w:t>
      </w:r>
      <w:r w:rsidRPr="00DE45DF">
        <w:rPr>
          <w:rFonts w:ascii="Times New Roman" w:hAnsi="Times New Roman"/>
          <w:noProof/>
          <w:sz w:val="24"/>
        </w:rPr>
        <w:t xml:space="preserve">mis en œuvre en ce qui concerne l’accès aux données stockées et leur utilisation, dans le strict respect de la Charte des droits fondamentaux et de la jurisprudence récente de la Cour de justice de l’Union européenne. Les mesures proposées ne déboucheront </w:t>
      </w:r>
      <w:r w:rsidRPr="00DE45DF">
        <w:rPr>
          <w:rFonts w:ascii="Times New Roman" w:hAnsi="Times New Roman"/>
          <w:noProof/>
          <w:sz w:val="24"/>
        </w:rPr>
        <w:t>pas sur l’interconnectivité des différents systèmes. Chaque système conservera sa limitation à ses finalités spécifiques, ses règles d’accès et ses règles en matière de conservation des données. Les mesures proposées n’entraîneront pas non plus de collecte</w:t>
      </w:r>
      <w:r w:rsidRPr="00DE45DF">
        <w:rPr>
          <w:rFonts w:ascii="Times New Roman" w:hAnsi="Times New Roman"/>
          <w:noProof/>
          <w:sz w:val="24"/>
        </w:rPr>
        <w:t xml:space="preserve"> de nouvelles données. Elles représentent une solution ciblée et intelligente exploitant de façon optimale les informations existantes dans les systèmes de l’Union.</w:t>
      </w:r>
    </w:p>
    <w:p w:rsidR="005E240D" w:rsidRPr="00DE45DF" w:rsidRDefault="00DE45DF">
      <w:pPr>
        <w:spacing w:after="240" w:line="240" w:lineRule="auto"/>
        <w:jc w:val="both"/>
        <w:rPr>
          <w:rFonts w:ascii="Times New Roman" w:hAnsi="Times New Roman" w:cs="Times New Roman"/>
          <w:noProof/>
          <w:sz w:val="24"/>
          <w:szCs w:val="24"/>
        </w:rPr>
      </w:pPr>
      <w:r w:rsidRPr="00DE45DF">
        <w:rPr>
          <w:rFonts w:ascii="Times New Roman" w:hAnsi="Times New Roman"/>
          <w:noProof/>
          <w:sz w:val="24"/>
        </w:rPr>
        <w:t xml:space="preserve">Les propositions législatives sont le fruit d’un </w:t>
      </w:r>
      <w:r w:rsidRPr="00DE45DF">
        <w:rPr>
          <w:rFonts w:ascii="Times New Roman" w:hAnsi="Times New Roman"/>
          <w:b/>
          <w:noProof/>
          <w:sz w:val="24"/>
        </w:rPr>
        <w:t>processus inclusif et transparent</w:t>
      </w:r>
      <w:r w:rsidRPr="00DE45DF">
        <w:rPr>
          <w:rFonts w:ascii="Times New Roman" w:hAnsi="Times New Roman"/>
          <w:noProof/>
          <w:sz w:val="24"/>
        </w:rPr>
        <w:t xml:space="preserve"> qui a débuté avec la communication de la Commission intitulée «Des systèmes d’information plus robustes et plus intelligents au service des frontières et de la sécurité» d’avril </w:t>
      </w:r>
      <w:r w:rsidRPr="00DE45DF">
        <w:rPr>
          <w:rFonts w:ascii="Times New Roman" w:hAnsi="Times New Roman"/>
          <w:noProof/>
          <w:sz w:val="24"/>
        </w:rPr>
        <w:t>2016</w:t>
      </w:r>
      <w:r w:rsidRPr="00DE45DF">
        <w:rPr>
          <w:rFonts w:ascii="Times New Roman" w:hAnsi="Times New Roman"/>
          <w:noProof/>
          <w:sz w:val="24"/>
        </w:rPr>
        <w:t>, qui a fait l’objet d’un suivi par un groupe d’experts de haut niveau</w:t>
      </w:r>
      <w:r w:rsidRPr="00DE45DF">
        <w:rPr>
          <w:rStyle w:val="FootnoteReference"/>
          <w:rFonts w:ascii="Times New Roman" w:hAnsi="Times New Roman"/>
          <w:noProof/>
          <w:sz w:val="24"/>
        </w:rPr>
        <w:footnoteReference w:id="13"/>
      </w:r>
      <w:r w:rsidRPr="00DE45DF">
        <w:rPr>
          <w:rFonts w:ascii="Times New Roman" w:hAnsi="Times New Roman"/>
          <w:noProof/>
          <w:sz w:val="24"/>
        </w:rPr>
        <w:t xml:space="preserve"> c</w:t>
      </w:r>
      <w:r w:rsidRPr="00DE45DF">
        <w:rPr>
          <w:rFonts w:ascii="Times New Roman" w:hAnsi="Times New Roman"/>
          <w:noProof/>
          <w:sz w:val="24"/>
        </w:rPr>
        <w:t>hargé de résoudre les problèmes juridiques, techniques et opérationnels découlant des différentes options afin de parvenir à l’interopérabilité.</w:t>
      </w:r>
    </w:p>
    <w:p w:rsidR="005E240D" w:rsidRPr="00DE45DF" w:rsidRDefault="00DE45DF">
      <w:pPr>
        <w:spacing w:after="240" w:line="240" w:lineRule="auto"/>
        <w:jc w:val="both"/>
        <w:rPr>
          <w:rFonts w:ascii="Times New Roman" w:hAnsi="Times New Roman" w:cs="Times New Roman"/>
          <w:noProof/>
          <w:sz w:val="24"/>
          <w:szCs w:val="24"/>
        </w:rPr>
      </w:pPr>
      <w:r w:rsidRPr="00DE45DF">
        <w:rPr>
          <w:rFonts w:ascii="Times New Roman" w:hAnsi="Times New Roman"/>
          <w:noProof/>
          <w:sz w:val="24"/>
        </w:rPr>
        <w:t xml:space="preserve">Les propositions législatives comprennent des dispositions détaillées concernant les </w:t>
      </w:r>
      <w:r w:rsidRPr="00DE45DF">
        <w:rPr>
          <w:rFonts w:ascii="Times New Roman" w:hAnsi="Times New Roman"/>
          <w:b/>
          <w:noProof/>
          <w:sz w:val="24"/>
        </w:rPr>
        <w:t xml:space="preserve">modifications nécessaires </w:t>
      </w:r>
      <w:r w:rsidRPr="00DE45DF">
        <w:rPr>
          <w:rFonts w:ascii="Times New Roman" w:hAnsi="Times New Roman"/>
          <w:b/>
          <w:noProof/>
          <w:sz w:val="24"/>
        </w:rPr>
        <w:t>des instruments juridiques</w:t>
      </w:r>
      <w:r w:rsidRPr="00DE45DF">
        <w:rPr>
          <w:rFonts w:ascii="Times New Roman" w:hAnsi="Times New Roman"/>
          <w:noProof/>
          <w:sz w:val="24"/>
        </w:rPr>
        <w:t xml:space="preserve"> qui sont actuellement des textes stables adoptés par les colégislateurs, à savoir le code frontières Schengen, le règlement sur le système d’entrée/de sortie et les instruments juridiques régissant le système d’information sur le</w:t>
      </w:r>
      <w:r w:rsidRPr="00DE45DF">
        <w:rPr>
          <w:rFonts w:ascii="Times New Roman" w:hAnsi="Times New Roman"/>
          <w:noProof/>
          <w:sz w:val="24"/>
        </w:rPr>
        <w:t>s visas. Les autres instruments couverts</w:t>
      </w:r>
      <w:r w:rsidRPr="00DE45DF">
        <w:rPr>
          <w:rStyle w:val="FootnoteReference"/>
          <w:rFonts w:ascii="Times New Roman" w:hAnsi="Times New Roman"/>
          <w:noProof/>
          <w:sz w:val="24"/>
        </w:rPr>
        <w:footnoteReference w:id="14"/>
      </w:r>
      <w:r w:rsidRPr="00DE45DF">
        <w:rPr>
          <w:rFonts w:ascii="Times New Roman" w:hAnsi="Times New Roman"/>
          <w:noProof/>
          <w:sz w:val="24"/>
        </w:rPr>
        <w:t xml:space="preserve"> sont en cours de négociation au Parlement européen et au Conseil. Pour ces instruments, il n’est donc pas possible d’exposer les modifications nécessaires à ce stade. La Commission présentera ces modifications pour</w:t>
      </w:r>
      <w:r w:rsidRPr="00DE45DF">
        <w:rPr>
          <w:rFonts w:ascii="Times New Roman" w:hAnsi="Times New Roman"/>
          <w:noProof/>
          <w:sz w:val="24"/>
        </w:rPr>
        <w:t xml:space="preserve"> chacun de ces instruments dans un délai de deux semaines à compter de l’accord politique sur les différents projets de règlement. Elle invite les colégislateurs à trouver rapidement un accord dans le cadre des négociations en cours sur ces instruments.</w:t>
      </w:r>
    </w:p>
    <w:p w:rsidR="005E240D" w:rsidRPr="00DE45DF" w:rsidRDefault="00DE45DF">
      <w:pPr>
        <w:pStyle w:val="ListParagraph"/>
        <w:numPr>
          <w:ilvl w:val="0"/>
          <w:numId w:val="19"/>
        </w:numPr>
        <w:spacing w:after="120" w:line="240" w:lineRule="auto"/>
        <w:jc w:val="both"/>
        <w:rPr>
          <w:rFonts w:ascii="Times New Roman" w:hAnsi="Times New Roman" w:cs="Times New Roman"/>
          <w:i/>
          <w:noProof/>
          <w:sz w:val="24"/>
          <w:szCs w:val="24"/>
        </w:rPr>
      </w:pPr>
      <w:r w:rsidRPr="00DE45DF">
        <w:rPr>
          <w:rFonts w:ascii="Times New Roman" w:hAnsi="Times New Roman"/>
          <w:i/>
          <w:noProof/>
          <w:sz w:val="24"/>
        </w:rPr>
        <w:t>Co</w:t>
      </w:r>
      <w:r w:rsidRPr="00DE45DF">
        <w:rPr>
          <w:rFonts w:ascii="Times New Roman" w:hAnsi="Times New Roman"/>
          <w:i/>
          <w:noProof/>
          <w:sz w:val="24"/>
        </w:rPr>
        <w:t>ncevoir de nouvelles actions complémentaires visant à combler les lacunes</w:t>
      </w:r>
    </w:p>
    <w:p w:rsidR="005E240D" w:rsidRPr="00DE45DF" w:rsidRDefault="00DE45DF">
      <w:pPr>
        <w:spacing w:after="240" w:line="240" w:lineRule="auto"/>
        <w:jc w:val="both"/>
        <w:rPr>
          <w:rFonts w:ascii="Times New Roman" w:hAnsi="Times New Roman" w:cs="Times New Roman"/>
          <w:noProof/>
          <w:sz w:val="24"/>
          <w:szCs w:val="24"/>
        </w:rPr>
      </w:pPr>
      <w:r w:rsidRPr="00DE45DF">
        <w:rPr>
          <w:rFonts w:ascii="Times New Roman" w:hAnsi="Times New Roman"/>
          <w:noProof/>
          <w:sz w:val="24"/>
        </w:rPr>
        <w:t xml:space="preserve">Outre les nouvelles propositions relatives à l’interopérabilité susmentionnées, il est indispensable de continuer à progresser pour combler les déficits d’information actuels que la </w:t>
      </w:r>
      <w:r w:rsidRPr="00DE45DF">
        <w:rPr>
          <w:rFonts w:ascii="Times New Roman" w:hAnsi="Times New Roman"/>
          <w:noProof/>
          <w:sz w:val="24"/>
        </w:rPr>
        <w:t>Commission a recensés dans sa communication d’avril </w:t>
      </w:r>
      <w:r w:rsidRPr="00DE45DF">
        <w:rPr>
          <w:rFonts w:ascii="Times New Roman" w:hAnsi="Times New Roman"/>
          <w:noProof/>
          <w:sz w:val="24"/>
        </w:rPr>
        <w:t>2016</w:t>
      </w:r>
      <w:r w:rsidRPr="00DE45DF">
        <w:rPr>
          <w:rFonts w:ascii="Times New Roman" w:hAnsi="Times New Roman"/>
          <w:noProof/>
          <w:sz w:val="24"/>
        </w:rPr>
        <w:t xml:space="preserve"> en ce qui concerne les ressortissants de pays tiers qui se rendent dans l’espace Schengen. Les textes finaux du règlement relatif au </w:t>
      </w:r>
      <w:r w:rsidRPr="00DE45DF">
        <w:rPr>
          <w:rFonts w:ascii="Times New Roman" w:hAnsi="Times New Roman"/>
          <w:b/>
          <w:noProof/>
          <w:sz w:val="24"/>
        </w:rPr>
        <w:t>système d’entrée/de sortie</w:t>
      </w:r>
      <w:r w:rsidRPr="00DE45DF">
        <w:rPr>
          <w:rStyle w:val="FootnoteReference"/>
          <w:rFonts w:ascii="Times New Roman" w:hAnsi="Times New Roman"/>
          <w:noProof/>
          <w:sz w:val="24"/>
        </w:rPr>
        <w:footnoteReference w:id="15"/>
      </w:r>
      <w:r w:rsidRPr="00DE45DF">
        <w:rPr>
          <w:rFonts w:ascii="Times New Roman" w:hAnsi="Times New Roman"/>
          <w:noProof/>
          <w:sz w:val="24"/>
        </w:rPr>
        <w:t xml:space="preserve"> (EES) et du règlement modifiant le cod</w:t>
      </w:r>
      <w:r w:rsidRPr="00DE45DF">
        <w:rPr>
          <w:rFonts w:ascii="Times New Roman" w:hAnsi="Times New Roman"/>
          <w:noProof/>
          <w:sz w:val="24"/>
        </w:rPr>
        <w:t>e frontières Schengen afin de l’aligner sur l’EES</w:t>
      </w:r>
      <w:r w:rsidRPr="00DE45DF">
        <w:rPr>
          <w:rStyle w:val="FootnoteReference"/>
          <w:rFonts w:ascii="Times New Roman" w:hAnsi="Times New Roman"/>
          <w:noProof/>
          <w:sz w:val="24"/>
        </w:rPr>
        <w:footnoteReference w:id="16"/>
      </w:r>
      <w:r w:rsidRPr="00DE45DF">
        <w:rPr>
          <w:rFonts w:ascii="Times New Roman" w:hAnsi="Times New Roman"/>
          <w:noProof/>
          <w:sz w:val="24"/>
        </w:rPr>
        <w:t xml:space="preserve"> ont été adoptés par les colégislateurs à la fin du mois de novembre et entreront en vigueur à la fin </w:t>
      </w:r>
      <w:r w:rsidRPr="00DE45DF">
        <w:rPr>
          <w:rFonts w:ascii="Times New Roman" w:hAnsi="Times New Roman"/>
          <w:noProof/>
          <w:sz w:val="24"/>
        </w:rPr>
        <w:t>2017</w:t>
      </w:r>
      <w:r w:rsidRPr="00DE45DF">
        <w:rPr>
          <w:rFonts w:ascii="Times New Roman" w:hAnsi="Times New Roman"/>
          <w:noProof/>
          <w:sz w:val="24"/>
        </w:rPr>
        <w:t xml:space="preserve">. Par la suite, le développement du système commencera en </w:t>
      </w:r>
      <w:r w:rsidRPr="00DE45DF">
        <w:rPr>
          <w:rFonts w:ascii="Times New Roman" w:hAnsi="Times New Roman"/>
          <w:noProof/>
          <w:sz w:val="24"/>
        </w:rPr>
        <w:t>2018</w:t>
      </w:r>
      <w:r w:rsidRPr="00DE45DF">
        <w:rPr>
          <w:rFonts w:ascii="Times New Roman" w:hAnsi="Times New Roman"/>
          <w:noProof/>
          <w:sz w:val="24"/>
        </w:rPr>
        <w:t>, afin que celui-ci soit pleinement op</w:t>
      </w:r>
      <w:r w:rsidRPr="00DE45DF">
        <w:rPr>
          <w:rFonts w:ascii="Times New Roman" w:hAnsi="Times New Roman"/>
          <w:noProof/>
          <w:sz w:val="24"/>
        </w:rPr>
        <w:t xml:space="preserve">érationnel pour </w:t>
      </w:r>
      <w:r w:rsidRPr="00DE45DF">
        <w:rPr>
          <w:rFonts w:ascii="Times New Roman" w:hAnsi="Times New Roman"/>
          <w:noProof/>
          <w:sz w:val="24"/>
        </w:rPr>
        <w:t>2020</w:t>
      </w:r>
      <w:r w:rsidRPr="00DE45DF">
        <w:rPr>
          <w:rFonts w:ascii="Times New Roman" w:hAnsi="Times New Roman"/>
          <w:noProof/>
          <w:sz w:val="24"/>
        </w:rPr>
        <w:t xml:space="preserve">. </w:t>
      </w:r>
    </w:p>
    <w:p w:rsidR="005E240D" w:rsidRPr="00DE45DF" w:rsidRDefault="00DE45DF">
      <w:pPr>
        <w:spacing w:after="240" w:line="240" w:lineRule="auto"/>
        <w:jc w:val="both"/>
        <w:rPr>
          <w:rFonts w:ascii="Times New Roman" w:hAnsi="Times New Roman" w:cs="Times New Roman"/>
          <w:noProof/>
          <w:sz w:val="24"/>
          <w:szCs w:val="24"/>
        </w:rPr>
      </w:pPr>
      <w:r w:rsidRPr="00DE45DF">
        <w:rPr>
          <w:rFonts w:ascii="Times New Roman" w:hAnsi="Times New Roman"/>
          <w:noProof/>
          <w:sz w:val="24"/>
        </w:rPr>
        <w:t>Un autre manque d’informations, qui concerne les ressortissants de pays tiers n’ayant pas besoin de visa, a été abordé dans la proposition législative de la Commission de novembre </w:t>
      </w:r>
      <w:r w:rsidRPr="00DE45DF">
        <w:rPr>
          <w:rFonts w:ascii="Times New Roman" w:hAnsi="Times New Roman"/>
          <w:noProof/>
          <w:sz w:val="24"/>
        </w:rPr>
        <w:t>2016</w:t>
      </w:r>
      <w:r w:rsidRPr="00DE45DF">
        <w:rPr>
          <w:rFonts w:ascii="Times New Roman" w:hAnsi="Times New Roman"/>
          <w:noProof/>
          <w:sz w:val="24"/>
        </w:rPr>
        <w:t xml:space="preserve"> visant à créer un nouveau système informatique à</w:t>
      </w:r>
      <w:r w:rsidRPr="00DE45DF">
        <w:rPr>
          <w:rFonts w:ascii="Times New Roman" w:hAnsi="Times New Roman"/>
          <w:noProof/>
          <w:sz w:val="24"/>
        </w:rPr>
        <w:t xml:space="preserve"> grande échelle, le </w:t>
      </w:r>
      <w:r w:rsidRPr="00DE45DF">
        <w:rPr>
          <w:rFonts w:ascii="Times New Roman" w:hAnsi="Times New Roman"/>
          <w:b/>
          <w:noProof/>
          <w:sz w:val="24"/>
        </w:rPr>
        <w:t>système européen d’information et d’autorisation concernant les voyages (ETIAS)</w:t>
      </w:r>
      <w:r w:rsidRPr="00DE45DF">
        <w:rPr>
          <w:rFonts w:ascii="Times New Roman" w:hAnsi="Times New Roman"/>
          <w:noProof/>
          <w:sz w:val="24"/>
        </w:rPr>
        <w:t>. Le Conseil a approuvé son orientation générale en juin </w:t>
      </w:r>
      <w:r w:rsidRPr="00DE45DF">
        <w:rPr>
          <w:rFonts w:ascii="Times New Roman" w:hAnsi="Times New Roman"/>
          <w:noProof/>
          <w:sz w:val="24"/>
        </w:rPr>
        <w:t>2017</w:t>
      </w:r>
      <w:r w:rsidRPr="00DE45DF">
        <w:rPr>
          <w:rFonts w:ascii="Times New Roman" w:hAnsi="Times New Roman"/>
          <w:noProof/>
          <w:sz w:val="24"/>
        </w:rPr>
        <w:t xml:space="preserve"> et le mandat de négociation du Parlement européen a été confirmé le </w:t>
      </w:r>
      <w:r w:rsidRPr="00DE45DF">
        <w:rPr>
          <w:rFonts w:ascii="Times New Roman" w:hAnsi="Times New Roman"/>
          <w:noProof/>
          <w:sz w:val="24"/>
        </w:rPr>
        <w:t>25</w:t>
      </w:r>
      <w:r w:rsidRPr="00DE45DF">
        <w:rPr>
          <w:rFonts w:ascii="Times New Roman" w:hAnsi="Times New Roman"/>
          <w:noProof/>
          <w:sz w:val="24"/>
        </w:rPr>
        <w:t> octobre </w:t>
      </w:r>
      <w:r w:rsidRPr="00DE45DF">
        <w:rPr>
          <w:rFonts w:ascii="Times New Roman" w:hAnsi="Times New Roman"/>
          <w:noProof/>
          <w:sz w:val="24"/>
        </w:rPr>
        <w:t>2017</w:t>
      </w:r>
      <w:r w:rsidRPr="00DE45DF">
        <w:rPr>
          <w:rFonts w:ascii="Times New Roman" w:hAnsi="Times New Roman"/>
          <w:noProof/>
          <w:sz w:val="24"/>
        </w:rPr>
        <w:t>. Les négoci</w:t>
      </w:r>
      <w:r w:rsidRPr="00DE45DF">
        <w:rPr>
          <w:rFonts w:ascii="Times New Roman" w:hAnsi="Times New Roman"/>
          <w:noProof/>
          <w:sz w:val="24"/>
        </w:rPr>
        <w:t xml:space="preserve">ations du trilogue ont débuté le même jour et se sont poursuivies le </w:t>
      </w:r>
      <w:r w:rsidRPr="00DE45DF">
        <w:rPr>
          <w:rFonts w:ascii="Times New Roman" w:hAnsi="Times New Roman"/>
          <w:noProof/>
          <w:sz w:val="24"/>
        </w:rPr>
        <w:t>16</w:t>
      </w:r>
      <w:r w:rsidRPr="00DE45DF">
        <w:rPr>
          <w:rFonts w:ascii="Times New Roman" w:hAnsi="Times New Roman"/>
          <w:noProof/>
          <w:sz w:val="24"/>
        </w:rPr>
        <w:t> novembre </w:t>
      </w:r>
      <w:r w:rsidRPr="00DE45DF">
        <w:rPr>
          <w:rFonts w:ascii="Times New Roman" w:hAnsi="Times New Roman"/>
          <w:noProof/>
          <w:sz w:val="24"/>
        </w:rPr>
        <w:t>2017</w:t>
      </w:r>
      <w:r w:rsidRPr="00DE45DF">
        <w:rPr>
          <w:rFonts w:ascii="Times New Roman" w:hAnsi="Times New Roman"/>
          <w:noProof/>
          <w:sz w:val="24"/>
        </w:rPr>
        <w:t xml:space="preserve"> et le </w:t>
      </w:r>
      <w:r w:rsidRPr="00DE45DF">
        <w:rPr>
          <w:rFonts w:ascii="Times New Roman" w:hAnsi="Times New Roman"/>
          <w:noProof/>
          <w:sz w:val="24"/>
        </w:rPr>
        <w:t>29</w:t>
      </w:r>
      <w:r w:rsidRPr="00DE45DF">
        <w:rPr>
          <w:rFonts w:ascii="Times New Roman" w:hAnsi="Times New Roman"/>
          <w:noProof/>
          <w:sz w:val="24"/>
        </w:rPr>
        <w:t> novembre </w:t>
      </w:r>
      <w:r w:rsidRPr="00DE45DF">
        <w:rPr>
          <w:rFonts w:ascii="Times New Roman" w:hAnsi="Times New Roman"/>
          <w:noProof/>
          <w:sz w:val="24"/>
        </w:rPr>
        <w:t>2017</w:t>
      </w:r>
      <w:r w:rsidRPr="00DE45DF">
        <w:rPr>
          <w:rFonts w:ascii="Times New Roman" w:hAnsi="Times New Roman"/>
          <w:noProof/>
          <w:sz w:val="24"/>
        </w:rPr>
        <w:t xml:space="preserve">. Le prochain trilogue politique est prévu pour le </w:t>
      </w:r>
      <w:r w:rsidRPr="00DE45DF">
        <w:rPr>
          <w:rFonts w:ascii="Times New Roman" w:hAnsi="Times New Roman"/>
          <w:noProof/>
          <w:sz w:val="24"/>
        </w:rPr>
        <w:t>12</w:t>
      </w:r>
      <w:r w:rsidRPr="00DE45DF">
        <w:rPr>
          <w:rFonts w:ascii="Times New Roman" w:hAnsi="Times New Roman"/>
          <w:noProof/>
          <w:sz w:val="24"/>
        </w:rPr>
        <w:t> décembre </w:t>
      </w:r>
      <w:r w:rsidRPr="00DE45DF">
        <w:rPr>
          <w:rFonts w:ascii="Times New Roman" w:hAnsi="Times New Roman"/>
          <w:noProof/>
          <w:sz w:val="24"/>
        </w:rPr>
        <w:t>2017</w:t>
      </w:r>
      <w:r w:rsidRPr="00DE45DF">
        <w:rPr>
          <w:rFonts w:ascii="Times New Roman" w:hAnsi="Times New Roman"/>
          <w:noProof/>
          <w:sz w:val="24"/>
        </w:rPr>
        <w:t>. La Commission invite les deux colégislateurs à parvenir à un accord politique s</w:t>
      </w:r>
      <w:r w:rsidRPr="00DE45DF">
        <w:rPr>
          <w:rFonts w:ascii="Times New Roman" w:hAnsi="Times New Roman"/>
          <w:noProof/>
          <w:sz w:val="24"/>
        </w:rPr>
        <w:t xml:space="preserve">ur le dossier d’ici à la fin </w:t>
      </w:r>
      <w:r w:rsidRPr="00DE45DF">
        <w:rPr>
          <w:rFonts w:ascii="Times New Roman" w:hAnsi="Times New Roman"/>
          <w:noProof/>
          <w:sz w:val="24"/>
        </w:rPr>
        <w:t>2017</w:t>
      </w:r>
      <w:r w:rsidRPr="00DE45DF">
        <w:rPr>
          <w:rFonts w:ascii="Times New Roman" w:hAnsi="Times New Roman"/>
          <w:noProof/>
          <w:sz w:val="24"/>
        </w:rPr>
        <w:t>, conformément aux conclusions du Conseil européen de décembre </w:t>
      </w:r>
      <w:r w:rsidRPr="00DE45DF">
        <w:rPr>
          <w:rFonts w:ascii="Times New Roman" w:hAnsi="Times New Roman"/>
          <w:noProof/>
          <w:sz w:val="24"/>
        </w:rPr>
        <w:t>2016</w:t>
      </w:r>
      <w:r w:rsidRPr="00DE45DF">
        <w:rPr>
          <w:rFonts w:ascii="Times New Roman" w:hAnsi="Times New Roman"/>
          <w:noProof/>
          <w:sz w:val="24"/>
        </w:rPr>
        <w:t xml:space="preserve"> et à la déclaration commune.</w:t>
      </w:r>
    </w:p>
    <w:p w:rsidR="005E240D" w:rsidRPr="00DE45DF" w:rsidRDefault="00DE45DF">
      <w:pPr>
        <w:pStyle w:val="ListParagraph"/>
        <w:numPr>
          <w:ilvl w:val="0"/>
          <w:numId w:val="19"/>
        </w:numPr>
        <w:spacing w:after="120"/>
        <w:rPr>
          <w:rFonts w:ascii="Times New Roman" w:hAnsi="Times New Roman" w:cs="Times New Roman"/>
          <w:i/>
          <w:noProof/>
          <w:sz w:val="24"/>
          <w:szCs w:val="24"/>
        </w:rPr>
      </w:pPr>
      <w:r w:rsidRPr="00DE45DF">
        <w:rPr>
          <w:rFonts w:ascii="Times New Roman" w:hAnsi="Times New Roman"/>
          <w:i/>
          <w:noProof/>
          <w:sz w:val="24"/>
        </w:rPr>
        <w:t>Optimiser les avantages des systèmes d’information existants</w:t>
      </w:r>
    </w:p>
    <w:p w:rsidR="005E240D" w:rsidRPr="00DE45DF" w:rsidRDefault="00DE45DF">
      <w:pPr>
        <w:spacing w:after="120" w:line="240" w:lineRule="auto"/>
        <w:jc w:val="both"/>
        <w:rPr>
          <w:rFonts w:ascii="Times New Roman" w:hAnsi="Times New Roman" w:cs="Times New Roman"/>
          <w:i/>
          <w:noProof/>
          <w:sz w:val="24"/>
          <w:szCs w:val="24"/>
        </w:rPr>
      </w:pPr>
      <w:r w:rsidRPr="00DE45DF">
        <w:rPr>
          <w:rFonts w:ascii="Times New Roman" w:hAnsi="Times New Roman"/>
          <w:i/>
          <w:noProof/>
          <w:sz w:val="24"/>
        </w:rPr>
        <w:t xml:space="preserve">a) </w:t>
      </w:r>
      <w:r w:rsidRPr="00DE45DF">
        <w:rPr>
          <w:noProof/>
        </w:rPr>
        <w:tab/>
      </w:r>
      <w:r w:rsidRPr="00DE45DF">
        <w:rPr>
          <w:rFonts w:ascii="Times New Roman" w:hAnsi="Times New Roman"/>
          <w:i/>
          <w:noProof/>
          <w:sz w:val="24"/>
        </w:rPr>
        <w:t xml:space="preserve">Travaux législatifs en cours visant à renforcer les systèmes </w:t>
      </w:r>
      <w:r w:rsidRPr="00DE45DF">
        <w:rPr>
          <w:rFonts w:ascii="Times New Roman" w:hAnsi="Times New Roman"/>
          <w:i/>
          <w:noProof/>
          <w:sz w:val="24"/>
        </w:rPr>
        <w:t xml:space="preserve">d’information existants </w:t>
      </w:r>
    </w:p>
    <w:p w:rsidR="005E240D" w:rsidRPr="00DE45DF" w:rsidRDefault="00DE45DF">
      <w:pPr>
        <w:spacing w:after="240" w:line="240" w:lineRule="auto"/>
        <w:jc w:val="both"/>
        <w:rPr>
          <w:rFonts w:ascii="Times New Roman" w:hAnsi="Times New Roman" w:cs="Times New Roman"/>
          <w:noProof/>
          <w:sz w:val="24"/>
          <w:szCs w:val="24"/>
        </w:rPr>
      </w:pPr>
      <w:r w:rsidRPr="00DE45DF">
        <w:rPr>
          <w:rFonts w:ascii="Times New Roman" w:hAnsi="Times New Roman"/>
          <w:noProof/>
          <w:sz w:val="24"/>
        </w:rPr>
        <w:t>Dans le cadre de ses efforts déployés pour optimiser le potentiel des systèmes d’information existants de l’Union, la Commission a adopté en décembre </w:t>
      </w:r>
      <w:r w:rsidRPr="00DE45DF">
        <w:rPr>
          <w:rFonts w:ascii="Times New Roman" w:hAnsi="Times New Roman"/>
          <w:noProof/>
          <w:sz w:val="24"/>
        </w:rPr>
        <w:t>2016</w:t>
      </w:r>
      <w:r w:rsidRPr="00DE45DF">
        <w:rPr>
          <w:rFonts w:ascii="Times New Roman" w:hAnsi="Times New Roman"/>
          <w:noProof/>
          <w:sz w:val="24"/>
        </w:rPr>
        <w:t xml:space="preserve"> trois propositions législatives visant à renforcer le </w:t>
      </w:r>
      <w:r w:rsidRPr="00DE45DF">
        <w:rPr>
          <w:rFonts w:ascii="Times New Roman" w:hAnsi="Times New Roman"/>
          <w:b/>
          <w:noProof/>
          <w:sz w:val="24"/>
        </w:rPr>
        <w:t xml:space="preserve">système d’information </w:t>
      </w:r>
      <w:r w:rsidRPr="00DE45DF">
        <w:rPr>
          <w:rFonts w:ascii="Times New Roman" w:hAnsi="Times New Roman"/>
          <w:b/>
          <w:noProof/>
          <w:sz w:val="24"/>
        </w:rPr>
        <w:t>Schengen (SIS)</w:t>
      </w:r>
      <w:r w:rsidRPr="00DE45DF">
        <w:rPr>
          <w:rStyle w:val="FootnoteReference"/>
          <w:rFonts w:ascii="Times New Roman" w:hAnsi="Times New Roman"/>
          <w:noProof/>
          <w:sz w:val="24"/>
        </w:rPr>
        <w:footnoteReference w:id="17"/>
      </w:r>
      <w:r w:rsidRPr="00DE45DF">
        <w:rPr>
          <w:noProof/>
        </w:rPr>
        <w:t>.</w:t>
      </w:r>
      <w:r w:rsidRPr="00DE45DF">
        <w:rPr>
          <w:rFonts w:ascii="Times New Roman" w:hAnsi="Times New Roman"/>
          <w:noProof/>
          <w:sz w:val="24"/>
        </w:rPr>
        <w:t xml:space="preserve"> Celles-ci comportent des mesures essentielles pour intensifier la lutte contre le terrorisme, comme l’introduction d’une obligation pour les États membres de créer une alerte dans le SIS si une personne est recherchée en rapport avec une i</w:t>
      </w:r>
      <w:r w:rsidRPr="00DE45DF">
        <w:rPr>
          <w:rFonts w:ascii="Times New Roman" w:hAnsi="Times New Roman"/>
          <w:noProof/>
          <w:sz w:val="24"/>
        </w:rPr>
        <w:t>nfraction terroriste. Les débats au Parlement européen et au Conseil ont aussi porté sur la nécessité d’échanger avec Europol les informations sur les infractions terroristes présentes dans le SIS. Une modification proposée consiste à permettre à Europol e</w:t>
      </w:r>
      <w:r w:rsidRPr="00DE45DF">
        <w:rPr>
          <w:rFonts w:ascii="Times New Roman" w:hAnsi="Times New Roman"/>
          <w:noProof/>
          <w:sz w:val="24"/>
        </w:rPr>
        <w:t>t aux États membres d’échanger des informations supplémentaires sur les concordances dans le SIS liées au terrorisme, et à permettre à Europol de contrôler les informations sur les alertes nouvellement créées et les concordances correspondantes par recoupe</w:t>
      </w:r>
      <w:r w:rsidRPr="00DE45DF">
        <w:rPr>
          <w:rFonts w:ascii="Times New Roman" w:hAnsi="Times New Roman"/>
          <w:noProof/>
          <w:sz w:val="24"/>
        </w:rPr>
        <w:t xml:space="preserve">ment avec ses bases de données et ses fichiers de travail analytiques. Les négociations du Parlement européen et du Conseil sur ces propositions ont commencé le </w:t>
      </w:r>
      <w:r w:rsidRPr="00DE45DF">
        <w:rPr>
          <w:rFonts w:ascii="Times New Roman" w:hAnsi="Times New Roman"/>
          <w:noProof/>
          <w:sz w:val="24"/>
        </w:rPr>
        <w:t>16</w:t>
      </w:r>
      <w:r w:rsidRPr="00DE45DF">
        <w:rPr>
          <w:rFonts w:ascii="Times New Roman" w:hAnsi="Times New Roman"/>
          <w:noProof/>
          <w:sz w:val="24"/>
        </w:rPr>
        <w:t> novembre </w:t>
      </w:r>
      <w:r w:rsidRPr="00DE45DF">
        <w:rPr>
          <w:rFonts w:ascii="Times New Roman" w:hAnsi="Times New Roman"/>
          <w:noProof/>
          <w:sz w:val="24"/>
        </w:rPr>
        <w:t>2017</w:t>
      </w:r>
      <w:r w:rsidRPr="00DE45DF">
        <w:rPr>
          <w:rFonts w:ascii="Times New Roman" w:hAnsi="Times New Roman"/>
          <w:noProof/>
          <w:sz w:val="24"/>
        </w:rPr>
        <w:t>. Compte tenu de l’importance de ces propositions, la Commission prie instammen</w:t>
      </w:r>
      <w:r w:rsidRPr="00DE45DF">
        <w:rPr>
          <w:rFonts w:ascii="Times New Roman" w:hAnsi="Times New Roman"/>
          <w:noProof/>
          <w:sz w:val="24"/>
        </w:rPr>
        <w:t xml:space="preserve">t les colégislateurs de parvenir à un accord à ce sujet d’ici au début </w:t>
      </w:r>
      <w:r w:rsidRPr="00DE45DF">
        <w:rPr>
          <w:rFonts w:ascii="Times New Roman" w:hAnsi="Times New Roman"/>
          <w:noProof/>
          <w:sz w:val="24"/>
        </w:rPr>
        <w:t>2018</w:t>
      </w:r>
      <w:r w:rsidRPr="00DE45DF">
        <w:rPr>
          <w:rFonts w:ascii="Times New Roman" w:hAnsi="Times New Roman"/>
          <w:noProof/>
          <w:sz w:val="24"/>
        </w:rPr>
        <w:t>.</w:t>
      </w:r>
    </w:p>
    <w:p w:rsidR="005E240D" w:rsidRPr="00DE45DF" w:rsidRDefault="00DE45DF">
      <w:pPr>
        <w:spacing w:after="240" w:line="240" w:lineRule="auto"/>
        <w:jc w:val="both"/>
        <w:rPr>
          <w:rFonts w:ascii="Times New Roman" w:hAnsi="Times New Roman" w:cs="Times New Roman"/>
          <w:noProof/>
          <w:sz w:val="24"/>
          <w:szCs w:val="24"/>
        </w:rPr>
      </w:pPr>
      <w:r w:rsidRPr="00DE45DF">
        <w:rPr>
          <w:rFonts w:ascii="Times New Roman" w:hAnsi="Times New Roman"/>
          <w:noProof/>
          <w:sz w:val="24"/>
        </w:rPr>
        <w:t xml:space="preserve">Parallèlement, comme prévu depuis </w:t>
      </w:r>
      <w:r w:rsidRPr="00DE45DF">
        <w:rPr>
          <w:rFonts w:ascii="Times New Roman" w:hAnsi="Times New Roman"/>
          <w:noProof/>
          <w:sz w:val="24"/>
        </w:rPr>
        <w:t>2016</w:t>
      </w:r>
      <w:r w:rsidRPr="00DE45DF">
        <w:rPr>
          <w:rFonts w:ascii="Times New Roman" w:hAnsi="Times New Roman"/>
          <w:noProof/>
          <w:sz w:val="24"/>
        </w:rPr>
        <w:t xml:space="preserve">, les travaux continuent en vue de renforcer le SIS, avec l’introduction d’un </w:t>
      </w:r>
      <w:r w:rsidRPr="00DE45DF">
        <w:rPr>
          <w:rFonts w:ascii="Times New Roman" w:hAnsi="Times New Roman"/>
          <w:b/>
          <w:noProof/>
          <w:sz w:val="24"/>
        </w:rPr>
        <w:t>système automatisé d’identification des empreintes digitales (A</w:t>
      </w:r>
      <w:r w:rsidRPr="00DE45DF">
        <w:rPr>
          <w:rFonts w:ascii="Times New Roman" w:hAnsi="Times New Roman"/>
          <w:b/>
          <w:noProof/>
          <w:sz w:val="24"/>
        </w:rPr>
        <w:t>FIS)</w:t>
      </w:r>
      <w:r w:rsidRPr="00DE45DF">
        <w:rPr>
          <w:rFonts w:ascii="Times New Roman" w:hAnsi="Times New Roman"/>
          <w:noProof/>
          <w:sz w:val="24"/>
        </w:rPr>
        <w:t>. Ce système permettra aux utilisateurs finaux du SIS (comme les policiers et les garde-frontières) d’effectuer des recherches dans le SIS sur la base des données dactyloscopiques, afin de pouvoir identifier de façon fiable les individus, y compris ceu</w:t>
      </w:r>
      <w:r w:rsidRPr="00DE45DF">
        <w:rPr>
          <w:rFonts w:ascii="Times New Roman" w:hAnsi="Times New Roman"/>
          <w:noProof/>
          <w:sz w:val="24"/>
        </w:rPr>
        <w:t>x qui se déplacent sous une fausse identité. Neuf États membres se sont portés volontaires pour participer à la première phase du déploiement de l’AFIS, qui devrait débuter en mars </w:t>
      </w:r>
      <w:r w:rsidRPr="00DE45DF">
        <w:rPr>
          <w:rFonts w:ascii="Times New Roman" w:hAnsi="Times New Roman"/>
          <w:noProof/>
          <w:sz w:val="24"/>
        </w:rPr>
        <w:t>2018</w:t>
      </w:r>
      <w:r w:rsidRPr="00DE45DF">
        <w:rPr>
          <w:rFonts w:ascii="Times New Roman" w:hAnsi="Times New Roman"/>
          <w:noProof/>
          <w:sz w:val="24"/>
        </w:rPr>
        <w:t>. Le déploiement complet dans tous les États membres utilisant le SIS d</w:t>
      </w:r>
      <w:r w:rsidRPr="00DE45DF">
        <w:rPr>
          <w:rFonts w:ascii="Times New Roman" w:hAnsi="Times New Roman"/>
          <w:noProof/>
          <w:sz w:val="24"/>
        </w:rPr>
        <w:t xml:space="preserve">evrait être achevé dans le courant </w:t>
      </w:r>
      <w:r w:rsidRPr="00DE45DF">
        <w:rPr>
          <w:rFonts w:ascii="Times New Roman" w:hAnsi="Times New Roman"/>
          <w:noProof/>
          <w:sz w:val="24"/>
        </w:rPr>
        <w:t>2018</w:t>
      </w:r>
      <w:r w:rsidRPr="00DE45DF">
        <w:rPr>
          <w:rFonts w:ascii="Times New Roman" w:hAnsi="Times New Roman"/>
          <w:noProof/>
          <w:sz w:val="24"/>
        </w:rPr>
        <w:t>.</w:t>
      </w:r>
    </w:p>
    <w:p w:rsidR="005E240D" w:rsidRPr="00DE45DF" w:rsidRDefault="00DE45DF">
      <w:pPr>
        <w:spacing w:after="240" w:line="240" w:lineRule="auto"/>
        <w:jc w:val="both"/>
        <w:rPr>
          <w:rFonts w:ascii="Times New Roman" w:hAnsi="Times New Roman" w:cs="Times New Roman"/>
          <w:noProof/>
          <w:sz w:val="24"/>
          <w:szCs w:val="24"/>
        </w:rPr>
      </w:pPr>
      <w:r w:rsidRPr="00DE45DF">
        <w:rPr>
          <w:rFonts w:ascii="Times New Roman" w:hAnsi="Times New Roman"/>
          <w:noProof/>
          <w:sz w:val="24"/>
        </w:rPr>
        <w:t xml:space="preserve">En ce qui concerne la proposition législative visant à renforcer le système </w:t>
      </w:r>
      <w:r w:rsidRPr="00DE45DF">
        <w:rPr>
          <w:rFonts w:ascii="Times New Roman" w:hAnsi="Times New Roman"/>
          <w:b/>
          <w:noProof/>
          <w:sz w:val="24"/>
        </w:rPr>
        <w:t>Eurodac</w:t>
      </w:r>
      <w:r w:rsidRPr="00DE45DF">
        <w:rPr>
          <w:rStyle w:val="FootnoteReference"/>
          <w:rFonts w:ascii="Times New Roman" w:hAnsi="Times New Roman"/>
          <w:noProof/>
          <w:sz w:val="24"/>
        </w:rPr>
        <w:footnoteReference w:id="18"/>
      </w:r>
      <w:r w:rsidRPr="00DE45DF">
        <w:rPr>
          <w:rFonts w:ascii="Times New Roman" w:hAnsi="Times New Roman"/>
          <w:noProof/>
          <w:sz w:val="24"/>
        </w:rPr>
        <w:t>, les trilogues sont en cours. Eurodac est l’un des systèmes d’information qui seront couverts par les composantes de l’interopérab</w:t>
      </w:r>
      <w:r w:rsidRPr="00DE45DF">
        <w:rPr>
          <w:rFonts w:ascii="Times New Roman" w:hAnsi="Times New Roman"/>
          <w:noProof/>
          <w:sz w:val="24"/>
        </w:rPr>
        <w:t>ilité. Il est donc important que les colégislateurs parviennent rapidement à un accord sur ce dossier. Dans la communication intitulée «Contribution de la Commission à la réunion des dirigeants sur la voie à suivre concernant les dimensions interne et exte</w:t>
      </w:r>
      <w:r w:rsidRPr="00DE45DF">
        <w:rPr>
          <w:rFonts w:ascii="Times New Roman" w:hAnsi="Times New Roman"/>
          <w:noProof/>
          <w:sz w:val="24"/>
        </w:rPr>
        <w:t>rne de la politique migratoire»</w:t>
      </w:r>
      <w:r w:rsidRPr="00DE45DF">
        <w:rPr>
          <w:rStyle w:val="FootnoteReference"/>
          <w:rFonts w:ascii="Times New Roman" w:hAnsi="Times New Roman"/>
          <w:noProof/>
          <w:sz w:val="24"/>
        </w:rPr>
        <w:footnoteReference w:id="19"/>
      </w:r>
      <w:r w:rsidRPr="00DE45DF">
        <w:rPr>
          <w:rFonts w:ascii="Times New Roman" w:hAnsi="Times New Roman"/>
          <w:noProof/>
          <w:sz w:val="24"/>
        </w:rPr>
        <w:t>, la Commission appelle à adopter la proposition pour mars </w:t>
      </w:r>
      <w:r w:rsidRPr="00DE45DF">
        <w:rPr>
          <w:rFonts w:ascii="Times New Roman" w:hAnsi="Times New Roman"/>
          <w:noProof/>
          <w:sz w:val="24"/>
        </w:rPr>
        <w:t>2018</w:t>
      </w:r>
      <w:r w:rsidRPr="00DE45DF">
        <w:rPr>
          <w:rFonts w:ascii="Times New Roman" w:hAnsi="Times New Roman"/>
          <w:noProof/>
          <w:sz w:val="24"/>
        </w:rPr>
        <w:t xml:space="preserve">. </w:t>
      </w:r>
    </w:p>
    <w:p w:rsidR="005E240D" w:rsidRPr="00DE45DF" w:rsidRDefault="00DE45DF">
      <w:pPr>
        <w:spacing w:after="240" w:line="240" w:lineRule="auto"/>
        <w:jc w:val="both"/>
        <w:rPr>
          <w:rFonts w:ascii="Times New Roman" w:hAnsi="Times New Roman" w:cs="Times New Roman"/>
          <w:noProof/>
          <w:sz w:val="24"/>
          <w:szCs w:val="24"/>
        </w:rPr>
      </w:pPr>
      <w:r w:rsidRPr="00DE45DF">
        <w:rPr>
          <w:rFonts w:ascii="Times New Roman" w:hAnsi="Times New Roman"/>
          <w:noProof/>
          <w:sz w:val="24"/>
        </w:rPr>
        <w:t xml:space="preserve">Afin de continuer à restreindre la marge de manœuvre des terroristes et des criminels, la Commission a présenté le </w:t>
      </w:r>
      <w:r w:rsidRPr="00DE45DF">
        <w:rPr>
          <w:rFonts w:ascii="Times New Roman" w:hAnsi="Times New Roman"/>
          <w:noProof/>
          <w:sz w:val="24"/>
        </w:rPr>
        <w:t>29</w:t>
      </w:r>
      <w:r w:rsidRPr="00DE45DF">
        <w:rPr>
          <w:rFonts w:ascii="Times New Roman" w:hAnsi="Times New Roman"/>
          <w:noProof/>
          <w:sz w:val="24"/>
        </w:rPr>
        <w:t> juin </w:t>
      </w:r>
      <w:r w:rsidRPr="00DE45DF">
        <w:rPr>
          <w:rFonts w:ascii="Times New Roman" w:hAnsi="Times New Roman"/>
          <w:noProof/>
          <w:sz w:val="24"/>
        </w:rPr>
        <w:t>2017</w:t>
      </w:r>
      <w:r w:rsidRPr="00DE45DF">
        <w:rPr>
          <w:rFonts w:ascii="Times New Roman" w:hAnsi="Times New Roman"/>
          <w:noProof/>
          <w:sz w:val="24"/>
        </w:rPr>
        <w:t xml:space="preserve"> une proposition supplémentaire</w:t>
      </w:r>
      <w:r w:rsidRPr="00DE45DF">
        <w:rPr>
          <w:rFonts w:ascii="Times New Roman" w:hAnsi="Times New Roman"/>
          <w:noProof/>
          <w:sz w:val="24"/>
        </w:rPr>
        <w:t xml:space="preserve"> destinée à faciliter l’échange d’informations extraites des casiers judiciaires des ressortissants de pays tiers dans l’Union par l’intermédiaire du </w:t>
      </w:r>
      <w:r w:rsidRPr="00DE45DF">
        <w:rPr>
          <w:rFonts w:ascii="Times New Roman" w:hAnsi="Times New Roman"/>
          <w:b/>
          <w:noProof/>
          <w:sz w:val="24"/>
        </w:rPr>
        <w:t>système européen d’information sur les casiers judiciaires (ECRIS)</w:t>
      </w:r>
      <w:r w:rsidRPr="00DE45DF">
        <w:rPr>
          <w:rStyle w:val="FootnoteReference"/>
          <w:rFonts w:ascii="Times New Roman" w:hAnsi="Times New Roman"/>
          <w:noProof/>
          <w:sz w:val="24"/>
        </w:rPr>
        <w:footnoteReference w:id="20"/>
      </w:r>
      <w:r w:rsidRPr="00DE45DF">
        <w:rPr>
          <w:noProof/>
        </w:rPr>
        <w:t>.</w:t>
      </w:r>
      <w:r w:rsidRPr="00DE45DF">
        <w:rPr>
          <w:rFonts w:ascii="Times New Roman" w:hAnsi="Times New Roman"/>
          <w:noProof/>
          <w:sz w:val="24"/>
        </w:rPr>
        <w:t xml:space="preserve"> Le </w:t>
      </w:r>
      <w:r w:rsidRPr="00DE45DF">
        <w:rPr>
          <w:rFonts w:ascii="Times New Roman" w:hAnsi="Times New Roman"/>
          <w:noProof/>
          <w:sz w:val="24"/>
        </w:rPr>
        <w:t>8</w:t>
      </w:r>
      <w:r w:rsidRPr="00DE45DF">
        <w:rPr>
          <w:rFonts w:ascii="Times New Roman" w:hAnsi="Times New Roman"/>
          <w:noProof/>
          <w:sz w:val="24"/>
        </w:rPr>
        <w:t> décembre </w:t>
      </w:r>
      <w:r w:rsidRPr="00DE45DF">
        <w:rPr>
          <w:rFonts w:ascii="Times New Roman" w:hAnsi="Times New Roman"/>
          <w:noProof/>
          <w:sz w:val="24"/>
        </w:rPr>
        <w:t>2017</w:t>
      </w:r>
      <w:r w:rsidRPr="00DE45DF">
        <w:rPr>
          <w:rFonts w:ascii="Times New Roman" w:hAnsi="Times New Roman"/>
          <w:noProof/>
          <w:sz w:val="24"/>
        </w:rPr>
        <w:t>, le Conseil «Justi</w:t>
      </w:r>
      <w:r w:rsidRPr="00DE45DF">
        <w:rPr>
          <w:rFonts w:ascii="Times New Roman" w:hAnsi="Times New Roman"/>
          <w:noProof/>
          <w:sz w:val="24"/>
        </w:rPr>
        <w:t>ce et affaires intérieures» a adopté une orientation générale sur la proposition de directive</w:t>
      </w:r>
      <w:r w:rsidRPr="00DE45DF">
        <w:rPr>
          <w:rStyle w:val="FootnoteReference"/>
          <w:rFonts w:ascii="Times New Roman" w:hAnsi="Times New Roman"/>
          <w:noProof/>
          <w:sz w:val="24"/>
        </w:rPr>
        <w:footnoteReference w:id="21"/>
      </w:r>
      <w:r w:rsidRPr="00DE45DF">
        <w:rPr>
          <w:rFonts w:ascii="Times New Roman" w:hAnsi="Times New Roman"/>
          <w:noProof/>
          <w:sz w:val="24"/>
        </w:rPr>
        <w:t xml:space="preserve"> et la proposition de règlement. Les discussions en trilogue entre les colégislateurs pourraient commencer dès que le Parlement européen aura adopté son mandat de</w:t>
      </w:r>
      <w:r w:rsidRPr="00DE45DF">
        <w:rPr>
          <w:rFonts w:ascii="Times New Roman" w:hAnsi="Times New Roman"/>
          <w:noProof/>
          <w:sz w:val="24"/>
        </w:rPr>
        <w:t xml:space="preserve"> négociation sur les deux propositions relatives à l’ECRIS. La Commission invite les deux colégislateurs à trouver rapidement un accord sur ces propositions.</w:t>
      </w:r>
    </w:p>
    <w:p w:rsidR="005E240D" w:rsidRPr="00DE45DF" w:rsidRDefault="00DE45DF">
      <w:pPr>
        <w:spacing w:after="240" w:line="240" w:lineRule="auto"/>
        <w:jc w:val="both"/>
        <w:rPr>
          <w:rFonts w:ascii="Times New Roman" w:hAnsi="Times New Roman" w:cs="Times New Roman"/>
          <w:noProof/>
          <w:sz w:val="24"/>
          <w:szCs w:val="24"/>
        </w:rPr>
      </w:pPr>
      <w:r w:rsidRPr="00DE45DF">
        <w:rPr>
          <w:rFonts w:ascii="Times New Roman" w:hAnsi="Times New Roman"/>
          <w:noProof/>
          <w:sz w:val="24"/>
        </w:rPr>
        <w:t xml:space="preserve">Le </w:t>
      </w:r>
      <w:r w:rsidRPr="00DE45DF">
        <w:rPr>
          <w:rFonts w:ascii="Times New Roman" w:hAnsi="Times New Roman"/>
          <w:noProof/>
          <w:sz w:val="24"/>
        </w:rPr>
        <w:t>29</w:t>
      </w:r>
      <w:r w:rsidRPr="00DE45DF">
        <w:rPr>
          <w:rFonts w:ascii="Times New Roman" w:hAnsi="Times New Roman"/>
          <w:noProof/>
          <w:sz w:val="24"/>
        </w:rPr>
        <w:t> juin </w:t>
      </w:r>
      <w:r w:rsidRPr="00DE45DF">
        <w:rPr>
          <w:rFonts w:ascii="Times New Roman" w:hAnsi="Times New Roman"/>
          <w:noProof/>
          <w:sz w:val="24"/>
        </w:rPr>
        <w:t>2017</w:t>
      </w:r>
      <w:r w:rsidRPr="00DE45DF">
        <w:rPr>
          <w:rFonts w:ascii="Times New Roman" w:hAnsi="Times New Roman"/>
          <w:noProof/>
          <w:sz w:val="24"/>
        </w:rPr>
        <w:t xml:space="preserve">, la Commission a adopté une proposition visant à réviser le </w:t>
      </w:r>
      <w:r w:rsidRPr="00DE45DF">
        <w:rPr>
          <w:rFonts w:ascii="Times New Roman" w:hAnsi="Times New Roman"/>
          <w:b/>
          <w:noProof/>
          <w:sz w:val="24"/>
        </w:rPr>
        <w:t>mandat de l’Agence eur</w:t>
      </w:r>
      <w:r w:rsidRPr="00DE45DF">
        <w:rPr>
          <w:rFonts w:ascii="Times New Roman" w:hAnsi="Times New Roman"/>
          <w:b/>
          <w:noProof/>
          <w:sz w:val="24"/>
        </w:rPr>
        <w:t>opéenne pour la gestion opérationnelle des systèmes d’information à grande échelle au sein de l’espace de liberté, de sécurité et de justice</w:t>
      </w:r>
      <w:r w:rsidRPr="00DE45DF">
        <w:rPr>
          <w:rStyle w:val="FootnoteReference"/>
          <w:rFonts w:ascii="Times New Roman" w:hAnsi="Times New Roman"/>
          <w:noProof/>
          <w:sz w:val="24"/>
        </w:rPr>
        <w:footnoteReference w:id="22"/>
      </w:r>
      <w:r w:rsidRPr="00DE45DF">
        <w:rPr>
          <w:noProof/>
        </w:rPr>
        <w:t>.</w:t>
      </w:r>
      <w:r w:rsidRPr="00DE45DF">
        <w:rPr>
          <w:rFonts w:ascii="Times New Roman" w:hAnsi="Times New Roman"/>
          <w:noProof/>
          <w:sz w:val="24"/>
        </w:rPr>
        <w:t xml:space="preserve"> L’Agence devrait se voir confier la mission de contribuer au développement de l’interopérabilité entre les systèm</w:t>
      </w:r>
      <w:r w:rsidRPr="00DE45DF">
        <w:rPr>
          <w:rFonts w:ascii="Times New Roman" w:hAnsi="Times New Roman"/>
          <w:noProof/>
          <w:sz w:val="24"/>
        </w:rPr>
        <w:t>es d’information à grande échelle et, dans cette perspective, la proposition a pour objectif de réviser le règlement portant création de l’Agence afin de tenir compte des recommandations résultant de l’évaluation de l’Agence, ainsi que d’améliorer son fonc</w:t>
      </w:r>
      <w:r w:rsidRPr="00DE45DF">
        <w:rPr>
          <w:rFonts w:ascii="Times New Roman" w:hAnsi="Times New Roman"/>
          <w:noProof/>
          <w:sz w:val="24"/>
        </w:rPr>
        <w:t>tionnement et de renforcer et d’accroître son rôle afin de faire en sorte qu’elle puisse répondre aux problèmes actuellement rencontrés au niveau de l’Union. Elle vise également à insérer les modifications découlant de l’évolution de la situation politique</w:t>
      </w:r>
      <w:r w:rsidRPr="00DE45DF">
        <w:rPr>
          <w:rFonts w:ascii="Times New Roman" w:hAnsi="Times New Roman"/>
          <w:noProof/>
          <w:sz w:val="24"/>
        </w:rPr>
        <w:t>, juridique ou factuelle et, en particulier, à tenir compte du fait que de nouveaux systèmes vont être confiés à l’Agence. La commission des libertés civiles, de la justice et des affaires intérieures (LIBE) du Parlement européen a adopté son mandat de nég</w:t>
      </w:r>
      <w:r w:rsidRPr="00DE45DF">
        <w:rPr>
          <w:rFonts w:ascii="Times New Roman" w:hAnsi="Times New Roman"/>
          <w:noProof/>
          <w:sz w:val="24"/>
        </w:rPr>
        <w:t xml:space="preserve">ociation le </w:t>
      </w:r>
      <w:r w:rsidRPr="00DE45DF">
        <w:rPr>
          <w:rFonts w:ascii="Times New Roman" w:hAnsi="Times New Roman"/>
          <w:noProof/>
          <w:sz w:val="24"/>
        </w:rPr>
        <w:t>7</w:t>
      </w:r>
      <w:r w:rsidRPr="00DE45DF">
        <w:rPr>
          <w:rFonts w:ascii="Times New Roman" w:hAnsi="Times New Roman"/>
          <w:noProof/>
          <w:sz w:val="24"/>
        </w:rPr>
        <w:t> décembre </w:t>
      </w:r>
      <w:r w:rsidRPr="00DE45DF">
        <w:rPr>
          <w:rFonts w:ascii="Times New Roman" w:hAnsi="Times New Roman"/>
          <w:noProof/>
          <w:sz w:val="24"/>
        </w:rPr>
        <w:t>2017</w:t>
      </w:r>
      <w:r w:rsidRPr="00DE45DF">
        <w:rPr>
          <w:rFonts w:ascii="Times New Roman" w:hAnsi="Times New Roman"/>
          <w:noProof/>
          <w:sz w:val="24"/>
        </w:rPr>
        <w:t xml:space="preserve">, et le Conseil a convenu d’une orientation générale le même jour. </w:t>
      </w:r>
    </w:p>
    <w:p w:rsidR="005E240D" w:rsidRPr="00DE45DF" w:rsidRDefault="00DE45DF" w:rsidP="00DE45DF">
      <w:pPr>
        <w:keepNext/>
        <w:spacing w:after="120" w:line="240" w:lineRule="auto"/>
        <w:jc w:val="both"/>
        <w:rPr>
          <w:rFonts w:ascii="Times New Roman" w:hAnsi="Times New Roman" w:cs="Times New Roman"/>
          <w:i/>
          <w:noProof/>
          <w:sz w:val="24"/>
          <w:szCs w:val="24"/>
        </w:rPr>
      </w:pPr>
      <w:r w:rsidRPr="00DE45DF">
        <w:rPr>
          <w:rFonts w:ascii="Times New Roman" w:hAnsi="Times New Roman"/>
          <w:i/>
          <w:noProof/>
          <w:sz w:val="24"/>
        </w:rPr>
        <w:t xml:space="preserve">b) </w:t>
      </w:r>
      <w:r w:rsidRPr="00DE45DF">
        <w:rPr>
          <w:noProof/>
        </w:rPr>
        <w:tab/>
      </w:r>
      <w:r w:rsidRPr="00DE45DF">
        <w:rPr>
          <w:rFonts w:ascii="Times New Roman" w:hAnsi="Times New Roman"/>
          <w:i/>
          <w:noProof/>
          <w:sz w:val="24"/>
        </w:rPr>
        <w:t>Garantir la mise en œuvre intégrale des systèmes d’information existants</w:t>
      </w:r>
    </w:p>
    <w:p w:rsidR="005E240D" w:rsidRPr="00DE45DF" w:rsidRDefault="00DE45DF">
      <w:pPr>
        <w:spacing w:after="240" w:line="240" w:lineRule="auto"/>
        <w:jc w:val="both"/>
        <w:rPr>
          <w:rFonts w:ascii="Times New Roman" w:hAnsi="Times New Roman" w:cs="Times New Roman"/>
          <w:noProof/>
          <w:sz w:val="24"/>
          <w:szCs w:val="24"/>
        </w:rPr>
      </w:pPr>
      <w:r w:rsidRPr="00DE45DF">
        <w:rPr>
          <w:rFonts w:ascii="Times New Roman" w:hAnsi="Times New Roman"/>
          <w:noProof/>
          <w:sz w:val="24"/>
        </w:rPr>
        <w:t xml:space="preserve">La </w:t>
      </w:r>
      <w:r w:rsidRPr="00DE45DF">
        <w:rPr>
          <w:rFonts w:ascii="Times New Roman" w:hAnsi="Times New Roman"/>
          <w:b/>
          <w:noProof/>
          <w:sz w:val="24"/>
        </w:rPr>
        <w:t>directive relative aux données des dossiers passagers (PNR)</w:t>
      </w:r>
      <w:r w:rsidRPr="00DE45DF">
        <w:rPr>
          <w:rStyle w:val="FootnoteReference"/>
          <w:rFonts w:ascii="Times New Roman" w:hAnsi="Times New Roman"/>
          <w:noProof/>
          <w:sz w:val="24"/>
        </w:rPr>
        <w:footnoteReference w:id="23"/>
      </w:r>
      <w:r w:rsidRPr="00DE45DF">
        <w:rPr>
          <w:rFonts w:ascii="Times New Roman" w:hAnsi="Times New Roman"/>
          <w:noProof/>
          <w:sz w:val="24"/>
        </w:rPr>
        <w:t xml:space="preserve"> constitue un outil essentiel de la lutte contre le terrorisme et la criminalité organisée. Bien que tous les États membres poursuivent leurs travaux afin d’assurer la pleine mise en œuvre de la directive avant l’échéance du </w:t>
      </w:r>
      <w:r w:rsidRPr="00DE45DF">
        <w:rPr>
          <w:rFonts w:ascii="Times New Roman" w:hAnsi="Times New Roman"/>
          <w:noProof/>
          <w:sz w:val="24"/>
        </w:rPr>
        <w:t>25</w:t>
      </w:r>
      <w:r w:rsidRPr="00DE45DF">
        <w:rPr>
          <w:rFonts w:ascii="Times New Roman" w:hAnsi="Times New Roman"/>
          <w:noProof/>
          <w:sz w:val="24"/>
        </w:rPr>
        <w:t> mai </w:t>
      </w:r>
      <w:r w:rsidRPr="00DE45DF">
        <w:rPr>
          <w:rFonts w:ascii="Times New Roman" w:hAnsi="Times New Roman"/>
          <w:noProof/>
          <w:sz w:val="24"/>
        </w:rPr>
        <w:t>2018</w:t>
      </w:r>
      <w:r w:rsidRPr="00DE45DF">
        <w:rPr>
          <w:rFonts w:ascii="Times New Roman" w:hAnsi="Times New Roman"/>
          <w:noProof/>
          <w:sz w:val="24"/>
        </w:rPr>
        <w:t>, il subsiste, un an</w:t>
      </w:r>
      <w:r w:rsidRPr="00DE45DF">
        <w:rPr>
          <w:rFonts w:ascii="Times New Roman" w:hAnsi="Times New Roman"/>
          <w:noProof/>
          <w:sz w:val="24"/>
        </w:rPr>
        <w:t xml:space="preserve"> après le plan de mise en œuvre des PNR de novembre </w:t>
      </w:r>
      <w:r w:rsidRPr="00DE45DF">
        <w:rPr>
          <w:rFonts w:ascii="Times New Roman" w:hAnsi="Times New Roman"/>
          <w:noProof/>
          <w:sz w:val="24"/>
        </w:rPr>
        <w:t>2016</w:t>
      </w:r>
      <w:r w:rsidRPr="00DE45DF">
        <w:rPr>
          <w:rFonts w:ascii="Times New Roman" w:hAnsi="Times New Roman"/>
          <w:noProof/>
          <w:sz w:val="24"/>
        </w:rPr>
        <w:t>,</w:t>
      </w:r>
      <w:r w:rsidRPr="00DE45DF">
        <w:rPr>
          <w:rStyle w:val="FootnoteReference"/>
          <w:rFonts w:ascii="Times New Roman" w:hAnsi="Times New Roman"/>
          <w:noProof/>
          <w:sz w:val="24"/>
        </w:rPr>
        <w:footnoteReference w:id="24"/>
      </w:r>
      <w:r w:rsidRPr="00DE45DF">
        <w:rPr>
          <w:rFonts w:ascii="Times New Roman" w:hAnsi="Times New Roman"/>
          <w:noProof/>
          <w:sz w:val="24"/>
        </w:rPr>
        <w:t xml:space="preserve"> des différences marquées entre les États membres en ce qui concerne les progrès accomplis dans la mise en place de leurs systèmes PNR nationaux. L’expiration du délai de transposition approche rapi</w:t>
      </w:r>
      <w:r w:rsidRPr="00DE45DF">
        <w:rPr>
          <w:rFonts w:ascii="Times New Roman" w:hAnsi="Times New Roman"/>
          <w:noProof/>
          <w:sz w:val="24"/>
        </w:rPr>
        <w:t xml:space="preserve">dement. Il est dès lors impératif d’intensifier ces efforts pour respecter l’échéance du </w:t>
      </w:r>
      <w:r w:rsidRPr="00DE45DF">
        <w:rPr>
          <w:rFonts w:ascii="Times New Roman" w:hAnsi="Times New Roman"/>
          <w:noProof/>
          <w:sz w:val="24"/>
        </w:rPr>
        <w:t>25</w:t>
      </w:r>
      <w:r w:rsidRPr="00DE45DF">
        <w:rPr>
          <w:rFonts w:ascii="Times New Roman" w:hAnsi="Times New Roman"/>
          <w:noProof/>
          <w:sz w:val="24"/>
        </w:rPr>
        <w:t> mai </w:t>
      </w:r>
      <w:r w:rsidRPr="00DE45DF">
        <w:rPr>
          <w:rFonts w:ascii="Times New Roman" w:hAnsi="Times New Roman"/>
          <w:noProof/>
          <w:sz w:val="24"/>
        </w:rPr>
        <w:t>2018</w:t>
      </w:r>
      <w:r w:rsidRPr="00DE45DF">
        <w:rPr>
          <w:rFonts w:ascii="Times New Roman" w:hAnsi="Times New Roman"/>
          <w:noProof/>
          <w:sz w:val="24"/>
        </w:rPr>
        <w:t>. Il est particulièrement important de mettre en place des procédures et des canaux de communication permettant aux unités nationales d’information passager</w:t>
      </w:r>
      <w:r w:rsidRPr="00DE45DF">
        <w:rPr>
          <w:rFonts w:ascii="Times New Roman" w:hAnsi="Times New Roman"/>
          <w:noProof/>
          <w:sz w:val="24"/>
        </w:rPr>
        <w:t xml:space="preserve">s (UIP) de partager toutes les données PNR pertinentes avec les UIP des autres États membres et avec Europol. Cet outil essentiel de l’Union en matière de sécurité ne réalisera pleinement son potentiel que lorsque </w:t>
      </w:r>
      <w:r w:rsidRPr="00DE45DF">
        <w:rPr>
          <w:rFonts w:ascii="Times New Roman" w:hAnsi="Times New Roman"/>
          <w:noProof/>
          <w:sz w:val="24"/>
          <w:u w:val="single"/>
        </w:rPr>
        <w:t>tous</w:t>
      </w:r>
      <w:r w:rsidRPr="00DE45DF">
        <w:rPr>
          <w:rFonts w:ascii="Times New Roman" w:hAnsi="Times New Roman"/>
          <w:noProof/>
          <w:sz w:val="24"/>
        </w:rPr>
        <w:t xml:space="preserve"> les États membres auront mis en place</w:t>
      </w:r>
      <w:r w:rsidRPr="00DE45DF">
        <w:rPr>
          <w:rFonts w:ascii="Times New Roman" w:hAnsi="Times New Roman"/>
          <w:noProof/>
          <w:sz w:val="24"/>
        </w:rPr>
        <w:t xml:space="preserve"> des systèmes PNR fonctionnels et seront effectivement en mesure d’échanger des données entre eux et avec Europol. Au </w:t>
      </w:r>
      <w:r w:rsidRPr="00DE45DF">
        <w:rPr>
          <w:rFonts w:ascii="Times New Roman" w:hAnsi="Times New Roman"/>
          <w:noProof/>
          <w:sz w:val="24"/>
        </w:rPr>
        <w:t>15</w:t>
      </w:r>
      <w:r w:rsidRPr="00DE45DF">
        <w:rPr>
          <w:rFonts w:ascii="Times New Roman" w:hAnsi="Times New Roman"/>
          <w:noProof/>
          <w:sz w:val="24"/>
        </w:rPr>
        <w:t> novembre </w:t>
      </w:r>
      <w:r w:rsidRPr="00DE45DF">
        <w:rPr>
          <w:rFonts w:ascii="Times New Roman" w:hAnsi="Times New Roman"/>
          <w:noProof/>
          <w:sz w:val="24"/>
        </w:rPr>
        <w:t>2017</w:t>
      </w:r>
      <w:r w:rsidRPr="00DE45DF">
        <w:rPr>
          <w:rFonts w:ascii="Times New Roman" w:hAnsi="Times New Roman"/>
          <w:noProof/>
          <w:sz w:val="24"/>
        </w:rPr>
        <w:t xml:space="preserve">, la situation était la suivante: </w:t>
      </w:r>
    </w:p>
    <w:p w:rsidR="005E240D" w:rsidRPr="00DE45DF" w:rsidRDefault="00DE45DF">
      <w:pPr>
        <w:pStyle w:val="ListParagraph"/>
        <w:numPr>
          <w:ilvl w:val="0"/>
          <w:numId w:val="27"/>
        </w:numPr>
        <w:spacing w:after="0" w:line="240" w:lineRule="auto"/>
        <w:jc w:val="both"/>
        <w:rPr>
          <w:noProof/>
          <w:szCs w:val="24"/>
        </w:rPr>
      </w:pPr>
      <w:r w:rsidRPr="00DE45DF">
        <w:rPr>
          <w:rFonts w:ascii="Times New Roman" w:hAnsi="Times New Roman"/>
          <w:noProof/>
          <w:sz w:val="24"/>
        </w:rPr>
        <w:t>sept États membres disposent déjà des capacités juridiques et techniques pour collecter</w:t>
      </w:r>
      <w:r w:rsidRPr="00DE45DF">
        <w:rPr>
          <w:rFonts w:ascii="Times New Roman" w:hAnsi="Times New Roman"/>
          <w:noProof/>
          <w:sz w:val="24"/>
        </w:rPr>
        <w:t xml:space="preserve"> et traiter les données PNR. Toutefois, la plupart de ces États membres doivent encore adapter leur base juridique respective pour être en parfaite conformité avec les exigences de la directive PNR; </w:t>
      </w:r>
    </w:p>
    <w:p w:rsidR="005E240D" w:rsidRPr="00DE45DF" w:rsidRDefault="00DE45DF">
      <w:pPr>
        <w:pStyle w:val="Point0letter"/>
        <w:numPr>
          <w:ilvl w:val="0"/>
          <w:numId w:val="27"/>
        </w:numPr>
        <w:spacing w:before="0" w:after="0"/>
        <w:rPr>
          <w:noProof/>
          <w:szCs w:val="24"/>
        </w:rPr>
      </w:pPr>
      <w:r w:rsidRPr="00DE45DF">
        <w:rPr>
          <w:noProof/>
        </w:rPr>
        <w:t>treize États membres sont à un stade intermédiaire de mi</w:t>
      </w:r>
      <w:r w:rsidRPr="00DE45DF">
        <w:rPr>
          <w:noProof/>
        </w:rPr>
        <w:t>se en œuvre. Dans quatre de ces États membres, les UIP sont en place et dotées des moyens nécessaires, mais elles ne procèdent pas à la collecte et au traitement de données PNR réelles en raison de l’absence d’une base juridique autorisant la collecte de d</w:t>
      </w:r>
      <w:r w:rsidRPr="00DE45DF">
        <w:rPr>
          <w:noProof/>
        </w:rPr>
        <w:t>onnées à caractère personnel. Dans les neuf autres États membres, la conception et la mise en place des UIP se trouvent à des stades variés, tout comme le développement de la solution technique à utiliser pour traiter les données PNR conformément aux exige</w:t>
      </w:r>
      <w:r w:rsidRPr="00DE45DF">
        <w:rPr>
          <w:noProof/>
        </w:rPr>
        <w:t xml:space="preserve">nces de la directive PNR, tandis que le dialogue avec les transporteurs aériens est toujours en cours. Toutefois, certains de ces neuf États membres ont déjà adopté une législation sur les PNR;  </w:t>
      </w:r>
    </w:p>
    <w:p w:rsidR="005E240D" w:rsidRPr="00DE45DF" w:rsidRDefault="00DE45DF">
      <w:pPr>
        <w:pStyle w:val="ListParagraph"/>
        <w:numPr>
          <w:ilvl w:val="0"/>
          <w:numId w:val="27"/>
        </w:numPr>
        <w:spacing w:after="240" w:line="240" w:lineRule="auto"/>
        <w:jc w:val="both"/>
        <w:rPr>
          <w:rFonts w:ascii="Times New Roman" w:hAnsi="Times New Roman" w:cs="Times New Roman"/>
          <w:noProof/>
          <w:sz w:val="24"/>
          <w:szCs w:val="24"/>
        </w:rPr>
      </w:pPr>
      <w:r w:rsidRPr="00DE45DF">
        <w:rPr>
          <w:rFonts w:ascii="Times New Roman" w:hAnsi="Times New Roman"/>
          <w:noProof/>
          <w:sz w:val="24"/>
        </w:rPr>
        <w:t>sept États membres se trouvent à un stade trop peu avancé du</w:t>
      </w:r>
      <w:r w:rsidRPr="00DE45DF">
        <w:rPr>
          <w:rFonts w:ascii="Times New Roman" w:hAnsi="Times New Roman"/>
          <w:noProof/>
          <w:sz w:val="24"/>
        </w:rPr>
        <w:t xml:space="preserve"> processus de mise en œuvre et doivent encore définir l’architecture administrative de leurs UIP, soumettre la législation pertinente à leur parlement respectif, commencer à installer la solution technique devant être utilisée par les UIP ou entamer la pro</w:t>
      </w:r>
      <w:r w:rsidRPr="00DE45DF">
        <w:rPr>
          <w:rFonts w:ascii="Times New Roman" w:hAnsi="Times New Roman"/>
          <w:noProof/>
          <w:sz w:val="24"/>
        </w:rPr>
        <w:t>cédure visant à garantir la connectivité avec les transporteurs aériens.</w:t>
      </w:r>
    </w:p>
    <w:p w:rsidR="005E240D" w:rsidRPr="00DE45DF" w:rsidRDefault="00DE45DF">
      <w:pPr>
        <w:spacing w:after="240" w:line="240" w:lineRule="auto"/>
        <w:jc w:val="both"/>
        <w:rPr>
          <w:rFonts w:ascii="Times New Roman" w:hAnsi="Times New Roman" w:cs="Times New Roman"/>
          <w:noProof/>
          <w:sz w:val="24"/>
          <w:szCs w:val="24"/>
        </w:rPr>
      </w:pPr>
      <w:r w:rsidRPr="00DE45DF">
        <w:rPr>
          <w:rStyle w:val="CommentReference"/>
          <w:rFonts w:ascii="Times New Roman" w:hAnsi="Times New Roman"/>
          <w:noProof/>
          <w:sz w:val="24"/>
        </w:rPr>
        <w:t>L</w:t>
      </w:r>
      <w:r w:rsidRPr="00DE45DF">
        <w:rPr>
          <w:rFonts w:ascii="Times New Roman" w:hAnsi="Times New Roman"/>
          <w:noProof/>
          <w:sz w:val="24"/>
        </w:rPr>
        <w:t>a Commission continue à soutenir les États membres dans leurs efforts visant à mettre en œuvre la directive en temps utile. La sixième réunion sur la mise en œuvre de la directive PN</w:t>
      </w:r>
      <w:r w:rsidRPr="00DE45DF">
        <w:rPr>
          <w:rFonts w:ascii="Times New Roman" w:hAnsi="Times New Roman"/>
          <w:noProof/>
          <w:sz w:val="24"/>
        </w:rPr>
        <w:t xml:space="preserve">R a eu lieu le </w:t>
      </w:r>
      <w:r w:rsidRPr="00DE45DF">
        <w:rPr>
          <w:rFonts w:ascii="Times New Roman" w:hAnsi="Times New Roman"/>
          <w:noProof/>
          <w:sz w:val="24"/>
        </w:rPr>
        <w:t>3</w:t>
      </w:r>
      <w:r w:rsidRPr="00DE45DF">
        <w:rPr>
          <w:rFonts w:ascii="Times New Roman" w:hAnsi="Times New Roman"/>
          <w:noProof/>
          <w:sz w:val="24"/>
        </w:rPr>
        <w:t> octobre </w:t>
      </w:r>
      <w:r w:rsidRPr="00DE45DF">
        <w:rPr>
          <w:rFonts w:ascii="Times New Roman" w:hAnsi="Times New Roman"/>
          <w:noProof/>
          <w:sz w:val="24"/>
        </w:rPr>
        <w:t>2017</w:t>
      </w:r>
      <w:r w:rsidRPr="00DE45DF">
        <w:rPr>
          <w:rFonts w:ascii="Times New Roman" w:hAnsi="Times New Roman"/>
          <w:noProof/>
          <w:sz w:val="24"/>
        </w:rPr>
        <w:t>; elle a permis aux experts des États membres d’échanger entre eux et avec la Commission des informations sur l’état d’avancement du processus de mise en œuvre, ainsi que de procéder à un échange d’enseignements, de bonnes prat</w:t>
      </w:r>
      <w:r w:rsidRPr="00DE45DF">
        <w:rPr>
          <w:rFonts w:ascii="Times New Roman" w:hAnsi="Times New Roman"/>
          <w:noProof/>
          <w:sz w:val="24"/>
        </w:rPr>
        <w:t>iques et d’expérience pratique.</w:t>
      </w:r>
    </w:p>
    <w:p w:rsidR="005E240D" w:rsidRPr="00DE45DF" w:rsidRDefault="00DE45DF">
      <w:pPr>
        <w:spacing w:after="240" w:line="240" w:lineRule="auto"/>
        <w:jc w:val="both"/>
        <w:rPr>
          <w:rFonts w:ascii="Times New Roman" w:hAnsi="Times New Roman" w:cs="Times New Roman"/>
          <w:noProof/>
          <w:sz w:val="24"/>
          <w:szCs w:val="24"/>
        </w:rPr>
      </w:pPr>
      <w:r w:rsidRPr="00DE45DF">
        <w:rPr>
          <w:rFonts w:ascii="Times New Roman" w:hAnsi="Times New Roman"/>
          <w:noProof/>
          <w:sz w:val="24"/>
        </w:rPr>
        <w:t xml:space="preserve">Une assistance financière a été mise à disposition par l’intermédiaire des programmes nationaux et des actions de l’Union dans le cadre du Fonds pour la sécurité intérieure-Police (FSI-Police) afin d’aider à mettre en place </w:t>
      </w:r>
      <w:r w:rsidRPr="00DE45DF">
        <w:rPr>
          <w:rFonts w:ascii="Times New Roman" w:hAnsi="Times New Roman"/>
          <w:noProof/>
          <w:sz w:val="24"/>
        </w:rPr>
        <w:t>des UIP fonctionnelles au niveau national et de permettre les échanges de données PNR conformément à la directive PNR</w:t>
      </w:r>
      <w:r w:rsidRPr="00DE45DF">
        <w:rPr>
          <w:rStyle w:val="FootnoteReference"/>
          <w:rFonts w:ascii="Times New Roman" w:hAnsi="Times New Roman"/>
          <w:noProof/>
          <w:sz w:val="24"/>
        </w:rPr>
        <w:footnoteReference w:id="25"/>
      </w:r>
      <w:r w:rsidRPr="00DE45DF">
        <w:rPr>
          <w:rFonts w:ascii="Times New Roman" w:hAnsi="Times New Roman"/>
          <w:noProof/>
          <w:sz w:val="24"/>
        </w:rPr>
        <w:t xml:space="preserve">. </w:t>
      </w:r>
    </w:p>
    <w:p w:rsidR="005E240D" w:rsidRPr="00DE45DF" w:rsidRDefault="00DE45DF">
      <w:pPr>
        <w:spacing w:after="240" w:line="240" w:lineRule="auto"/>
        <w:jc w:val="both"/>
        <w:rPr>
          <w:rFonts w:ascii="Times New Roman" w:hAnsi="Times New Roman" w:cs="Times New Roman"/>
          <w:noProof/>
          <w:sz w:val="24"/>
          <w:szCs w:val="24"/>
        </w:rPr>
      </w:pPr>
      <w:r w:rsidRPr="00DE45DF">
        <w:rPr>
          <w:rFonts w:ascii="Times New Roman" w:hAnsi="Times New Roman"/>
          <w:noProof/>
          <w:sz w:val="24"/>
        </w:rPr>
        <w:t xml:space="preserve">Les travaux continuent par ailleurs en vue de la mise en œuvre intégrale des </w:t>
      </w:r>
      <w:r w:rsidRPr="00DE45DF">
        <w:rPr>
          <w:rFonts w:ascii="Times New Roman" w:hAnsi="Times New Roman"/>
          <w:b/>
          <w:noProof/>
          <w:sz w:val="24"/>
        </w:rPr>
        <w:t>décisions de Prüm</w:t>
      </w:r>
      <w:r w:rsidRPr="00DE45DF">
        <w:rPr>
          <w:rStyle w:val="FootnoteReference"/>
          <w:rFonts w:ascii="Times New Roman" w:hAnsi="Times New Roman"/>
          <w:noProof/>
          <w:sz w:val="24"/>
        </w:rPr>
        <w:footnoteReference w:id="26"/>
      </w:r>
      <w:r w:rsidRPr="00DE45DF">
        <w:rPr>
          <w:rFonts w:ascii="Times New Roman" w:hAnsi="Times New Roman"/>
          <w:noProof/>
          <w:sz w:val="24"/>
        </w:rPr>
        <w:t xml:space="preserve"> pour l’échange des données dactyloscopi</w:t>
      </w:r>
      <w:r w:rsidRPr="00DE45DF">
        <w:rPr>
          <w:rFonts w:ascii="Times New Roman" w:hAnsi="Times New Roman"/>
          <w:noProof/>
          <w:sz w:val="24"/>
        </w:rPr>
        <w:t>ques, des données ADN et des données relatives à l’immatriculation des véhicules. Si la plupart des États membres ont enregistré des progrès à cet égard, la Commission a dû utiliser ses pouvoirs en matière d’infractions. Elle a envoyé des avis motivés à la</w:t>
      </w:r>
      <w:r w:rsidRPr="00DE45DF">
        <w:rPr>
          <w:rFonts w:ascii="Times New Roman" w:hAnsi="Times New Roman"/>
          <w:noProof/>
          <w:sz w:val="24"/>
        </w:rPr>
        <w:t xml:space="preserve"> Croatie, à l’Irlande et à l’Italie le </w:t>
      </w:r>
      <w:r w:rsidRPr="00DE45DF">
        <w:rPr>
          <w:rFonts w:ascii="Times New Roman" w:hAnsi="Times New Roman"/>
          <w:noProof/>
          <w:sz w:val="24"/>
        </w:rPr>
        <w:t>18</w:t>
      </w:r>
      <w:r w:rsidRPr="00DE45DF">
        <w:rPr>
          <w:rFonts w:ascii="Times New Roman" w:hAnsi="Times New Roman"/>
          <w:noProof/>
          <w:sz w:val="24"/>
        </w:rPr>
        <w:t> mai </w:t>
      </w:r>
      <w:r w:rsidRPr="00DE45DF">
        <w:rPr>
          <w:rFonts w:ascii="Times New Roman" w:hAnsi="Times New Roman"/>
          <w:noProof/>
          <w:sz w:val="24"/>
        </w:rPr>
        <w:t>2017</w:t>
      </w:r>
      <w:r w:rsidRPr="00DE45DF">
        <w:rPr>
          <w:rFonts w:ascii="Times New Roman" w:hAnsi="Times New Roman"/>
          <w:noProof/>
          <w:sz w:val="24"/>
        </w:rPr>
        <w:t xml:space="preserve">, et à la Grèce le </w:t>
      </w:r>
      <w:r w:rsidRPr="00DE45DF">
        <w:rPr>
          <w:rFonts w:ascii="Times New Roman" w:hAnsi="Times New Roman"/>
          <w:noProof/>
          <w:sz w:val="24"/>
        </w:rPr>
        <w:t>5</w:t>
      </w:r>
      <w:r w:rsidRPr="00DE45DF">
        <w:rPr>
          <w:rFonts w:ascii="Times New Roman" w:hAnsi="Times New Roman"/>
          <w:noProof/>
          <w:sz w:val="24"/>
        </w:rPr>
        <w:t> octobre </w:t>
      </w:r>
      <w:r w:rsidRPr="00DE45DF">
        <w:rPr>
          <w:rFonts w:ascii="Times New Roman" w:hAnsi="Times New Roman"/>
          <w:noProof/>
          <w:sz w:val="24"/>
        </w:rPr>
        <w:t>2017</w:t>
      </w:r>
      <w:r w:rsidRPr="00DE45DF">
        <w:rPr>
          <w:rFonts w:ascii="Times New Roman" w:hAnsi="Times New Roman"/>
          <w:noProof/>
          <w:sz w:val="24"/>
        </w:rPr>
        <w:t>. Parallèlement, la Commission continue à aider les États membres en finançant la mise en œuvre des programmes nationaux dans le cadre du FSI-Police. La Commission a mis à l</w:t>
      </w:r>
      <w:r w:rsidRPr="00DE45DF">
        <w:rPr>
          <w:rFonts w:ascii="Times New Roman" w:hAnsi="Times New Roman"/>
          <w:noProof/>
          <w:sz w:val="24"/>
        </w:rPr>
        <w:t xml:space="preserve">a disposition de ces programmes nationaux pour </w:t>
      </w:r>
      <w:r w:rsidRPr="00DE45DF">
        <w:rPr>
          <w:rFonts w:ascii="Times New Roman" w:hAnsi="Times New Roman"/>
          <w:noProof/>
          <w:sz w:val="24"/>
        </w:rPr>
        <w:t>2017</w:t>
      </w:r>
      <w:r w:rsidRPr="00DE45DF">
        <w:rPr>
          <w:rFonts w:ascii="Times New Roman" w:hAnsi="Times New Roman"/>
          <w:noProof/>
          <w:sz w:val="24"/>
        </w:rPr>
        <w:t xml:space="preserve"> une enveloppe supplémentaire de </w:t>
      </w:r>
      <w:r w:rsidRPr="00DE45DF">
        <w:rPr>
          <w:rFonts w:ascii="Times New Roman" w:hAnsi="Times New Roman"/>
          <w:noProof/>
          <w:sz w:val="24"/>
        </w:rPr>
        <w:t>22</w:t>
      </w:r>
      <w:r w:rsidRPr="00DE45DF">
        <w:rPr>
          <w:rFonts w:ascii="Times New Roman" w:hAnsi="Times New Roman"/>
          <w:noProof/>
          <w:sz w:val="24"/>
        </w:rPr>
        <w:t> millions d’EUR, qui pourra être utilisée pour la mise en œuvre des décisions de Prüm.</w:t>
      </w:r>
    </w:p>
    <w:p w:rsidR="005E240D" w:rsidRPr="00DE45DF" w:rsidRDefault="00DE45DF">
      <w:pPr>
        <w:spacing w:after="120" w:line="240" w:lineRule="auto"/>
        <w:jc w:val="both"/>
        <w:rPr>
          <w:rFonts w:ascii="Times New Roman" w:hAnsi="Times New Roman" w:cs="Times New Roman"/>
          <w:i/>
          <w:noProof/>
          <w:sz w:val="24"/>
          <w:szCs w:val="24"/>
        </w:rPr>
      </w:pPr>
      <w:r w:rsidRPr="00DE45DF">
        <w:rPr>
          <w:rFonts w:ascii="Times New Roman" w:hAnsi="Times New Roman"/>
          <w:i/>
          <w:noProof/>
          <w:sz w:val="24"/>
        </w:rPr>
        <w:t xml:space="preserve">c) </w:t>
      </w:r>
      <w:r w:rsidRPr="00DE45DF">
        <w:rPr>
          <w:noProof/>
        </w:rPr>
        <w:tab/>
      </w:r>
      <w:r w:rsidRPr="00DE45DF">
        <w:rPr>
          <w:rFonts w:ascii="Times New Roman" w:hAnsi="Times New Roman"/>
          <w:i/>
          <w:noProof/>
          <w:sz w:val="24"/>
        </w:rPr>
        <w:t>Aider à mieux utiliser les systèmes d’information existants</w:t>
      </w:r>
    </w:p>
    <w:p w:rsidR="005E240D" w:rsidRPr="00DE45DF" w:rsidRDefault="00DE45DF">
      <w:pPr>
        <w:spacing w:after="240" w:line="240" w:lineRule="auto"/>
        <w:jc w:val="both"/>
        <w:rPr>
          <w:rFonts w:ascii="Times New Roman" w:hAnsi="Times New Roman" w:cs="Times New Roman"/>
          <w:noProof/>
          <w:sz w:val="24"/>
          <w:szCs w:val="24"/>
        </w:rPr>
      </w:pPr>
      <w:r w:rsidRPr="00DE45DF">
        <w:rPr>
          <w:rFonts w:ascii="Times New Roman" w:hAnsi="Times New Roman"/>
          <w:noProof/>
          <w:sz w:val="24"/>
        </w:rPr>
        <w:t xml:space="preserve">Outre qu'elle s'attache à renforcer les systèmes existants et à garantir leur mise en œuvre intégrale, la Commission déploie aussi d’importants efforts pour aider à mieux utiliser les systèmes d’information existants. Dans le cadre du </w:t>
      </w:r>
      <w:r w:rsidRPr="00DE45DF">
        <w:rPr>
          <w:rFonts w:ascii="Times New Roman" w:hAnsi="Times New Roman"/>
          <w:b/>
          <w:noProof/>
          <w:sz w:val="24"/>
        </w:rPr>
        <w:t>mécanisme d’évaluatio</w:t>
      </w:r>
      <w:r w:rsidRPr="00DE45DF">
        <w:rPr>
          <w:rFonts w:ascii="Times New Roman" w:hAnsi="Times New Roman"/>
          <w:b/>
          <w:noProof/>
          <w:sz w:val="24"/>
        </w:rPr>
        <w:t>n de Schengen</w:t>
      </w:r>
      <w:r w:rsidRPr="00DE45DF">
        <w:rPr>
          <w:rStyle w:val="FootnoteReference"/>
          <w:rFonts w:ascii="Times New Roman" w:hAnsi="Times New Roman"/>
          <w:b/>
          <w:noProof/>
          <w:sz w:val="24"/>
        </w:rPr>
        <w:footnoteReference w:id="27"/>
      </w:r>
      <w:r w:rsidRPr="00DE45DF">
        <w:rPr>
          <w:rFonts w:ascii="Times New Roman" w:hAnsi="Times New Roman"/>
          <w:noProof/>
          <w:sz w:val="24"/>
        </w:rPr>
        <w:t xml:space="preserve">, des évaluations sur place de la mise en œuvre du SIS sont menées dans les États membres tous les cinq ans par des experts des États membres et de la Commission européenne dans ce domaine. En </w:t>
      </w:r>
      <w:r w:rsidRPr="00DE45DF">
        <w:rPr>
          <w:rFonts w:ascii="Times New Roman" w:hAnsi="Times New Roman"/>
          <w:noProof/>
          <w:sz w:val="24"/>
        </w:rPr>
        <w:t>2017</w:t>
      </w:r>
      <w:r w:rsidRPr="00DE45DF">
        <w:rPr>
          <w:rFonts w:ascii="Times New Roman" w:hAnsi="Times New Roman"/>
          <w:noProof/>
          <w:sz w:val="24"/>
        </w:rPr>
        <w:t>, des visites d’évaluation ont été effectuées</w:t>
      </w:r>
      <w:r w:rsidRPr="00DE45DF">
        <w:rPr>
          <w:rFonts w:ascii="Times New Roman" w:hAnsi="Times New Roman"/>
          <w:noProof/>
          <w:sz w:val="24"/>
        </w:rPr>
        <w:t xml:space="preserve"> au Danemark, en Islande, en Suède, au Portugal, en Espagne, en Croatie, en Norvège et au Royaume-Uni. Les problèmes de mise en œuvre constatés lors des évaluations sont traités au moyen de recommandations formelles adressées par le Conseil à l’État membre</w:t>
      </w:r>
      <w:r w:rsidRPr="00DE45DF">
        <w:rPr>
          <w:rFonts w:ascii="Times New Roman" w:hAnsi="Times New Roman"/>
          <w:noProof/>
          <w:sz w:val="24"/>
        </w:rPr>
        <w:t xml:space="preserve"> concerné. Le suivi des recommandations précédentes est également vérifié lors des contrôles réalisés par les équipes d’évaluation au cours des visites sur place. La Commission tiendra compte des conclusions des évaluations de Schengen réalisées jusqu’à pr</w:t>
      </w:r>
      <w:r w:rsidRPr="00DE45DF">
        <w:rPr>
          <w:rFonts w:ascii="Times New Roman" w:hAnsi="Times New Roman"/>
          <w:noProof/>
          <w:sz w:val="24"/>
        </w:rPr>
        <w:t xml:space="preserve">ésent en ce qui concerne l’utilisation du SIS pour élaborer une liste </w:t>
      </w:r>
      <w:r w:rsidRPr="00DE45DF">
        <w:rPr>
          <w:rFonts w:ascii="Times New Roman" w:hAnsi="Times New Roman"/>
          <w:b/>
          <w:noProof/>
          <w:sz w:val="24"/>
        </w:rPr>
        <w:t>de bonnes pratiques et d’enseignements tirés</w:t>
      </w:r>
      <w:r w:rsidRPr="00DE45DF">
        <w:rPr>
          <w:rFonts w:ascii="Times New Roman" w:hAnsi="Times New Roman"/>
          <w:noProof/>
          <w:sz w:val="24"/>
        </w:rPr>
        <w:t xml:space="preserve"> apportant une valeur ajoutée dans l’ensemble des États membres afin d’améliorer l’utilisation des systèmes d’information existants, pour en d</w:t>
      </w:r>
      <w:r w:rsidRPr="00DE45DF">
        <w:rPr>
          <w:rFonts w:ascii="Times New Roman" w:hAnsi="Times New Roman"/>
          <w:noProof/>
          <w:sz w:val="24"/>
        </w:rPr>
        <w:t>ébattre avec les États membres.</w:t>
      </w:r>
    </w:p>
    <w:p w:rsidR="005E240D" w:rsidRPr="00DE45DF" w:rsidRDefault="00DE45DF">
      <w:pPr>
        <w:spacing w:after="240" w:line="240" w:lineRule="auto"/>
        <w:jc w:val="both"/>
        <w:rPr>
          <w:noProof/>
          <w:sz w:val="24"/>
          <w:szCs w:val="24"/>
        </w:rPr>
      </w:pPr>
      <w:r w:rsidRPr="00DE45DF">
        <w:rPr>
          <w:rFonts w:ascii="Times New Roman" w:hAnsi="Times New Roman"/>
          <w:noProof/>
          <w:sz w:val="24"/>
        </w:rPr>
        <w:t>Pour continuer à améliorer les flux d’information, les États membres devraient faire pleinement usage de solutions techniques permettant d’améliorer le partage d’informations avec Europol. L’automatisation du processus de té</w:t>
      </w:r>
      <w:r w:rsidRPr="00DE45DF">
        <w:rPr>
          <w:rFonts w:ascii="Times New Roman" w:hAnsi="Times New Roman"/>
          <w:noProof/>
          <w:sz w:val="24"/>
        </w:rPr>
        <w:t xml:space="preserve">léchargement des données sur le </w:t>
      </w:r>
      <w:r w:rsidRPr="00DE45DF">
        <w:rPr>
          <w:rFonts w:ascii="Times New Roman" w:hAnsi="Times New Roman"/>
          <w:b/>
          <w:noProof/>
          <w:sz w:val="24"/>
        </w:rPr>
        <w:t>système d’information d’Europol</w:t>
      </w:r>
      <w:r w:rsidRPr="00DE45DF">
        <w:rPr>
          <w:rFonts w:ascii="Times New Roman" w:hAnsi="Times New Roman"/>
          <w:noProof/>
          <w:sz w:val="24"/>
        </w:rPr>
        <w:t xml:space="preserve"> aux fins des contrôles croisés peut nettement améliorer le partage d’informations pertinentes et actualisées avec Europol et avec d’autres États membres. Les «chargeurs de données» sont des ou</w:t>
      </w:r>
      <w:r w:rsidRPr="00DE45DF">
        <w:rPr>
          <w:rFonts w:ascii="Times New Roman" w:hAnsi="Times New Roman"/>
          <w:noProof/>
          <w:sz w:val="24"/>
        </w:rPr>
        <w:t>tils techniques permettant d’automatiser ce processus de téléchargement des données. Europol a développé de tels chargeurs de données afin de permettre aux États membres d’améliorer leur efficacité en ce qui concerne le téléchargement, la mise à jour et la</w:t>
      </w:r>
      <w:r w:rsidRPr="00DE45DF">
        <w:rPr>
          <w:rFonts w:ascii="Times New Roman" w:hAnsi="Times New Roman"/>
          <w:noProof/>
          <w:sz w:val="24"/>
        </w:rPr>
        <w:t xml:space="preserve"> suppression des données dans le système d’information d’Europol. Ces chargeurs de données sont déjà utilisés dans plusieurs États membres</w:t>
      </w:r>
      <w:r w:rsidRPr="00DE45DF">
        <w:rPr>
          <w:rStyle w:val="FootnoteReference"/>
          <w:rFonts w:ascii="Times New Roman" w:hAnsi="Times New Roman"/>
          <w:noProof/>
          <w:sz w:val="24"/>
        </w:rPr>
        <w:footnoteReference w:id="28"/>
      </w:r>
      <w:r w:rsidRPr="00DE45DF">
        <w:rPr>
          <w:noProof/>
        </w:rPr>
        <w:t>.</w:t>
      </w:r>
      <w:r w:rsidRPr="00DE45DF">
        <w:rPr>
          <w:rFonts w:ascii="Times New Roman" w:hAnsi="Times New Roman"/>
          <w:noProof/>
          <w:sz w:val="24"/>
        </w:rPr>
        <w:t xml:space="preserve"> Afin de rendre les données d’Europol accessibles à un groupe beaucoup plus large de policiers, un projet pilote sur</w:t>
      </w:r>
      <w:r w:rsidRPr="00DE45DF">
        <w:rPr>
          <w:rFonts w:ascii="Times New Roman" w:hAnsi="Times New Roman"/>
          <w:noProof/>
          <w:sz w:val="24"/>
        </w:rPr>
        <w:t xml:space="preserve"> l’utilisation de </w:t>
      </w:r>
      <w:r w:rsidRPr="00DE45DF">
        <w:rPr>
          <w:rFonts w:ascii="Times New Roman" w:hAnsi="Times New Roman"/>
          <w:b/>
          <w:noProof/>
          <w:sz w:val="24"/>
        </w:rPr>
        <w:t>QUEST</w:t>
      </w:r>
      <w:r w:rsidRPr="00DE45DF">
        <w:rPr>
          <w:rFonts w:ascii="Times New Roman" w:hAnsi="Times New Roman"/>
          <w:noProof/>
          <w:sz w:val="24"/>
        </w:rPr>
        <w:t>, une interface système qui permet l’intégration automatique des demandes de données d’Europol émanant des systèmes d’information policière nationaux, est en cours dans cinq États membres (Espagne, Estonie, Finlande, Grèce et Pologne</w:t>
      </w:r>
      <w:r w:rsidRPr="00DE45DF">
        <w:rPr>
          <w:rFonts w:ascii="Times New Roman" w:hAnsi="Times New Roman"/>
          <w:noProof/>
          <w:sz w:val="24"/>
        </w:rPr>
        <w:t xml:space="preserve">). Cette interface devrait être opérationnelle au début de </w:t>
      </w:r>
      <w:r w:rsidRPr="00DE45DF">
        <w:rPr>
          <w:rFonts w:ascii="Times New Roman" w:hAnsi="Times New Roman"/>
          <w:noProof/>
          <w:sz w:val="24"/>
        </w:rPr>
        <w:t>2018</w:t>
      </w:r>
      <w:r w:rsidRPr="00DE45DF">
        <w:rPr>
          <w:rFonts w:ascii="Times New Roman" w:hAnsi="Times New Roman"/>
          <w:noProof/>
          <w:sz w:val="24"/>
        </w:rPr>
        <w:t xml:space="preserve">, après la validation par le service européen de la protection des données et les essais opérationnels des États membres. </w:t>
      </w:r>
    </w:p>
    <w:p w:rsidR="005E240D" w:rsidRPr="00DE45DF" w:rsidRDefault="00DE45DF">
      <w:pPr>
        <w:spacing w:after="240" w:line="240" w:lineRule="auto"/>
        <w:jc w:val="both"/>
        <w:rPr>
          <w:rFonts w:ascii="Times New Roman" w:hAnsi="Times New Roman" w:cs="Times New Roman"/>
          <w:noProof/>
          <w:sz w:val="24"/>
          <w:szCs w:val="24"/>
        </w:rPr>
      </w:pPr>
      <w:r w:rsidRPr="00DE45DF">
        <w:rPr>
          <w:rFonts w:ascii="Times New Roman" w:hAnsi="Times New Roman"/>
          <w:noProof/>
          <w:sz w:val="24"/>
        </w:rPr>
        <w:t>La Commission a commandé une étude afin d’évaluer l’exhaustivité et la</w:t>
      </w:r>
      <w:r w:rsidRPr="00DE45DF">
        <w:rPr>
          <w:rFonts w:ascii="Times New Roman" w:hAnsi="Times New Roman"/>
          <w:noProof/>
          <w:sz w:val="24"/>
        </w:rPr>
        <w:t xml:space="preserve"> conformité des mesures prises par les États membres pour transposer la </w:t>
      </w:r>
      <w:r w:rsidRPr="00DE45DF">
        <w:rPr>
          <w:rFonts w:ascii="Times New Roman" w:hAnsi="Times New Roman"/>
          <w:b/>
          <w:noProof/>
          <w:sz w:val="24"/>
        </w:rPr>
        <w:t>décision-cadre suédoise</w:t>
      </w:r>
      <w:r w:rsidRPr="00DE45DF">
        <w:rPr>
          <w:rStyle w:val="FootnoteReference"/>
          <w:rFonts w:ascii="Times New Roman" w:hAnsi="Times New Roman"/>
          <w:noProof/>
          <w:sz w:val="24"/>
        </w:rPr>
        <w:footnoteReference w:id="29"/>
      </w:r>
      <w:r w:rsidRPr="00DE45DF">
        <w:rPr>
          <w:rFonts w:ascii="Times New Roman" w:hAnsi="Times New Roman"/>
          <w:noProof/>
          <w:sz w:val="24"/>
        </w:rPr>
        <w:t xml:space="preserve"> qui fournit un cadre juridique commun aux fins de l’échange d’informations entre les services répressifs des États membres. Les résultats sont attendus au cour</w:t>
      </w:r>
      <w:r w:rsidRPr="00DE45DF">
        <w:rPr>
          <w:rFonts w:ascii="Times New Roman" w:hAnsi="Times New Roman"/>
          <w:noProof/>
          <w:sz w:val="24"/>
        </w:rPr>
        <w:t xml:space="preserve">s du premier trimestre </w:t>
      </w:r>
      <w:r w:rsidRPr="00DE45DF">
        <w:rPr>
          <w:rFonts w:ascii="Times New Roman" w:hAnsi="Times New Roman"/>
          <w:noProof/>
          <w:sz w:val="24"/>
        </w:rPr>
        <w:t>2018</w:t>
      </w:r>
      <w:r w:rsidRPr="00DE45DF">
        <w:rPr>
          <w:rFonts w:ascii="Times New Roman" w:hAnsi="Times New Roman"/>
          <w:noProof/>
          <w:sz w:val="24"/>
        </w:rPr>
        <w:t xml:space="preserve"> et la Commission les examinera afin de déterminer si de nouvelles mesures sont nécessaires. Le </w:t>
      </w:r>
      <w:r w:rsidRPr="00DE45DF">
        <w:rPr>
          <w:rFonts w:ascii="Times New Roman" w:hAnsi="Times New Roman"/>
          <w:noProof/>
          <w:sz w:val="24"/>
        </w:rPr>
        <w:t>3</w:t>
      </w:r>
      <w:r w:rsidRPr="00DE45DF">
        <w:rPr>
          <w:rFonts w:ascii="Times New Roman" w:hAnsi="Times New Roman"/>
          <w:noProof/>
          <w:sz w:val="24"/>
        </w:rPr>
        <w:t> octobre </w:t>
      </w:r>
      <w:r w:rsidRPr="00DE45DF">
        <w:rPr>
          <w:rFonts w:ascii="Times New Roman" w:hAnsi="Times New Roman"/>
          <w:noProof/>
          <w:sz w:val="24"/>
        </w:rPr>
        <w:t>2017</w:t>
      </w:r>
      <w:r w:rsidRPr="00DE45DF">
        <w:rPr>
          <w:rFonts w:ascii="Times New Roman" w:hAnsi="Times New Roman"/>
          <w:noProof/>
          <w:sz w:val="24"/>
        </w:rPr>
        <w:t>, la Commission a envoyé un avis motivé au Luxembourg pour défaut de communication des mesures nationales prises pour m</w:t>
      </w:r>
      <w:r w:rsidRPr="00DE45DF">
        <w:rPr>
          <w:rFonts w:ascii="Times New Roman" w:hAnsi="Times New Roman"/>
          <w:noProof/>
          <w:sz w:val="24"/>
        </w:rPr>
        <w:t>ettre en œuvre cette décision.</w:t>
      </w:r>
    </w:p>
    <w:p w:rsidR="005E240D" w:rsidRPr="00DE45DF" w:rsidRDefault="00DE45DF">
      <w:pPr>
        <w:spacing w:after="240" w:line="240" w:lineRule="auto"/>
        <w:rPr>
          <w:i/>
          <w:noProof/>
          <w:sz w:val="24"/>
          <w:szCs w:val="24"/>
        </w:rPr>
      </w:pPr>
      <w:r w:rsidRPr="00DE45DF">
        <w:rPr>
          <w:rFonts w:ascii="Times New Roman" w:hAnsi="Times New Roman"/>
          <w:b/>
          <w:noProof/>
          <w:sz w:val="24"/>
        </w:rPr>
        <w:t>III.</w:t>
      </w:r>
      <w:r w:rsidRPr="00DE45DF">
        <w:rPr>
          <w:noProof/>
        </w:rPr>
        <w:tab/>
      </w:r>
      <w:r w:rsidRPr="00DE45DF">
        <w:rPr>
          <w:rFonts w:ascii="Times New Roman" w:hAnsi="Times New Roman"/>
          <w:b/>
          <w:noProof/>
          <w:sz w:val="24"/>
        </w:rPr>
        <w:t xml:space="preserve">MISE EN ŒUVRE DES AUTRES DOSSIERS PRIORITAIRES EN MATIÈRE DE SÉCURITÉ </w:t>
      </w:r>
    </w:p>
    <w:p w:rsidR="005E240D" w:rsidRPr="00DE45DF" w:rsidRDefault="00DE45DF">
      <w:pPr>
        <w:spacing w:after="240" w:line="240" w:lineRule="auto"/>
        <w:rPr>
          <w:noProof/>
          <w:sz w:val="24"/>
          <w:szCs w:val="24"/>
        </w:rPr>
      </w:pPr>
      <w:r w:rsidRPr="00DE45DF">
        <w:rPr>
          <w:rFonts w:ascii="Times New Roman" w:hAnsi="Times New Roman"/>
          <w:noProof/>
          <w:sz w:val="24"/>
        </w:rPr>
        <w:t>Outre les actions destinées à combler les déficits d’information et à renforcer les systèmes d’information, les travaux se sont poursuivis dans plusi</w:t>
      </w:r>
      <w:r w:rsidRPr="00DE45DF">
        <w:rPr>
          <w:rFonts w:ascii="Times New Roman" w:hAnsi="Times New Roman"/>
          <w:noProof/>
          <w:sz w:val="24"/>
        </w:rPr>
        <w:t>eurs autres domaines de l’union de la sécurité.</w:t>
      </w:r>
    </w:p>
    <w:p w:rsidR="005E240D" w:rsidRPr="00DE45DF" w:rsidRDefault="00DE45DF">
      <w:pPr>
        <w:pStyle w:val="ListParagraph"/>
        <w:numPr>
          <w:ilvl w:val="0"/>
          <w:numId w:val="31"/>
        </w:numPr>
        <w:spacing w:after="120" w:line="240" w:lineRule="auto"/>
        <w:jc w:val="both"/>
        <w:rPr>
          <w:rFonts w:ascii="Times New Roman" w:hAnsi="Times New Roman" w:cs="Times New Roman"/>
          <w:i/>
          <w:noProof/>
          <w:sz w:val="24"/>
          <w:szCs w:val="24"/>
        </w:rPr>
      </w:pPr>
      <w:r w:rsidRPr="00DE45DF">
        <w:rPr>
          <w:rFonts w:ascii="Times New Roman" w:hAnsi="Times New Roman"/>
          <w:i/>
          <w:noProof/>
          <w:sz w:val="24"/>
        </w:rPr>
        <w:t>Mesures visant à améliorer la protection et la résilience face au terrorisme et à la criminalité</w:t>
      </w:r>
    </w:p>
    <w:p w:rsidR="005E240D" w:rsidRPr="00DE45DF" w:rsidRDefault="00DE45DF">
      <w:pPr>
        <w:spacing w:after="240" w:line="240" w:lineRule="auto"/>
        <w:jc w:val="both"/>
        <w:rPr>
          <w:rFonts w:ascii="Times New Roman" w:hAnsi="Times New Roman" w:cs="Times New Roman"/>
          <w:b/>
          <w:noProof/>
          <w:sz w:val="24"/>
          <w:szCs w:val="24"/>
        </w:rPr>
      </w:pPr>
      <w:r w:rsidRPr="00DE45DF">
        <w:rPr>
          <w:rFonts w:ascii="Times New Roman" w:hAnsi="Times New Roman"/>
          <w:noProof/>
          <w:sz w:val="24"/>
        </w:rPr>
        <w:t xml:space="preserve">À la suite de l’adoption du </w:t>
      </w:r>
      <w:r w:rsidRPr="00DE45DF">
        <w:rPr>
          <w:rFonts w:ascii="Times New Roman" w:hAnsi="Times New Roman"/>
          <w:b/>
          <w:noProof/>
          <w:sz w:val="24"/>
        </w:rPr>
        <w:t>plan d’action de la Commission relatif à la protection des espaces publics</w:t>
      </w:r>
      <w:r w:rsidRPr="00DE45DF">
        <w:rPr>
          <w:rStyle w:val="FootnoteReference"/>
          <w:rFonts w:ascii="Times New Roman" w:hAnsi="Times New Roman"/>
          <w:noProof/>
          <w:sz w:val="24"/>
        </w:rPr>
        <w:footnoteReference w:id="30"/>
      </w:r>
      <w:r w:rsidRPr="00DE45DF">
        <w:rPr>
          <w:rFonts w:ascii="Times New Roman" w:hAnsi="Times New Roman"/>
          <w:noProof/>
          <w:sz w:val="24"/>
        </w:rPr>
        <w:t xml:space="preserve">, la première réunion du Réseau de sécurité pour la protection des espaces publics à haut risque a eu lieu les </w:t>
      </w:r>
      <w:r w:rsidRPr="00DE45DF">
        <w:rPr>
          <w:rFonts w:ascii="Times New Roman" w:hAnsi="Times New Roman"/>
          <w:noProof/>
          <w:sz w:val="24"/>
        </w:rPr>
        <w:t>14</w:t>
      </w:r>
      <w:r w:rsidRPr="00DE45DF">
        <w:rPr>
          <w:rFonts w:ascii="Times New Roman" w:hAnsi="Times New Roman"/>
          <w:noProof/>
          <w:sz w:val="24"/>
        </w:rPr>
        <w:t xml:space="preserve"> et </w:t>
      </w:r>
      <w:r w:rsidRPr="00DE45DF">
        <w:rPr>
          <w:rFonts w:ascii="Times New Roman" w:hAnsi="Times New Roman"/>
          <w:noProof/>
          <w:sz w:val="24"/>
        </w:rPr>
        <w:t>15</w:t>
      </w:r>
      <w:r w:rsidRPr="00DE45DF">
        <w:rPr>
          <w:rFonts w:ascii="Times New Roman" w:hAnsi="Times New Roman"/>
          <w:noProof/>
          <w:sz w:val="24"/>
        </w:rPr>
        <w:t> novembre </w:t>
      </w:r>
      <w:r w:rsidRPr="00DE45DF">
        <w:rPr>
          <w:rFonts w:ascii="Times New Roman" w:hAnsi="Times New Roman"/>
          <w:noProof/>
          <w:sz w:val="24"/>
        </w:rPr>
        <w:t>2017</w:t>
      </w:r>
      <w:r w:rsidRPr="00DE45DF">
        <w:rPr>
          <w:rFonts w:ascii="Times New Roman" w:hAnsi="Times New Roman"/>
          <w:noProof/>
          <w:sz w:val="24"/>
        </w:rPr>
        <w:t>. L’unité de la Guardia Civil espagnole chargée de la protection des lieux à haut risque a accueilli cette première confére</w:t>
      </w:r>
      <w:r w:rsidRPr="00DE45DF">
        <w:rPr>
          <w:rFonts w:ascii="Times New Roman" w:hAnsi="Times New Roman"/>
          <w:noProof/>
          <w:sz w:val="24"/>
        </w:rPr>
        <w:t>nce à son siège de Logroño, en Espagne. Ce nouveau réseau vise à soutenir le développement de nouvelles tactiques visant à mieux protéger les espaces publics à haut risque. Par ailleurs, la première réunion du Forum des exploitants d’espaces publics aura l</w:t>
      </w:r>
      <w:r w:rsidRPr="00DE45DF">
        <w:rPr>
          <w:rFonts w:ascii="Times New Roman" w:hAnsi="Times New Roman"/>
          <w:noProof/>
          <w:sz w:val="24"/>
        </w:rPr>
        <w:t xml:space="preserve">ieu à Bruxelles le </w:t>
      </w:r>
      <w:r w:rsidRPr="00DE45DF">
        <w:rPr>
          <w:rFonts w:ascii="Times New Roman" w:hAnsi="Times New Roman"/>
          <w:noProof/>
          <w:sz w:val="24"/>
        </w:rPr>
        <w:t>20</w:t>
      </w:r>
      <w:r w:rsidRPr="00DE45DF">
        <w:rPr>
          <w:rFonts w:ascii="Times New Roman" w:hAnsi="Times New Roman"/>
          <w:noProof/>
          <w:sz w:val="24"/>
        </w:rPr>
        <w:t> décembre </w:t>
      </w:r>
      <w:r w:rsidRPr="00DE45DF">
        <w:rPr>
          <w:rFonts w:ascii="Times New Roman" w:hAnsi="Times New Roman"/>
          <w:noProof/>
          <w:sz w:val="24"/>
        </w:rPr>
        <w:t>2017</w:t>
      </w:r>
      <w:r w:rsidRPr="00DE45DF">
        <w:rPr>
          <w:rFonts w:ascii="Times New Roman" w:hAnsi="Times New Roman"/>
          <w:noProof/>
          <w:sz w:val="24"/>
        </w:rPr>
        <w:t xml:space="preserve">, et une réunion thématique consacrée aux locations de voitures suivra le lendemain </w:t>
      </w:r>
      <w:r w:rsidRPr="00DE45DF">
        <w:rPr>
          <w:rFonts w:ascii="Times New Roman" w:hAnsi="Times New Roman"/>
          <w:noProof/>
          <w:sz w:val="24"/>
        </w:rPr>
        <w:t>21</w:t>
      </w:r>
      <w:r w:rsidRPr="00DE45DF">
        <w:rPr>
          <w:rFonts w:ascii="Times New Roman" w:hAnsi="Times New Roman"/>
          <w:noProof/>
          <w:sz w:val="24"/>
        </w:rPr>
        <w:t> décembre </w:t>
      </w:r>
      <w:r w:rsidRPr="00DE45DF">
        <w:rPr>
          <w:rFonts w:ascii="Times New Roman" w:hAnsi="Times New Roman"/>
          <w:noProof/>
          <w:sz w:val="24"/>
        </w:rPr>
        <w:t>2017</w:t>
      </w:r>
      <w:r w:rsidRPr="00DE45DF">
        <w:rPr>
          <w:rFonts w:ascii="Times New Roman" w:hAnsi="Times New Roman"/>
          <w:noProof/>
          <w:sz w:val="24"/>
        </w:rPr>
        <w:t>. Les préparatifs ont également débuté en vue d’une réunion avec les maires de villes européennes qui sera organisée en c</w:t>
      </w:r>
      <w:r w:rsidRPr="00DE45DF">
        <w:rPr>
          <w:rFonts w:ascii="Times New Roman" w:hAnsi="Times New Roman"/>
          <w:noProof/>
          <w:sz w:val="24"/>
        </w:rPr>
        <w:t>oopération avec le Comité des régions au printemps de l’année prochaine.</w:t>
      </w:r>
    </w:p>
    <w:p w:rsidR="005E240D" w:rsidRPr="00DE45DF" w:rsidRDefault="00DE45DF">
      <w:pPr>
        <w:spacing w:after="240" w:line="240" w:lineRule="auto"/>
        <w:jc w:val="both"/>
        <w:rPr>
          <w:rFonts w:ascii="Times New Roman" w:hAnsi="Times New Roman" w:cs="Times New Roman"/>
          <w:noProof/>
          <w:sz w:val="24"/>
          <w:szCs w:val="24"/>
        </w:rPr>
      </w:pPr>
      <w:r w:rsidRPr="00DE45DF">
        <w:rPr>
          <w:rFonts w:ascii="Times New Roman" w:hAnsi="Times New Roman"/>
          <w:noProof/>
          <w:sz w:val="24"/>
        </w:rPr>
        <w:t xml:space="preserve">En réaction à une augmentation du niveau de la menace dans le domaine des transports, et notamment dans les réseaux ferroviaires, certains États membres ont renforcé leurs mesures de </w:t>
      </w:r>
      <w:r w:rsidRPr="00DE45DF">
        <w:rPr>
          <w:rFonts w:ascii="Times New Roman" w:hAnsi="Times New Roman"/>
          <w:noProof/>
          <w:sz w:val="24"/>
        </w:rPr>
        <w:t>sécurité afin de protéger les transports ferroviaires. Ces mesures ont été appliquées de manière fragmentée, ce qui met en évidence la nécessité d’une meilleure coordination dans le domaine de la sécurité ferroviaire. La Commission a donc annoncé, dans son</w:t>
      </w:r>
      <w:r w:rsidRPr="00DE45DF">
        <w:rPr>
          <w:rFonts w:ascii="Times New Roman" w:hAnsi="Times New Roman"/>
          <w:noProof/>
          <w:sz w:val="24"/>
        </w:rPr>
        <w:t xml:space="preserve"> programme de travail pour </w:t>
      </w:r>
      <w:r w:rsidRPr="00DE45DF">
        <w:rPr>
          <w:rFonts w:ascii="Times New Roman" w:hAnsi="Times New Roman"/>
          <w:noProof/>
          <w:sz w:val="24"/>
        </w:rPr>
        <w:t>2018</w:t>
      </w:r>
      <w:r w:rsidRPr="00DE45DF">
        <w:rPr>
          <w:rFonts w:ascii="Times New Roman" w:hAnsi="Times New Roman"/>
          <w:noProof/>
          <w:sz w:val="24"/>
        </w:rPr>
        <w:t xml:space="preserve">, son intention d’œuvrer à l’adoption de nouvelles mesures destinées à améliorer la </w:t>
      </w:r>
      <w:r w:rsidRPr="00DE45DF">
        <w:rPr>
          <w:rFonts w:ascii="Times New Roman" w:hAnsi="Times New Roman"/>
          <w:b/>
          <w:noProof/>
          <w:sz w:val="24"/>
        </w:rPr>
        <w:t>sécurité des passagers dans les transports ferroviaires</w:t>
      </w:r>
      <w:r w:rsidRPr="00DE45DF">
        <w:rPr>
          <w:rFonts w:ascii="Times New Roman" w:hAnsi="Times New Roman"/>
          <w:noProof/>
          <w:sz w:val="24"/>
        </w:rPr>
        <w:t>.</w:t>
      </w:r>
    </w:p>
    <w:p w:rsidR="005E240D" w:rsidRPr="00DE45DF" w:rsidRDefault="00DE45DF">
      <w:pPr>
        <w:spacing w:after="240" w:line="240" w:lineRule="auto"/>
        <w:jc w:val="both"/>
        <w:rPr>
          <w:rFonts w:ascii="Times New Roman" w:hAnsi="Times New Roman" w:cs="Times New Roman"/>
          <w:noProof/>
          <w:sz w:val="24"/>
          <w:szCs w:val="24"/>
        </w:rPr>
      </w:pPr>
      <w:r w:rsidRPr="00DE45DF">
        <w:rPr>
          <w:rFonts w:ascii="Times New Roman" w:hAnsi="Times New Roman"/>
          <w:noProof/>
          <w:sz w:val="24"/>
        </w:rPr>
        <w:t xml:space="preserve">Dans le domaine de la recherche, l’événement </w:t>
      </w:r>
      <w:r w:rsidRPr="00DE45DF">
        <w:rPr>
          <w:rFonts w:ascii="Times New Roman" w:hAnsi="Times New Roman"/>
          <w:b/>
          <w:noProof/>
          <w:sz w:val="24"/>
        </w:rPr>
        <w:t>Recherche en matière de sécurité</w:t>
      </w:r>
      <w:r w:rsidRPr="00DE45DF">
        <w:rPr>
          <w:rFonts w:ascii="Times New Roman" w:hAnsi="Times New Roman"/>
          <w:noProof/>
          <w:sz w:val="24"/>
        </w:rPr>
        <w:t xml:space="preserve"> </w:t>
      </w:r>
      <w:r w:rsidRPr="00DE45DF">
        <w:rPr>
          <w:rFonts w:ascii="Times New Roman" w:hAnsi="Times New Roman"/>
          <w:noProof/>
          <w:sz w:val="24"/>
        </w:rPr>
        <w:t>2017</w:t>
      </w:r>
      <w:r w:rsidRPr="00DE45DF">
        <w:rPr>
          <w:rFonts w:ascii="Times New Roman" w:hAnsi="Times New Roman"/>
          <w:noProof/>
          <w:sz w:val="24"/>
        </w:rPr>
        <w:t xml:space="preserve"> a</w:t>
      </w:r>
      <w:r w:rsidRPr="00DE45DF">
        <w:rPr>
          <w:rFonts w:ascii="Times New Roman" w:hAnsi="Times New Roman"/>
          <w:noProof/>
          <w:sz w:val="24"/>
        </w:rPr>
        <w:t xml:space="preserve"> été organisé conjointement par la Commission européenne et la Présidence estonienne à Tallinn les </w:t>
      </w:r>
      <w:r w:rsidRPr="00DE45DF">
        <w:rPr>
          <w:rFonts w:ascii="Times New Roman" w:hAnsi="Times New Roman"/>
          <w:noProof/>
          <w:sz w:val="24"/>
        </w:rPr>
        <w:t>14</w:t>
      </w:r>
      <w:r w:rsidRPr="00DE45DF">
        <w:rPr>
          <w:rFonts w:ascii="Times New Roman" w:hAnsi="Times New Roman"/>
          <w:noProof/>
          <w:sz w:val="24"/>
        </w:rPr>
        <w:t xml:space="preserve"> et </w:t>
      </w:r>
      <w:r w:rsidRPr="00DE45DF">
        <w:rPr>
          <w:rFonts w:ascii="Times New Roman" w:hAnsi="Times New Roman"/>
          <w:noProof/>
          <w:sz w:val="24"/>
        </w:rPr>
        <w:t>15</w:t>
      </w:r>
      <w:r w:rsidRPr="00DE45DF">
        <w:rPr>
          <w:rFonts w:ascii="Times New Roman" w:hAnsi="Times New Roman"/>
          <w:noProof/>
          <w:sz w:val="24"/>
        </w:rPr>
        <w:t> novembre </w:t>
      </w:r>
      <w:r w:rsidRPr="00DE45DF">
        <w:rPr>
          <w:rFonts w:ascii="Times New Roman" w:hAnsi="Times New Roman"/>
          <w:noProof/>
          <w:sz w:val="24"/>
        </w:rPr>
        <w:t>2017</w:t>
      </w:r>
      <w:r w:rsidRPr="00DE45DF">
        <w:rPr>
          <w:rFonts w:ascii="Times New Roman" w:hAnsi="Times New Roman"/>
          <w:noProof/>
          <w:sz w:val="24"/>
        </w:rPr>
        <w:t xml:space="preserve">. Il a été largement reconnu que des efforts supplémentaires étaient nécessaires pour combler le fossé existant entre les résultats de </w:t>
      </w:r>
      <w:r w:rsidRPr="00DE45DF">
        <w:rPr>
          <w:rFonts w:ascii="Times New Roman" w:hAnsi="Times New Roman"/>
          <w:noProof/>
          <w:sz w:val="24"/>
        </w:rPr>
        <w:t>la recherche et les produits et services permettant de lutter efficacement contre différentes menaces pour la sécurité, telles que le terrorisme, la cybercriminalité et les catastrophes naturelles. Associer l’industrie, le monde universitaire, les pouvoirs</w:t>
      </w:r>
      <w:r w:rsidRPr="00DE45DF">
        <w:rPr>
          <w:rFonts w:ascii="Times New Roman" w:hAnsi="Times New Roman"/>
          <w:noProof/>
          <w:sz w:val="24"/>
        </w:rPr>
        <w:t xml:space="preserve"> publics et les praticiens dans un processus de cocréation permettrait de regrouper les acteurs de l’offre (l’industrie) et ceux de la demande (les utilisateurs finaux) afin de consolider les exigences futures et de convenir d’éventuelles solutions pouvant</w:t>
      </w:r>
      <w:r w:rsidRPr="00DE45DF">
        <w:rPr>
          <w:rFonts w:ascii="Times New Roman" w:hAnsi="Times New Roman"/>
          <w:noProof/>
          <w:sz w:val="24"/>
        </w:rPr>
        <w:t xml:space="preserve"> avoir un effet concret et faciliter le travail des spécialistes de la sécurité dans un proche avenir. La Commission envisagera des solutions pour faire progresser ces idées. </w:t>
      </w:r>
    </w:p>
    <w:p w:rsidR="005E240D" w:rsidRPr="00DE45DF" w:rsidRDefault="00DE45DF">
      <w:pPr>
        <w:pStyle w:val="ListParagraph"/>
        <w:keepNext/>
        <w:numPr>
          <w:ilvl w:val="0"/>
          <w:numId w:val="31"/>
        </w:numPr>
        <w:spacing w:after="120" w:line="240" w:lineRule="auto"/>
        <w:jc w:val="both"/>
        <w:rPr>
          <w:rFonts w:ascii="Times New Roman" w:hAnsi="Times New Roman" w:cs="Times New Roman"/>
          <w:i/>
          <w:noProof/>
          <w:sz w:val="24"/>
          <w:szCs w:val="24"/>
        </w:rPr>
      </w:pPr>
      <w:r w:rsidRPr="00DE45DF">
        <w:rPr>
          <w:rFonts w:ascii="Times New Roman" w:hAnsi="Times New Roman"/>
          <w:i/>
          <w:noProof/>
          <w:sz w:val="24"/>
        </w:rPr>
        <w:t>S’attaquer aux moyens d’action des terroristes</w:t>
      </w:r>
    </w:p>
    <w:p w:rsidR="005E240D" w:rsidRPr="00DE45DF" w:rsidRDefault="00DE45DF">
      <w:pPr>
        <w:spacing w:after="240" w:line="240" w:lineRule="auto"/>
        <w:jc w:val="both"/>
        <w:rPr>
          <w:rFonts w:ascii="Times New Roman" w:hAnsi="Times New Roman" w:cs="Times New Roman"/>
          <w:noProof/>
          <w:sz w:val="24"/>
          <w:szCs w:val="24"/>
        </w:rPr>
      </w:pPr>
      <w:r w:rsidRPr="00DE45DF">
        <w:rPr>
          <w:rFonts w:ascii="Times New Roman" w:hAnsi="Times New Roman"/>
          <w:noProof/>
          <w:sz w:val="24"/>
        </w:rPr>
        <w:t>Les discussions avec les colégisl</w:t>
      </w:r>
      <w:r w:rsidRPr="00DE45DF">
        <w:rPr>
          <w:rFonts w:ascii="Times New Roman" w:hAnsi="Times New Roman"/>
          <w:noProof/>
          <w:sz w:val="24"/>
        </w:rPr>
        <w:t xml:space="preserve">ateurs se sont poursuivies sur la proposition de la Commission visant à modifier la </w:t>
      </w:r>
      <w:r w:rsidRPr="00DE45DF">
        <w:rPr>
          <w:rFonts w:ascii="Times New Roman" w:hAnsi="Times New Roman"/>
          <w:b/>
          <w:noProof/>
          <w:sz w:val="24"/>
        </w:rPr>
        <w:t>quatrième directive antiblanchiment</w:t>
      </w:r>
      <w:r w:rsidRPr="00DE45DF">
        <w:rPr>
          <w:rFonts w:ascii="Times New Roman" w:hAnsi="Times New Roman"/>
          <w:noProof/>
          <w:sz w:val="24"/>
        </w:rPr>
        <w:t>, afin de contribuer à la lutte contre le financement du terrorisme. La Commission invite de nouveau les colégislateurs à achever rapidem</w:t>
      </w:r>
      <w:r w:rsidRPr="00DE45DF">
        <w:rPr>
          <w:rFonts w:ascii="Times New Roman" w:hAnsi="Times New Roman"/>
          <w:noProof/>
          <w:sz w:val="24"/>
        </w:rPr>
        <w:t>ent les négociations législatives sur ce dossier prioritaire et à dégager un compromis qui renforce l’ensemble actuel de règles de l’Union en matière de prévention du blanchiment de capitaux et du financement du terrorisme, notamment en améliorant la trans</w:t>
      </w:r>
      <w:r w:rsidRPr="00DE45DF">
        <w:rPr>
          <w:rFonts w:ascii="Times New Roman" w:hAnsi="Times New Roman"/>
          <w:noProof/>
          <w:sz w:val="24"/>
        </w:rPr>
        <w:t xml:space="preserve">parence des informations relatives aux bénéficiaires effectifs. </w:t>
      </w:r>
    </w:p>
    <w:p w:rsidR="005E240D" w:rsidRPr="00DE45DF" w:rsidRDefault="00DE45DF">
      <w:pPr>
        <w:spacing w:after="240" w:line="240" w:lineRule="auto"/>
        <w:jc w:val="both"/>
        <w:rPr>
          <w:rFonts w:ascii="Times New Roman" w:hAnsi="Times New Roman" w:cs="Times New Roman"/>
          <w:noProof/>
          <w:sz w:val="24"/>
          <w:szCs w:val="24"/>
        </w:rPr>
      </w:pPr>
      <w:r w:rsidRPr="00DE45DF">
        <w:rPr>
          <w:rFonts w:ascii="Times New Roman" w:hAnsi="Times New Roman"/>
          <w:noProof/>
          <w:sz w:val="24"/>
        </w:rPr>
        <w:t xml:space="preserve">En outre, la proposition de </w:t>
      </w:r>
      <w:r w:rsidRPr="00DE45DF">
        <w:rPr>
          <w:rFonts w:ascii="Times New Roman" w:hAnsi="Times New Roman"/>
          <w:b/>
          <w:noProof/>
          <w:sz w:val="24"/>
        </w:rPr>
        <w:t>directive visant à harmoniser la définition et les sanctions pénales en matière de blanchiment de capitaux</w:t>
      </w:r>
      <w:r w:rsidRPr="00DE45DF">
        <w:rPr>
          <w:rStyle w:val="FootnoteReference"/>
          <w:rFonts w:ascii="Times New Roman" w:hAnsi="Times New Roman"/>
          <w:noProof/>
          <w:sz w:val="24"/>
        </w:rPr>
        <w:footnoteReference w:id="31"/>
      </w:r>
      <w:r w:rsidRPr="00DE45DF">
        <w:rPr>
          <w:rFonts w:ascii="Times New Roman" w:hAnsi="Times New Roman"/>
          <w:noProof/>
          <w:sz w:val="24"/>
        </w:rPr>
        <w:t xml:space="preserve"> permettra de surmonter les obstacles à la coopération t</w:t>
      </w:r>
      <w:r w:rsidRPr="00DE45DF">
        <w:rPr>
          <w:rFonts w:ascii="Times New Roman" w:hAnsi="Times New Roman"/>
          <w:noProof/>
          <w:sz w:val="24"/>
        </w:rPr>
        <w:t xml:space="preserve">ransfrontière dans le domaine de la lutte contre le blanchiment de capitaux. Le Conseil a adopté une orientation générale le </w:t>
      </w:r>
      <w:r w:rsidRPr="00DE45DF">
        <w:rPr>
          <w:rFonts w:ascii="Times New Roman" w:hAnsi="Times New Roman"/>
          <w:noProof/>
          <w:sz w:val="24"/>
        </w:rPr>
        <w:t>8</w:t>
      </w:r>
      <w:r w:rsidRPr="00DE45DF">
        <w:rPr>
          <w:rFonts w:ascii="Times New Roman" w:hAnsi="Times New Roman"/>
          <w:noProof/>
          <w:sz w:val="24"/>
        </w:rPr>
        <w:t> juin </w:t>
      </w:r>
      <w:r w:rsidRPr="00DE45DF">
        <w:rPr>
          <w:rFonts w:ascii="Times New Roman" w:hAnsi="Times New Roman"/>
          <w:noProof/>
          <w:sz w:val="24"/>
        </w:rPr>
        <w:t>2017</w:t>
      </w:r>
      <w:r w:rsidRPr="00DE45DF">
        <w:rPr>
          <w:rFonts w:ascii="Times New Roman" w:hAnsi="Times New Roman"/>
          <w:noProof/>
          <w:sz w:val="24"/>
        </w:rPr>
        <w:t xml:space="preserve">. Le Parlement européen ayant adopté sa position le </w:t>
      </w:r>
      <w:r w:rsidRPr="00DE45DF">
        <w:rPr>
          <w:rFonts w:ascii="Times New Roman" w:hAnsi="Times New Roman"/>
          <w:noProof/>
          <w:sz w:val="24"/>
        </w:rPr>
        <w:t>11</w:t>
      </w:r>
      <w:r w:rsidRPr="00DE45DF">
        <w:rPr>
          <w:rFonts w:ascii="Times New Roman" w:hAnsi="Times New Roman"/>
          <w:noProof/>
          <w:sz w:val="24"/>
        </w:rPr>
        <w:t> décembre </w:t>
      </w:r>
      <w:r w:rsidRPr="00DE45DF">
        <w:rPr>
          <w:rFonts w:ascii="Times New Roman" w:hAnsi="Times New Roman"/>
          <w:noProof/>
          <w:sz w:val="24"/>
        </w:rPr>
        <w:t>2017</w:t>
      </w:r>
      <w:r w:rsidRPr="00DE45DF">
        <w:rPr>
          <w:rFonts w:ascii="Times New Roman" w:hAnsi="Times New Roman"/>
          <w:noProof/>
          <w:sz w:val="24"/>
        </w:rPr>
        <w:t>, les discussions interinstitutionnelles pourront bi</w:t>
      </w:r>
      <w:r w:rsidRPr="00DE45DF">
        <w:rPr>
          <w:rFonts w:ascii="Times New Roman" w:hAnsi="Times New Roman"/>
          <w:noProof/>
          <w:sz w:val="24"/>
        </w:rPr>
        <w:t xml:space="preserve">entôt débuter en vue de parvenir à un accord au cours du premier semestre </w:t>
      </w:r>
      <w:r w:rsidRPr="00DE45DF">
        <w:rPr>
          <w:rFonts w:ascii="Times New Roman" w:hAnsi="Times New Roman"/>
          <w:noProof/>
          <w:sz w:val="24"/>
        </w:rPr>
        <w:t>2018</w:t>
      </w:r>
      <w:r w:rsidRPr="00DE45DF">
        <w:rPr>
          <w:rFonts w:ascii="Times New Roman" w:hAnsi="Times New Roman"/>
          <w:noProof/>
          <w:sz w:val="24"/>
        </w:rPr>
        <w:t xml:space="preserve">. </w:t>
      </w:r>
    </w:p>
    <w:p w:rsidR="005E240D" w:rsidRPr="00DE45DF" w:rsidRDefault="00DE45DF">
      <w:pPr>
        <w:spacing w:after="240" w:line="240" w:lineRule="auto"/>
        <w:jc w:val="both"/>
        <w:rPr>
          <w:rFonts w:ascii="Times New Roman" w:hAnsi="Times New Roman" w:cs="Times New Roman"/>
          <w:noProof/>
          <w:sz w:val="24"/>
          <w:szCs w:val="24"/>
        </w:rPr>
      </w:pPr>
      <w:r w:rsidRPr="00DE45DF">
        <w:rPr>
          <w:rFonts w:ascii="Times New Roman" w:hAnsi="Times New Roman"/>
          <w:noProof/>
          <w:sz w:val="24"/>
        </w:rPr>
        <w:t>Les travaux se poursuivent sur d’éventuelles mesures visant à améliorer l’accès transfrontière des autorités répressives aux données financières pertinentes susceptibles de procurer les pistes nécessaires sur les activités terroristes, comme annoncé dans l</w:t>
      </w:r>
      <w:r w:rsidRPr="00DE45DF">
        <w:rPr>
          <w:rFonts w:ascii="Times New Roman" w:hAnsi="Times New Roman"/>
          <w:noProof/>
          <w:sz w:val="24"/>
        </w:rPr>
        <w:t xml:space="preserve">e programme de travail de la Commission pour </w:t>
      </w:r>
      <w:r w:rsidRPr="00DE45DF">
        <w:rPr>
          <w:rFonts w:ascii="Times New Roman" w:hAnsi="Times New Roman"/>
          <w:noProof/>
          <w:sz w:val="24"/>
        </w:rPr>
        <w:t>2017</w:t>
      </w:r>
      <w:r w:rsidRPr="00DE45DF">
        <w:rPr>
          <w:rFonts w:ascii="Times New Roman" w:hAnsi="Times New Roman"/>
          <w:noProof/>
          <w:sz w:val="24"/>
        </w:rPr>
        <w:t xml:space="preserve">. Le </w:t>
      </w:r>
      <w:r w:rsidRPr="00DE45DF">
        <w:rPr>
          <w:rFonts w:ascii="Times New Roman" w:hAnsi="Times New Roman"/>
          <w:noProof/>
          <w:sz w:val="24"/>
        </w:rPr>
        <w:t>20</w:t>
      </w:r>
      <w:r w:rsidRPr="00DE45DF">
        <w:rPr>
          <w:rFonts w:ascii="Times New Roman" w:hAnsi="Times New Roman"/>
          <w:noProof/>
          <w:sz w:val="24"/>
        </w:rPr>
        <w:t> novembre </w:t>
      </w:r>
      <w:r w:rsidRPr="00DE45DF">
        <w:rPr>
          <w:rFonts w:ascii="Times New Roman" w:hAnsi="Times New Roman"/>
          <w:noProof/>
          <w:sz w:val="24"/>
        </w:rPr>
        <w:t>2017</w:t>
      </w:r>
      <w:r w:rsidRPr="00DE45DF">
        <w:rPr>
          <w:rFonts w:ascii="Times New Roman" w:hAnsi="Times New Roman"/>
          <w:noProof/>
          <w:sz w:val="24"/>
        </w:rPr>
        <w:t xml:space="preserve">, la Commission a organisé une réunion de parties prenantes de haut niveau avec les États membres et les organes de l’Union afin d’évaluer la nécessité de </w:t>
      </w:r>
      <w:r w:rsidRPr="00DE45DF">
        <w:rPr>
          <w:rFonts w:ascii="Times New Roman" w:hAnsi="Times New Roman"/>
          <w:b/>
          <w:noProof/>
          <w:sz w:val="24"/>
        </w:rPr>
        <w:t xml:space="preserve">mesures supplémentaires visant </w:t>
      </w:r>
      <w:r w:rsidRPr="00DE45DF">
        <w:rPr>
          <w:rFonts w:ascii="Times New Roman" w:hAnsi="Times New Roman"/>
          <w:b/>
          <w:noProof/>
          <w:sz w:val="24"/>
        </w:rPr>
        <w:t>à faciliter l’accès transfrontière aux informations financières à des fins de lutte contre le terrorisme</w:t>
      </w:r>
      <w:r w:rsidRPr="00DE45DF">
        <w:rPr>
          <w:rFonts w:ascii="Times New Roman" w:hAnsi="Times New Roman"/>
          <w:noProof/>
          <w:sz w:val="24"/>
        </w:rPr>
        <w:t>. Au cours de cette réunion, les États membres ont pris note du fait que les différentes mesures existantes, en cours ou prévues pourraient mettre en pl</w:t>
      </w:r>
      <w:r w:rsidRPr="00DE45DF">
        <w:rPr>
          <w:rFonts w:ascii="Times New Roman" w:hAnsi="Times New Roman"/>
          <w:noProof/>
          <w:sz w:val="24"/>
        </w:rPr>
        <w:t xml:space="preserve">ace les outils et solutions nécessaires, notamment la </w:t>
      </w:r>
      <w:r w:rsidRPr="00DE45DF">
        <w:rPr>
          <w:rFonts w:ascii="Times New Roman" w:hAnsi="Times New Roman"/>
          <w:b/>
          <w:noProof/>
          <w:sz w:val="24"/>
        </w:rPr>
        <w:t>décision d’enquête européenne</w:t>
      </w:r>
      <w:r w:rsidRPr="00DE45DF">
        <w:rPr>
          <w:rStyle w:val="FootnoteReference"/>
          <w:rFonts w:ascii="Times New Roman" w:hAnsi="Times New Roman"/>
          <w:noProof/>
          <w:sz w:val="24"/>
        </w:rPr>
        <w:footnoteReference w:id="32"/>
      </w:r>
      <w:r w:rsidRPr="00DE45DF">
        <w:rPr>
          <w:rFonts w:ascii="Times New Roman" w:hAnsi="Times New Roman"/>
          <w:noProof/>
          <w:sz w:val="24"/>
        </w:rPr>
        <w:t xml:space="preserve">, la </w:t>
      </w:r>
      <w:r w:rsidRPr="00DE45DF">
        <w:rPr>
          <w:rFonts w:ascii="Times New Roman" w:hAnsi="Times New Roman"/>
          <w:b/>
          <w:noProof/>
          <w:sz w:val="24"/>
        </w:rPr>
        <w:t>directive antiblanchiment</w:t>
      </w:r>
      <w:r w:rsidRPr="00DE45DF">
        <w:rPr>
          <w:rStyle w:val="FootnoteReference"/>
          <w:rFonts w:ascii="Times New Roman" w:hAnsi="Times New Roman"/>
          <w:noProof/>
          <w:sz w:val="24"/>
        </w:rPr>
        <w:footnoteReference w:id="33"/>
      </w:r>
      <w:r w:rsidRPr="00DE45DF">
        <w:rPr>
          <w:rFonts w:ascii="Times New Roman" w:hAnsi="Times New Roman"/>
          <w:noProof/>
          <w:sz w:val="24"/>
        </w:rPr>
        <w:t xml:space="preserve"> (y compris les modifications proposées</w:t>
      </w:r>
      <w:r w:rsidRPr="00DE45DF">
        <w:rPr>
          <w:rStyle w:val="FootnoteReference"/>
          <w:rFonts w:ascii="Times New Roman" w:hAnsi="Times New Roman"/>
          <w:noProof/>
          <w:sz w:val="24"/>
        </w:rPr>
        <w:footnoteReference w:id="34"/>
      </w:r>
      <w:r w:rsidRPr="00DE45DF">
        <w:rPr>
          <w:rFonts w:ascii="Times New Roman" w:hAnsi="Times New Roman"/>
          <w:noProof/>
          <w:sz w:val="24"/>
        </w:rPr>
        <w:t>, en cours de négociation) et un prochain appel à propositions destiné à soutenir des projets de lutt</w:t>
      </w:r>
      <w:r w:rsidRPr="00DE45DF">
        <w:rPr>
          <w:rFonts w:ascii="Times New Roman" w:hAnsi="Times New Roman"/>
          <w:noProof/>
          <w:sz w:val="24"/>
        </w:rPr>
        <w:t>e contre le financement du terrorisme</w:t>
      </w:r>
      <w:r w:rsidRPr="00DE45DF">
        <w:rPr>
          <w:rStyle w:val="FootnoteReference"/>
          <w:rFonts w:ascii="Times New Roman" w:hAnsi="Times New Roman"/>
          <w:noProof/>
          <w:sz w:val="24"/>
        </w:rPr>
        <w:footnoteReference w:id="35"/>
      </w:r>
      <w:r w:rsidRPr="00DE45DF">
        <w:rPr>
          <w:rFonts w:ascii="Times New Roman" w:hAnsi="Times New Roman"/>
          <w:noProof/>
          <w:sz w:val="24"/>
        </w:rPr>
        <w:t xml:space="preserve">. </w:t>
      </w:r>
    </w:p>
    <w:p w:rsidR="005E240D" w:rsidRPr="00DE45DF" w:rsidRDefault="00DE45DF">
      <w:pPr>
        <w:spacing w:after="240" w:line="240" w:lineRule="auto"/>
        <w:jc w:val="both"/>
        <w:rPr>
          <w:rFonts w:ascii="Times New Roman" w:hAnsi="Times New Roman" w:cs="Times New Roman"/>
          <w:noProof/>
        </w:rPr>
      </w:pPr>
      <w:r w:rsidRPr="00DE45DF">
        <w:rPr>
          <w:rFonts w:ascii="Times New Roman" w:hAnsi="Times New Roman"/>
          <w:noProof/>
          <w:sz w:val="24"/>
        </w:rPr>
        <w:t xml:space="preserve">La proposition de révision de la quatrième directive antiblanchiment envisage la création obligatoire de </w:t>
      </w:r>
      <w:r w:rsidRPr="00DE45DF">
        <w:rPr>
          <w:rFonts w:ascii="Times New Roman" w:hAnsi="Times New Roman"/>
          <w:b/>
          <w:noProof/>
          <w:sz w:val="24"/>
        </w:rPr>
        <w:t>registres nationaux centralisés des comptes bancaires et de systèmes de recherche</w:t>
      </w:r>
      <w:r w:rsidRPr="00DE45DF">
        <w:rPr>
          <w:rFonts w:ascii="Times New Roman" w:hAnsi="Times New Roman"/>
          <w:noProof/>
          <w:sz w:val="24"/>
        </w:rPr>
        <w:t>, auxquels les cellules de re</w:t>
      </w:r>
      <w:r w:rsidRPr="00DE45DF">
        <w:rPr>
          <w:rFonts w:ascii="Times New Roman" w:hAnsi="Times New Roman"/>
          <w:noProof/>
          <w:sz w:val="24"/>
        </w:rPr>
        <w:t xml:space="preserve">nseignement financier et les services de lutte contre le blanchiment de capitaux auraient accès. La Commission évalue actuellement l’impact des options stratégiques pertinentes en vue de proposer, au printemps </w:t>
      </w:r>
      <w:r w:rsidRPr="00DE45DF">
        <w:rPr>
          <w:rFonts w:ascii="Times New Roman" w:hAnsi="Times New Roman"/>
          <w:noProof/>
          <w:sz w:val="24"/>
        </w:rPr>
        <w:t>2018</w:t>
      </w:r>
      <w:r w:rsidRPr="00DE45DF">
        <w:rPr>
          <w:rFonts w:ascii="Times New Roman" w:hAnsi="Times New Roman"/>
          <w:noProof/>
          <w:sz w:val="24"/>
        </w:rPr>
        <w:t>, une directive visant à donner aux autori</w:t>
      </w:r>
      <w:r w:rsidRPr="00DE45DF">
        <w:rPr>
          <w:rFonts w:ascii="Times New Roman" w:hAnsi="Times New Roman"/>
          <w:noProof/>
          <w:sz w:val="24"/>
        </w:rPr>
        <w:t xml:space="preserve">tés répressives et aux bureaux de recouvrement d’avoirs l’accès aux registres et aux systèmes de recherche de données dans leur propre État membre. </w:t>
      </w:r>
    </w:p>
    <w:p w:rsidR="005E240D" w:rsidRPr="00DE45DF" w:rsidRDefault="00DE45DF">
      <w:pPr>
        <w:spacing w:after="240" w:line="240" w:lineRule="auto"/>
        <w:jc w:val="both"/>
        <w:rPr>
          <w:rFonts w:ascii="Times New Roman" w:hAnsi="Times New Roman" w:cs="Times New Roman"/>
          <w:noProof/>
          <w:sz w:val="24"/>
          <w:szCs w:val="24"/>
        </w:rPr>
      </w:pPr>
      <w:r w:rsidRPr="00DE45DF">
        <w:rPr>
          <w:rFonts w:ascii="Times New Roman" w:hAnsi="Times New Roman"/>
          <w:noProof/>
          <w:sz w:val="24"/>
        </w:rPr>
        <w:t xml:space="preserve">Elle est aussi en train d’élaborer des initiatives visant à améliorer la </w:t>
      </w:r>
      <w:r w:rsidRPr="00DE45DF">
        <w:rPr>
          <w:rFonts w:ascii="Times New Roman" w:hAnsi="Times New Roman"/>
          <w:b/>
          <w:noProof/>
          <w:sz w:val="24"/>
        </w:rPr>
        <w:t xml:space="preserve">coopération entre les cellules de </w:t>
      </w:r>
      <w:r w:rsidRPr="00DE45DF">
        <w:rPr>
          <w:rFonts w:ascii="Times New Roman" w:hAnsi="Times New Roman"/>
          <w:b/>
          <w:noProof/>
          <w:sz w:val="24"/>
        </w:rPr>
        <w:t>renseignement financier</w:t>
      </w:r>
      <w:r w:rsidRPr="00DE45DF">
        <w:rPr>
          <w:rFonts w:ascii="Times New Roman" w:hAnsi="Times New Roman"/>
          <w:noProof/>
          <w:sz w:val="24"/>
        </w:rPr>
        <w:t xml:space="preserve">, ainsi que leur coopération avec les autorités répressives. Ces travaux devraient également s’achever au printemps </w:t>
      </w:r>
      <w:r w:rsidRPr="00DE45DF">
        <w:rPr>
          <w:rFonts w:ascii="Times New Roman" w:hAnsi="Times New Roman"/>
          <w:noProof/>
          <w:sz w:val="24"/>
        </w:rPr>
        <w:t>2018</w:t>
      </w:r>
      <w:r w:rsidRPr="00DE45DF">
        <w:rPr>
          <w:rFonts w:ascii="Times New Roman" w:hAnsi="Times New Roman"/>
          <w:noProof/>
          <w:sz w:val="24"/>
        </w:rPr>
        <w:t>. Parallèlement, et en vue de préparer les initiatives nécessaires pour faciliter l’accès transfrontière des auto</w:t>
      </w:r>
      <w:r w:rsidRPr="00DE45DF">
        <w:rPr>
          <w:rFonts w:ascii="Times New Roman" w:hAnsi="Times New Roman"/>
          <w:noProof/>
          <w:sz w:val="24"/>
        </w:rPr>
        <w:t>rités répressives aux données financières, la Commission continuera à évaluer la nécessité, la faisabilité technique et la proportionnalité de toute mesure supplémentaire.</w:t>
      </w:r>
    </w:p>
    <w:p w:rsidR="005E240D" w:rsidRPr="00DE45DF" w:rsidRDefault="00DE45DF">
      <w:pPr>
        <w:pStyle w:val="Default"/>
        <w:jc w:val="both"/>
        <w:rPr>
          <w:noProof/>
        </w:rPr>
      </w:pPr>
      <w:r w:rsidRPr="00DE45DF">
        <w:rPr>
          <w:noProof/>
        </w:rPr>
        <w:t xml:space="preserve">La Commission a adopté aujourd’hui un rapport sur l’évaluation du règlement </w:t>
      </w:r>
      <w:r w:rsidRPr="00DE45DF">
        <w:rPr>
          <w:noProof/>
        </w:rPr>
        <w:t>258</w:t>
      </w:r>
      <w:r w:rsidRPr="00DE45DF">
        <w:rPr>
          <w:noProof/>
        </w:rPr>
        <w:t>/</w:t>
      </w:r>
      <w:r w:rsidRPr="00DE45DF">
        <w:rPr>
          <w:noProof/>
        </w:rPr>
        <w:t>2012</w:t>
      </w:r>
      <w:r w:rsidRPr="00DE45DF">
        <w:rPr>
          <w:noProof/>
        </w:rPr>
        <w:t xml:space="preserve"> </w:t>
      </w:r>
      <w:r w:rsidRPr="00DE45DF">
        <w:rPr>
          <w:b/>
          <w:noProof/>
        </w:rPr>
        <w:t>sur les autorisations d’exportation, ainsi que sur des mesures concernant l’importation et le transit d’armes à feu</w:t>
      </w:r>
      <w:r w:rsidRPr="00DE45DF">
        <w:rPr>
          <w:noProof/>
        </w:rPr>
        <w:t>. Elle conclut que ce règlement reste nécessaire, mais que son efficacité est limitée par le manque de précision de certaines de ses disposi</w:t>
      </w:r>
      <w:r w:rsidRPr="00DE45DF">
        <w:rPr>
          <w:noProof/>
        </w:rPr>
        <w:t>tions, ainsi que par la complexité de l’interaction avec d’autres instruments du droit de l’Union. La Commission rencontrera les experts nationaux à la fin de janvier </w:t>
      </w:r>
      <w:r w:rsidRPr="00DE45DF">
        <w:rPr>
          <w:noProof/>
        </w:rPr>
        <w:t>2018</w:t>
      </w:r>
      <w:r w:rsidRPr="00DE45DF">
        <w:rPr>
          <w:noProof/>
        </w:rPr>
        <w:t xml:space="preserve"> pour procéder à des échanges de vues sur ces conclusions. Elle organisera aussi plus</w:t>
      </w:r>
      <w:r w:rsidRPr="00DE45DF">
        <w:rPr>
          <w:noProof/>
        </w:rPr>
        <w:t>ieurs réunions afin d’aller de l’avant sur certains défis (statistiques en matière de saisies, balistique et coopération avec les pays des Balkans occidentaux).</w:t>
      </w:r>
    </w:p>
    <w:p w:rsidR="005E240D" w:rsidRPr="00DE45DF" w:rsidRDefault="005E240D">
      <w:pPr>
        <w:pStyle w:val="Default"/>
        <w:jc w:val="both"/>
        <w:rPr>
          <w:noProof/>
        </w:rPr>
      </w:pPr>
    </w:p>
    <w:p w:rsidR="005E240D" w:rsidRPr="00DE45DF" w:rsidRDefault="00DE45DF">
      <w:pPr>
        <w:spacing w:after="240" w:line="240" w:lineRule="auto"/>
        <w:jc w:val="both"/>
        <w:rPr>
          <w:rFonts w:ascii="Times New Roman" w:hAnsi="Times New Roman" w:cs="Times New Roman"/>
          <w:noProof/>
          <w:sz w:val="24"/>
          <w:szCs w:val="24"/>
        </w:rPr>
      </w:pPr>
      <w:r w:rsidRPr="00DE45DF">
        <w:rPr>
          <w:rFonts w:ascii="Times New Roman" w:hAnsi="Times New Roman"/>
          <w:noProof/>
          <w:sz w:val="24"/>
        </w:rPr>
        <w:t xml:space="preserve">Le </w:t>
      </w:r>
      <w:r w:rsidRPr="00DE45DF">
        <w:rPr>
          <w:rFonts w:ascii="Times New Roman" w:hAnsi="Times New Roman"/>
          <w:noProof/>
          <w:sz w:val="24"/>
        </w:rPr>
        <w:t>18</w:t>
      </w:r>
      <w:r w:rsidRPr="00DE45DF">
        <w:rPr>
          <w:rFonts w:ascii="Times New Roman" w:hAnsi="Times New Roman"/>
          <w:noProof/>
          <w:sz w:val="24"/>
        </w:rPr>
        <w:t> octobre </w:t>
      </w:r>
      <w:r w:rsidRPr="00DE45DF">
        <w:rPr>
          <w:rFonts w:ascii="Times New Roman" w:hAnsi="Times New Roman"/>
          <w:noProof/>
          <w:sz w:val="24"/>
        </w:rPr>
        <w:t>2017</w:t>
      </w:r>
      <w:r w:rsidRPr="00DE45DF">
        <w:rPr>
          <w:rFonts w:ascii="Times New Roman" w:hAnsi="Times New Roman"/>
          <w:noProof/>
          <w:sz w:val="24"/>
        </w:rPr>
        <w:t xml:space="preserve">, la Commission a émis une </w:t>
      </w:r>
      <w:r w:rsidRPr="00DE45DF">
        <w:rPr>
          <w:rFonts w:ascii="Times New Roman" w:hAnsi="Times New Roman"/>
          <w:b/>
          <w:noProof/>
          <w:sz w:val="24"/>
        </w:rPr>
        <w:t xml:space="preserve">recommandation énonçant des mesures immédiates </w:t>
      </w:r>
      <w:r w:rsidRPr="00DE45DF">
        <w:rPr>
          <w:rFonts w:ascii="Times New Roman" w:hAnsi="Times New Roman"/>
          <w:b/>
          <w:noProof/>
          <w:sz w:val="24"/>
        </w:rPr>
        <w:t>pour empêcher tout usage détourné de précurseurs d’explosifs</w:t>
      </w:r>
      <w:r w:rsidRPr="00DE45DF">
        <w:rPr>
          <w:rFonts w:ascii="Times New Roman" w:hAnsi="Times New Roman"/>
          <w:noProof/>
          <w:sz w:val="24"/>
        </w:rPr>
        <w:t>, dans laquelle elle prie instamment les États membres de prendre d’urgence plusieurs mesures visant à renforcer la protection face à l’utilisation d’explosifs artisanaux à des fins terroristes et</w:t>
      </w:r>
      <w:r w:rsidRPr="00DE45DF">
        <w:rPr>
          <w:rFonts w:ascii="Times New Roman" w:hAnsi="Times New Roman"/>
          <w:noProof/>
          <w:sz w:val="24"/>
        </w:rPr>
        <w:t xml:space="preserve"> à aider à la réalisation des objectifs du règlement </w:t>
      </w:r>
      <w:r w:rsidRPr="00DE45DF">
        <w:rPr>
          <w:rFonts w:ascii="Times New Roman" w:hAnsi="Times New Roman"/>
          <w:noProof/>
          <w:sz w:val="24"/>
        </w:rPr>
        <w:t>98</w:t>
      </w:r>
      <w:r w:rsidRPr="00DE45DF">
        <w:rPr>
          <w:rFonts w:ascii="Times New Roman" w:hAnsi="Times New Roman"/>
          <w:noProof/>
          <w:sz w:val="24"/>
        </w:rPr>
        <w:t>/</w:t>
      </w:r>
      <w:r w:rsidRPr="00DE45DF">
        <w:rPr>
          <w:rFonts w:ascii="Times New Roman" w:hAnsi="Times New Roman"/>
          <w:noProof/>
          <w:sz w:val="24"/>
        </w:rPr>
        <w:t>2013</w:t>
      </w:r>
      <w:r w:rsidRPr="00DE45DF">
        <w:rPr>
          <w:rFonts w:ascii="Times New Roman" w:hAnsi="Times New Roman"/>
          <w:noProof/>
          <w:sz w:val="24"/>
        </w:rPr>
        <w:t xml:space="preserve"> sur les précurseurs d’explosifs. Les </w:t>
      </w:r>
      <w:r w:rsidRPr="00DE45DF">
        <w:rPr>
          <w:rFonts w:ascii="Times New Roman" w:hAnsi="Times New Roman"/>
          <w:noProof/>
          <w:sz w:val="24"/>
        </w:rPr>
        <w:t>12</w:t>
      </w:r>
      <w:r w:rsidRPr="00DE45DF">
        <w:rPr>
          <w:rFonts w:ascii="Times New Roman" w:hAnsi="Times New Roman"/>
          <w:noProof/>
          <w:sz w:val="24"/>
        </w:rPr>
        <w:t xml:space="preserve"> et </w:t>
      </w:r>
      <w:r w:rsidRPr="00DE45DF">
        <w:rPr>
          <w:rFonts w:ascii="Times New Roman" w:hAnsi="Times New Roman"/>
          <w:noProof/>
          <w:sz w:val="24"/>
        </w:rPr>
        <w:t>13</w:t>
      </w:r>
      <w:r w:rsidRPr="00DE45DF">
        <w:rPr>
          <w:rFonts w:ascii="Times New Roman" w:hAnsi="Times New Roman"/>
          <w:noProof/>
          <w:sz w:val="24"/>
        </w:rPr>
        <w:t> décembre </w:t>
      </w:r>
      <w:r w:rsidRPr="00DE45DF">
        <w:rPr>
          <w:rFonts w:ascii="Times New Roman" w:hAnsi="Times New Roman"/>
          <w:noProof/>
          <w:sz w:val="24"/>
        </w:rPr>
        <w:t>2017</w:t>
      </w:r>
      <w:r w:rsidRPr="00DE45DF">
        <w:rPr>
          <w:rFonts w:ascii="Times New Roman" w:hAnsi="Times New Roman"/>
          <w:noProof/>
          <w:sz w:val="24"/>
        </w:rPr>
        <w:t>, une réunion du comité permanent sur les précurseurs permettra de faire le point sur les progrès accomplis par les États membres dans l</w:t>
      </w:r>
      <w:r w:rsidRPr="00DE45DF">
        <w:rPr>
          <w:rFonts w:ascii="Times New Roman" w:hAnsi="Times New Roman"/>
          <w:noProof/>
          <w:sz w:val="24"/>
        </w:rPr>
        <w:t xml:space="preserve">a mise en œuvre de cette recommandation. Le </w:t>
      </w:r>
      <w:r w:rsidRPr="00DE45DF">
        <w:rPr>
          <w:rFonts w:ascii="Times New Roman" w:hAnsi="Times New Roman"/>
          <w:noProof/>
          <w:sz w:val="24"/>
        </w:rPr>
        <w:t>6</w:t>
      </w:r>
      <w:r w:rsidRPr="00DE45DF">
        <w:rPr>
          <w:rFonts w:ascii="Times New Roman" w:hAnsi="Times New Roman"/>
          <w:noProof/>
          <w:sz w:val="24"/>
        </w:rPr>
        <w:t> décembre </w:t>
      </w:r>
      <w:r w:rsidRPr="00DE45DF">
        <w:rPr>
          <w:rFonts w:ascii="Times New Roman" w:hAnsi="Times New Roman"/>
          <w:noProof/>
          <w:sz w:val="24"/>
        </w:rPr>
        <w:t>2017</w:t>
      </w:r>
      <w:r w:rsidRPr="00DE45DF">
        <w:rPr>
          <w:rFonts w:ascii="Times New Roman" w:hAnsi="Times New Roman"/>
          <w:noProof/>
          <w:sz w:val="24"/>
        </w:rPr>
        <w:t xml:space="preserve">, la Commission a décidé de clôturer la procédure d’infraction contre la France concernant le non-respect du règlement </w:t>
      </w:r>
      <w:r w:rsidRPr="00DE45DF">
        <w:rPr>
          <w:rFonts w:ascii="Times New Roman" w:hAnsi="Times New Roman"/>
          <w:noProof/>
          <w:sz w:val="24"/>
        </w:rPr>
        <w:t>98</w:t>
      </w:r>
      <w:r w:rsidRPr="00DE45DF">
        <w:rPr>
          <w:rFonts w:ascii="Times New Roman" w:hAnsi="Times New Roman"/>
          <w:noProof/>
          <w:sz w:val="24"/>
        </w:rPr>
        <w:t>/</w:t>
      </w:r>
      <w:r w:rsidRPr="00DE45DF">
        <w:rPr>
          <w:rFonts w:ascii="Times New Roman" w:hAnsi="Times New Roman"/>
          <w:noProof/>
          <w:sz w:val="24"/>
        </w:rPr>
        <w:t>2013</w:t>
      </w:r>
      <w:r w:rsidRPr="00DE45DF">
        <w:rPr>
          <w:rFonts w:ascii="Times New Roman" w:hAnsi="Times New Roman"/>
          <w:noProof/>
          <w:sz w:val="24"/>
        </w:rPr>
        <w:t xml:space="preserve">, étant donné que la France a informé la Commission de la pleine mise en œuvre du règlement. Parallèlement, la Commission a entrepris de </w:t>
      </w:r>
      <w:r w:rsidRPr="00DE45DF">
        <w:rPr>
          <w:rFonts w:ascii="Times New Roman" w:hAnsi="Times New Roman"/>
          <w:b/>
          <w:noProof/>
          <w:sz w:val="24"/>
        </w:rPr>
        <w:t xml:space="preserve">réviser le règlement </w:t>
      </w:r>
      <w:r w:rsidRPr="00DE45DF">
        <w:rPr>
          <w:rFonts w:ascii="Times New Roman" w:hAnsi="Times New Roman"/>
          <w:b/>
          <w:noProof/>
          <w:sz w:val="24"/>
        </w:rPr>
        <w:t>98</w:t>
      </w:r>
      <w:r w:rsidRPr="00DE45DF">
        <w:rPr>
          <w:rFonts w:ascii="Times New Roman" w:hAnsi="Times New Roman"/>
          <w:b/>
          <w:noProof/>
          <w:sz w:val="24"/>
        </w:rPr>
        <w:t>/</w:t>
      </w:r>
      <w:r w:rsidRPr="00DE45DF">
        <w:rPr>
          <w:rFonts w:ascii="Times New Roman" w:hAnsi="Times New Roman"/>
          <w:b/>
          <w:noProof/>
          <w:sz w:val="24"/>
        </w:rPr>
        <w:t>2013</w:t>
      </w:r>
      <w:r w:rsidRPr="00DE45DF">
        <w:rPr>
          <w:rFonts w:ascii="Times New Roman" w:hAnsi="Times New Roman"/>
          <w:noProof/>
          <w:sz w:val="24"/>
        </w:rPr>
        <w:t xml:space="preserve"> en vue de renforcer les restrictions et les contrôles sur la vente, la détention, l’introd</w:t>
      </w:r>
      <w:r w:rsidRPr="00DE45DF">
        <w:rPr>
          <w:rFonts w:ascii="Times New Roman" w:hAnsi="Times New Roman"/>
          <w:noProof/>
          <w:sz w:val="24"/>
        </w:rPr>
        <w:t>uction et l’utilisation des précurseurs d’explosifs, d’améliorer la capacité des opérateurs économiques et des autorités compétentes et répressives des États membres de détecter et de prévenir les cas d’usage détourné, et d’assurer un niveau d’uniformité p</w:t>
      </w:r>
      <w:r w:rsidRPr="00DE45DF">
        <w:rPr>
          <w:rFonts w:ascii="Times New Roman" w:hAnsi="Times New Roman"/>
          <w:noProof/>
          <w:sz w:val="24"/>
        </w:rPr>
        <w:t xml:space="preserve">lus élevé dans l’application du règlement dans les États membres. L’analyse d’impact sur les différentes options possibles dans le cadre de la révision du règlement sera conclue au printemps </w:t>
      </w:r>
      <w:r w:rsidRPr="00DE45DF">
        <w:rPr>
          <w:rFonts w:ascii="Times New Roman" w:hAnsi="Times New Roman"/>
          <w:noProof/>
          <w:sz w:val="24"/>
        </w:rPr>
        <w:t>2018</w:t>
      </w:r>
      <w:r w:rsidRPr="00DE45DF">
        <w:rPr>
          <w:rFonts w:ascii="Times New Roman" w:hAnsi="Times New Roman"/>
          <w:noProof/>
          <w:sz w:val="24"/>
        </w:rPr>
        <w:t>.</w:t>
      </w:r>
    </w:p>
    <w:p w:rsidR="005E240D" w:rsidRPr="00DE45DF" w:rsidRDefault="00DE45DF">
      <w:pPr>
        <w:pStyle w:val="ListParagraph"/>
        <w:numPr>
          <w:ilvl w:val="0"/>
          <w:numId w:val="31"/>
        </w:numPr>
        <w:spacing w:after="120" w:line="240" w:lineRule="auto"/>
        <w:jc w:val="both"/>
        <w:rPr>
          <w:rFonts w:ascii="Times New Roman" w:hAnsi="Times New Roman" w:cs="Times New Roman"/>
          <w:i/>
          <w:noProof/>
          <w:sz w:val="24"/>
          <w:szCs w:val="24"/>
        </w:rPr>
      </w:pPr>
      <w:r w:rsidRPr="00DE45DF">
        <w:rPr>
          <w:rFonts w:ascii="Times New Roman" w:hAnsi="Times New Roman"/>
          <w:i/>
          <w:noProof/>
          <w:sz w:val="24"/>
        </w:rPr>
        <w:t>Cybersécurité et justice pénale dans le cyberespace</w:t>
      </w:r>
    </w:p>
    <w:p w:rsidR="005E240D" w:rsidRPr="00DE45DF" w:rsidRDefault="00DE45DF">
      <w:pPr>
        <w:spacing w:after="240" w:line="240" w:lineRule="auto"/>
        <w:jc w:val="both"/>
        <w:rPr>
          <w:rFonts w:ascii="Times New Roman" w:hAnsi="Times New Roman" w:cs="Times New Roman"/>
          <w:noProof/>
          <w:sz w:val="24"/>
          <w:szCs w:val="24"/>
        </w:rPr>
      </w:pPr>
      <w:r w:rsidRPr="00DE45DF">
        <w:rPr>
          <w:rFonts w:ascii="Times New Roman" w:hAnsi="Times New Roman"/>
          <w:noProof/>
          <w:sz w:val="24"/>
        </w:rPr>
        <w:t>Dans se</w:t>
      </w:r>
      <w:r w:rsidRPr="00DE45DF">
        <w:rPr>
          <w:rFonts w:ascii="Times New Roman" w:hAnsi="Times New Roman"/>
          <w:noProof/>
          <w:sz w:val="24"/>
        </w:rPr>
        <w:t xml:space="preserve">s conclusions du </w:t>
      </w:r>
      <w:r w:rsidRPr="00DE45DF">
        <w:rPr>
          <w:rFonts w:ascii="Times New Roman" w:hAnsi="Times New Roman"/>
          <w:noProof/>
          <w:sz w:val="24"/>
        </w:rPr>
        <w:t>19</w:t>
      </w:r>
      <w:r w:rsidRPr="00DE45DF">
        <w:rPr>
          <w:rFonts w:ascii="Times New Roman" w:hAnsi="Times New Roman"/>
          <w:noProof/>
          <w:sz w:val="24"/>
        </w:rPr>
        <w:t> octobre </w:t>
      </w:r>
      <w:r w:rsidRPr="00DE45DF">
        <w:rPr>
          <w:rFonts w:ascii="Times New Roman" w:hAnsi="Times New Roman"/>
          <w:noProof/>
          <w:sz w:val="24"/>
        </w:rPr>
        <w:t>2017</w:t>
      </w:r>
      <w:r w:rsidRPr="00DE45DF">
        <w:rPr>
          <w:rStyle w:val="FootnoteReference"/>
          <w:rFonts w:ascii="Times New Roman" w:hAnsi="Times New Roman"/>
          <w:noProof/>
          <w:sz w:val="24"/>
        </w:rPr>
        <w:footnoteReference w:id="36"/>
      </w:r>
      <w:r w:rsidRPr="00DE45DF">
        <w:rPr>
          <w:rFonts w:ascii="Times New Roman" w:hAnsi="Times New Roman"/>
          <w:noProof/>
          <w:sz w:val="24"/>
        </w:rPr>
        <w:t xml:space="preserve">, le Conseil européen a pris acte des initiatives relevant du </w:t>
      </w:r>
      <w:r w:rsidRPr="00DE45DF">
        <w:rPr>
          <w:rFonts w:ascii="Times New Roman" w:hAnsi="Times New Roman"/>
          <w:b/>
          <w:noProof/>
          <w:sz w:val="24"/>
        </w:rPr>
        <w:t>train de mesures en matière de cybersécurité</w:t>
      </w:r>
      <w:r w:rsidRPr="00DE45DF">
        <w:rPr>
          <w:rStyle w:val="FootnoteReference"/>
          <w:rFonts w:ascii="Times New Roman" w:hAnsi="Times New Roman"/>
          <w:noProof/>
          <w:sz w:val="24"/>
        </w:rPr>
        <w:footnoteReference w:id="37"/>
      </w:r>
      <w:r w:rsidRPr="00DE45DF">
        <w:rPr>
          <w:noProof/>
        </w:rPr>
        <w:t>.</w:t>
      </w:r>
      <w:r w:rsidRPr="00DE45DF">
        <w:rPr>
          <w:rFonts w:ascii="Times New Roman" w:hAnsi="Times New Roman"/>
          <w:noProof/>
          <w:sz w:val="24"/>
        </w:rPr>
        <w:t xml:space="preserve"> Le </w:t>
      </w:r>
      <w:r w:rsidRPr="00DE45DF">
        <w:rPr>
          <w:rFonts w:ascii="Times New Roman" w:hAnsi="Times New Roman"/>
          <w:noProof/>
          <w:sz w:val="24"/>
        </w:rPr>
        <w:t>20</w:t>
      </w:r>
      <w:r w:rsidRPr="00DE45DF">
        <w:rPr>
          <w:rFonts w:ascii="Times New Roman" w:hAnsi="Times New Roman"/>
          <w:noProof/>
          <w:sz w:val="24"/>
        </w:rPr>
        <w:t> novembre </w:t>
      </w:r>
      <w:r w:rsidRPr="00DE45DF">
        <w:rPr>
          <w:rFonts w:ascii="Times New Roman" w:hAnsi="Times New Roman"/>
          <w:noProof/>
          <w:sz w:val="24"/>
        </w:rPr>
        <w:t>2017</w:t>
      </w:r>
      <w:r w:rsidRPr="00DE45DF">
        <w:rPr>
          <w:rFonts w:ascii="Times New Roman" w:hAnsi="Times New Roman"/>
          <w:noProof/>
          <w:sz w:val="24"/>
        </w:rPr>
        <w:t>, le Conseil a adopté des conclusions sur la communication conjointe au Parlement européen et a</w:t>
      </w:r>
      <w:r w:rsidRPr="00DE45DF">
        <w:rPr>
          <w:rFonts w:ascii="Times New Roman" w:hAnsi="Times New Roman"/>
          <w:noProof/>
          <w:sz w:val="24"/>
        </w:rPr>
        <w:t>u Conseil intitulée «</w:t>
      </w:r>
      <w:r w:rsidRPr="00DE45DF">
        <w:rPr>
          <w:rFonts w:ascii="Times New Roman" w:hAnsi="Times New Roman"/>
          <w:i/>
          <w:noProof/>
          <w:sz w:val="24"/>
        </w:rPr>
        <w:t>Résilience, dissuasion et défense: doter l’UE d’une cybersécurité solide</w:t>
      </w:r>
      <w:r w:rsidRPr="00DE45DF">
        <w:rPr>
          <w:rFonts w:ascii="Times New Roman" w:hAnsi="Times New Roman"/>
          <w:noProof/>
          <w:sz w:val="24"/>
        </w:rPr>
        <w:t>»</w:t>
      </w:r>
      <w:r w:rsidRPr="00DE45DF">
        <w:rPr>
          <w:rStyle w:val="FootnoteReference"/>
          <w:rFonts w:ascii="Times New Roman" w:hAnsi="Times New Roman"/>
          <w:noProof/>
          <w:sz w:val="24"/>
        </w:rPr>
        <w:footnoteReference w:id="38"/>
      </w:r>
      <w:r w:rsidRPr="00DE45DF">
        <w:rPr>
          <w:noProof/>
        </w:rPr>
        <w:t>.</w:t>
      </w:r>
      <w:r w:rsidRPr="00DE45DF">
        <w:rPr>
          <w:rFonts w:ascii="Times New Roman" w:hAnsi="Times New Roman"/>
          <w:noProof/>
          <w:sz w:val="24"/>
        </w:rPr>
        <w:t xml:space="preserve"> Un plan d’action visant à mettre en œuvre ces conclusions du Conseil sera adopté par le Conseil des affaires générales le </w:t>
      </w:r>
      <w:r w:rsidRPr="00DE45DF">
        <w:rPr>
          <w:rFonts w:ascii="Times New Roman" w:hAnsi="Times New Roman"/>
          <w:noProof/>
          <w:sz w:val="24"/>
        </w:rPr>
        <w:t>12</w:t>
      </w:r>
      <w:r w:rsidRPr="00DE45DF">
        <w:rPr>
          <w:rFonts w:ascii="Times New Roman" w:hAnsi="Times New Roman"/>
          <w:noProof/>
          <w:sz w:val="24"/>
        </w:rPr>
        <w:t> décembre </w:t>
      </w:r>
      <w:r w:rsidRPr="00DE45DF">
        <w:rPr>
          <w:rFonts w:ascii="Times New Roman" w:hAnsi="Times New Roman"/>
          <w:noProof/>
          <w:sz w:val="24"/>
        </w:rPr>
        <w:t>2017</w:t>
      </w:r>
      <w:r w:rsidRPr="00DE45DF">
        <w:rPr>
          <w:rFonts w:ascii="Times New Roman" w:hAnsi="Times New Roman"/>
          <w:noProof/>
          <w:sz w:val="24"/>
        </w:rPr>
        <w:t>.</w:t>
      </w:r>
    </w:p>
    <w:p w:rsidR="005E240D" w:rsidRPr="00DE45DF" w:rsidRDefault="00DE45DF">
      <w:pPr>
        <w:spacing w:after="240" w:line="240" w:lineRule="auto"/>
        <w:jc w:val="both"/>
        <w:rPr>
          <w:rFonts w:ascii="Times New Roman" w:hAnsi="Times New Roman" w:cs="Times New Roman"/>
          <w:noProof/>
          <w:sz w:val="24"/>
          <w:szCs w:val="24"/>
        </w:rPr>
      </w:pPr>
      <w:r w:rsidRPr="00DE45DF">
        <w:rPr>
          <w:rFonts w:ascii="Times New Roman" w:hAnsi="Times New Roman"/>
          <w:noProof/>
          <w:sz w:val="24"/>
        </w:rPr>
        <w:t>Les discussions ave</w:t>
      </w:r>
      <w:r w:rsidRPr="00DE45DF">
        <w:rPr>
          <w:rFonts w:ascii="Times New Roman" w:hAnsi="Times New Roman"/>
          <w:noProof/>
          <w:sz w:val="24"/>
        </w:rPr>
        <w:t>c le Conseil sur la proposition de «</w:t>
      </w:r>
      <w:r w:rsidRPr="00DE45DF">
        <w:rPr>
          <w:rFonts w:ascii="Times New Roman" w:hAnsi="Times New Roman"/>
          <w:b/>
          <w:noProof/>
          <w:sz w:val="24"/>
        </w:rPr>
        <w:t>règlement sur la cybersécurité</w:t>
      </w:r>
      <w:r w:rsidRPr="00DE45DF">
        <w:rPr>
          <w:rFonts w:ascii="Times New Roman" w:hAnsi="Times New Roman"/>
          <w:noProof/>
          <w:sz w:val="24"/>
        </w:rPr>
        <w:t>» (couvrant le nouveau mandat de l’ENISA et le cadre de certification)</w:t>
      </w:r>
      <w:r w:rsidRPr="00DE45DF">
        <w:rPr>
          <w:rStyle w:val="FootnoteReference"/>
          <w:rFonts w:ascii="Times New Roman" w:hAnsi="Times New Roman"/>
          <w:noProof/>
          <w:sz w:val="24"/>
        </w:rPr>
        <w:footnoteReference w:id="39"/>
      </w:r>
      <w:r w:rsidRPr="00DE45DF">
        <w:rPr>
          <w:rFonts w:ascii="Times New Roman" w:hAnsi="Times New Roman"/>
          <w:noProof/>
          <w:sz w:val="24"/>
        </w:rPr>
        <w:t xml:space="preserve"> ont débuté. La </w:t>
      </w:r>
      <w:r w:rsidRPr="00DE45DF">
        <w:rPr>
          <w:rFonts w:ascii="Times New Roman" w:hAnsi="Times New Roman"/>
          <w:b/>
          <w:noProof/>
          <w:sz w:val="24"/>
        </w:rPr>
        <w:t>proposition législative concernant les moyens de paiement autres que les espèces</w:t>
      </w:r>
      <w:r w:rsidRPr="00DE45DF">
        <w:rPr>
          <w:rFonts w:ascii="Times New Roman" w:hAnsi="Times New Roman"/>
          <w:noProof/>
          <w:sz w:val="24"/>
        </w:rPr>
        <w:t xml:space="preserve"> a été présentée au Par</w:t>
      </w:r>
      <w:r w:rsidRPr="00DE45DF">
        <w:rPr>
          <w:rFonts w:ascii="Times New Roman" w:hAnsi="Times New Roman"/>
          <w:noProof/>
          <w:sz w:val="24"/>
        </w:rPr>
        <w:t xml:space="preserve">lement européen et au Conseil et son examen est en cours. La Commission prie instamment le Parlement européen de commencer ses travaux dès lors que le rapporteur a été nommé le </w:t>
      </w:r>
      <w:r w:rsidRPr="00DE45DF">
        <w:rPr>
          <w:rFonts w:ascii="Times New Roman" w:hAnsi="Times New Roman"/>
          <w:noProof/>
          <w:sz w:val="24"/>
        </w:rPr>
        <w:t>13</w:t>
      </w:r>
      <w:r w:rsidRPr="00DE45DF">
        <w:rPr>
          <w:rFonts w:ascii="Times New Roman" w:hAnsi="Times New Roman"/>
          <w:noProof/>
          <w:sz w:val="24"/>
        </w:rPr>
        <w:t> novembre </w:t>
      </w:r>
      <w:r w:rsidRPr="00DE45DF">
        <w:rPr>
          <w:rFonts w:ascii="Times New Roman" w:hAnsi="Times New Roman"/>
          <w:noProof/>
          <w:sz w:val="24"/>
        </w:rPr>
        <w:t>2017</w:t>
      </w:r>
      <w:r w:rsidRPr="00DE45DF">
        <w:rPr>
          <w:rFonts w:ascii="Times New Roman" w:hAnsi="Times New Roman"/>
          <w:noProof/>
          <w:sz w:val="24"/>
        </w:rPr>
        <w:t>. En ce qui concerne la mise en œuvre de la directive sur la sé</w:t>
      </w:r>
      <w:r w:rsidRPr="00DE45DF">
        <w:rPr>
          <w:rFonts w:ascii="Times New Roman" w:hAnsi="Times New Roman"/>
          <w:noProof/>
          <w:sz w:val="24"/>
        </w:rPr>
        <w:t>curité des réseaux et de l’information (SRI)</w:t>
      </w:r>
      <w:r w:rsidRPr="00DE45DF">
        <w:rPr>
          <w:rStyle w:val="FootnoteReference"/>
          <w:rFonts w:ascii="Times New Roman" w:hAnsi="Times New Roman"/>
          <w:noProof/>
          <w:sz w:val="24"/>
        </w:rPr>
        <w:footnoteReference w:id="40"/>
      </w:r>
      <w:r w:rsidRPr="00DE45DF">
        <w:rPr>
          <w:rFonts w:ascii="Times New Roman" w:hAnsi="Times New Roman"/>
          <w:noProof/>
          <w:sz w:val="24"/>
        </w:rPr>
        <w:t xml:space="preserve">, une réunion du groupe de coopération a eu lieu le </w:t>
      </w:r>
      <w:r w:rsidRPr="00DE45DF">
        <w:rPr>
          <w:rFonts w:ascii="Times New Roman" w:hAnsi="Times New Roman"/>
          <w:noProof/>
          <w:sz w:val="24"/>
        </w:rPr>
        <w:t>28</w:t>
      </w:r>
      <w:r w:rsidRPr="00DE45DF">
        <w:rPr>
          <w:rFonts w:ascii="Times New Roman" w:hAnsi="Times New Roman"/>
          <w:noProof/>
          <w:sz w:val="24"/>
        </w:rPr>
        <w:t> novembre. Ce groupe a adopté deux de ses éléments livrables concernant des éléments essentiels de la directive: des lignes directrices pour l’identification</w:t>
      </w:r>
      <w:r w:rsidRPr="00DE45DF">
        <w:rPr>
          <w:rFonts w:ascii="Times New Roman" w:hAnsi="Times New Roman"/>
          <w:noProof/>
          <w:sz w:val="24"/>
        </w:rPr>
        <w:t xml:space="preserve"> des opérateurs de services essentiels</w:t>
      </w:r>
      <w:r w:rsidRPr="00DE45DF">
        <w:rPr>
          <w:rStyle w:val="FootnoteReference"/>
          <w:rFonts w:ascii="Times New Roman" w:hAnsi="Times New Roman"/>
          <w:noProof/>
          <w:sz w:val="24"/>
        </w:rPr>
        <w:footnoteReference w:id="41"/>
      </w:r>
      <w:r w:rsidRPr="00DE45DF">
        <w:rPr>
          <w:rFonts w:ascii="Times New Roman" w:hAnsi="Times New Roman"/>
          <w:noProof/>
          <w:sz w:val="24"/>
        </w:rPr>
        <w:t xml:space="preserve"> concernant les bonnes pratiques liées aux critères définissant le caractère critique d’un opérateur, et des lignes directrices sur les mesures de sécurité donnant un aperçu des critères de référence pour les mesures </w:t>
      </w:r>
      <w:r w:rsidRPr="00DE45DF">
        <w:rPr>
          <w:rFonts w:ascii="Times New Roman" w:hAnsi="Times New Roman"/>
          <w:noProof/>
          <w:sz w:val="24"/>
        </w:rPr>
        <w:t>devant être appliquées afin de sécuriser les réseaux et systèmes d’information</w:t>
      </w:r>
      <w:r w:rsidRPr="00DE45DF">
        <w:rPr>
          <w:rStyle w:val="FootnoteReference"/>
          <w:rFonts w:ascii="Times New Roman" w:hAnsi="Times New Roman"/>
          <w:noProof/>
          <w:sz w:val="24"/>
        </w:rPr>
        <w:footnoteReference w:id="42"/>
      </w:r>
      <w:r w:rsidRPr="00DE45DF">
        <w:rPr>
          <w:rFonts w:ascii="Times New Roman" w:hAnsi="Times New Roman"/>
          <w:noProof/>
          <w:sz w:val="24"/>
        </w:rPr>
        <w:t>. Un troisième élément livrable, qui porte sur les exigences en matière de notification et présentera les circonstances dans lesquelles les opérateurs de services essentiels ser</w:t>
      </w:r>
      <w:r w:rsidRPr="00DE45DF">
        <w:rPr>
          <w:rFonts w:ascii="Times New Roman" w:hAnsi="Times New Roman"/>
          <w:noProof/>
          <w:sz w:val="24"/>
        </w:rPr>
        <w:t>ont tenus de notifier un incident, devrait être bientôt adopté par procédure écrite. Le groupe a entamé des discussions sur son premier programme de travail (</w:t>
      </w:r>
      <w:r w:rsidRPr="00DE45DF">
        <w:rPr>
          <w:rFonts w:ascii="Times New Roman" w:hAnsi="Times New Roman"/>
          <w:noProof/>
          <w:sz w:val="24"/>
        </w:rPr>
        <w:t>2018</w:t>
      </w:r>
      <w:r w:rsidRPr="00DE45DF">
        <w:rPr>
          <w:rFonts w:ascii="Times New Roman" w:hAnsi="Times New Roman"/>
          <w:noProof/>
          <w:sz w:val="24"/>
        </w:rPr>
        <w:t>-</w:t>
      </w:r>
      <w:r w:rsidRPr="00DE45DF">
        <w:rPr>
          <w:rFonts w:ascii="Times New Roman" w:hAnsi="Times New Roman"/>
          <w:noProof/>
          <w:sz w:val="24"/>
        </w:rPr>
        <w:t>2020</w:t>
      </w:r>
      <w:r w:rsidRPr="00DE45DF">
        <w:rPr>
          <w:rFonts w:ascii="Times New Roman" w:hAnsi="Times New Roman"/>
          <w:noProof/>
          <w:sz w:val="24"/>
        </w:rPr>
        <w:t>), lequel devrait être adopté d’ici à février </w:t>
      </w:r>
      <w:r w:rsidRPr="00DE45DF">
        <w:rPr>
          <w:rFonts w:ascii="Times New Roman" w:hAnsi="Times New Roman"/>
          <w:noProof/>
          <w:sz w:val="24"/>
        </w:rPr>
        <w:t>2018</w:t>
      </w:r>
      <w:r w:rsidRPr="00DE45DF">
        <w:rPr>
          <w:rFonts w:ascii="Times New Roman" w:hAnsi="Times New Roman"/>
          <w:noProof/>
          <w:sz w:val="24"/>
        </w:rPr>
        <w:t xml:space="preserve">. </w:t>
      </w:r>
    </w:p>
    <w:p w:rsidR="005E240D" w:rsidRPr="00DE45DF" w:rsidRDefault="00DE45DF">
      <w:pPr>
        <w:spacing w:after="240" w:line="240" w:lineRule="auto"/>
        <w:jc w:val="both"/>
        <w:rPr>
          <w:rFonts w:ascii="Times New Roman" w:hAnsi="Times New Roman" w:cs="Times New Roman"/>
          <w:noProof/>
          <w:sz w:val="24"/>
          <w:szCs w:val="24"/>
        </w:rPr>
      </w:pPr>
      <w:r w:rsidRPr="00DE45DF">
        <w:rPr>
          <w:rFonts w:ascii="Times New Roman" w:hAnsi="Times New Roman"/>
          <w:noProof/>
          <w:sz w:val="24"/>
        </w:rPr>
        <w:t>La Commission s’est engagée dans son</w:t>
      </w:r>
      <w:r w:rsidRPr="00DE45DF">
        <w:rPr>
          <w:rFonts w:ascii="Times New Roman" w:hAnsi="Times New Roman"/>
          <w:noProof/>
          <w:sz w:val="24"/>
        </w:rPr>
        <w:t xml:space="preserve"> onzième rapport sur l’union de la sécurité</w:t>
      </w:r>
      <w:r w:rsidRPr="00DE45DF">
        <w:rPr>
          <w:rStyle w:val="FootnoteReference"/>
          <w:rFonts w:ascii="Times New Roman" w:hAnsi="Times New Roman"/>
          <w:noProof/>
          <w:sz w:val="24"/>
        </w:rPr>
        <w:footnoteReference w:id="43"/>
      </w:r>
      <w:r w:rsidRPr="00DE45DF">
        <w:rPr>
          <w:rFonts w:ascii="Times New Roman" w:hAnsi="Times New Roman"/>
          <w:noProof/>
          <w:sz w:val="24"/>
        </w:rPr>
        <w:t xml:space="preserve"> à évaluer la nécessité de doter Europol [en particulier le Centre européen de lutte contre la cybercriminalité (EC</w:t>
      </w:r>
      <w:r w:rsidRPr="00DE45DF">
        <w:rPr>
          <w:rFonts w:ascii="Times New Roman" w:hAnsi="Times New Roman"/>
          <w:noProof/>
          <w:sz w:val="24"/>
        </w:rPr>
        <w:t>3</w:t>
      </w:r>
      <w:r w:rsidRPr="00DE45DF">
        <w:rPr>
          <w:rFonts w:ascii="Times New Roman" w:hAnsi="Times New Roman"/>
          <w:noProof/>
          <w:sz w:val="24"/>
        </w:rPr>
        <w:t>)] de ressources supplémentaires afin de permettre à l’EC</w:t>
      </w:r>
      <w:r w:rsidRPr="00DE45DF">
        <w:rPr>
          <w:rFonts w:ascii="Times New Roman" w:hAnsi="Times New Roman"/>
          <w:noProof/>
          <w:sz w:val="24"/>
        </w:rPr>
        <w:t>3</w:t>
      </w:r>
      <w:r w:rsidRPr="00DE45DF">
        <w:rPr>
          <w:rFonts w:ascii="Times New Roman" w:hAnsi="Times New Roman"/>
          <w:noProof/>
          <w:sz w:val="24"/>
        </w:rPr>
        <w:t xml:space="preserve"> d’aider les États membres à s’attaque</w:t>
      </w:r>
      <w:r w:rsidRPr="00DE45DF">
        <w:rPr>
          <w:rFonts w:ascii="Times New Roman" w:hAnsi="Times New Roman"/>
          <w:noProof/>
          <w:sz w:val="24"/>
        </w:rPr>
        <w:t xml:space="preserve">r aux problèmes liés au </w:t>
      </w:r>
      <w:r w:rsidRPr="00DE45DF">
        <w:rPr>
          <w:rFonts w:ascii="Times New Roman" w:hAnsi="Times New Roman"/>
          <w:b/>
          <w:noProof/>
          <w:sz w:val="24"/>
        </w:rPr>
        <w:t>chiffrement dans les enquêtes pénales</w:t>
      </w:r>
      <w:r w:rsidRPr="00DE45DF">
        <w:rPr>
          <w:rFonts w:ascii="Times New Roman" w:hAnsi="Times New Roman"/>
          <w:noProof/>
          <w:sz w:val="24"/>
        </w:rPr>
        <w:t xml:space="preserve">. Compte tenu des économies d’échelle rendues possibles par la fourniture de capacités au niveau de l’Union (par rapport à des solutions individuelles au niveau des États membres), la Commission </w:t>
      </w:r>
      <w:r w:rsidRPr="00DE45DF">
        <w:rPr>
          <w:rFonts w:ascii="Times New Roman" w:hAnsi="Times New Roman"/>
          <w:noProof/>
          <w:sz w:val="24"/>
        </w:rPr>
        <w:t xml:space="preserve">a également pris note de la nécessité de renforcer le soutien dans ce domaine, comme demandé par le Conseil «Justice et affaires intérieures» les </w:t>
      </w:r>
      <w:r w:rsidRPr="00DE45DF">
        <w:rPr>
          <w:rFonts w:ascii="Times New Roman" w:hAnsi="Times New Roman"/>
          <w:noProof/>
          <w:sz w:val="24"/>
        </w:rPr>
        <w:t>7</w:t>
      </w:r>
      <w:r w:rsidRPr="00DE45DF">
        <w:rPr>
          <w:rFonts w:ascii="Times New Roman" w:hAnsi="Times New Roman"/>
          <w:noProof/>
          <w:sz w:val="24"/>
        </w:rPr>
        <w:t xml:space="preserve"> et </w:t>
      </w:r>
      <w:r w:rsidRPr="00DE45DF">
        <w:rPr>
          <w:rFonts w:ascii="Times New Roman" w:hAnsi="Times New Roman"/>
          <w:noProof/>
          <w:sz w:val="24"/>
        </w:rPr>
        <w:t>8</w:t>
      </w:r>
      <w:r w:rsidRPr="00DE45DF">
        <w:rPr>
          <w:rFonts w:ascii="Times New Roman" w:hAnsi="Times New Roman"/>
          <w:noProof/>
          <w:sz w:val="24"/>
        </w:rPr>
        <w:t> décembre </w:t>
      </w:r>
      <w:r w:rsidRPr="00DE45DF">
        <w:rPr>
          <w:rFonts w:ascii="Times New Roman" w:hAnsi="Times New Roman"/>
          <w:noProof/>
          <w:sz w:val="24"/>
        </w:rPr>
        <w:t>2017</w:t>
      </w:r>
      <w:r w:rsidRPr="00DE45DF">
        <w:rPr>
          <w:rFonts w:ascii="Times New Roman" w:hAnsi="Times New Roman"/>
          <w:noProof/>
          <w:sz w:val="24"/>
        </w:rPr>
        <w:t>. L’évaluation des besoins spécifiques de ressources supplémentaires est en cours et la Co</w:t>
      </w:r>
      <w:r w:rsidRPr="00DE45DF">
        <w:rPr>
          <w:rFonts w:ascii="Times New Roman" w:hAnsi="Times New Roman"/>
          <w:noProof/>
          <w:sz w:val="24"/>
        </w:rPr>
        <w:t>mmission rendra compte, dans son prochain rapport sur l’union de la sécurité, des fonds mis à disposition à cette fin. Permettre aux services répressifs des États membres d’utiliser les instruments fournis par l’EC</w:t>
      </w:r>
      <w:r w:rsidRPr="00DE45DF">
        <w:rPr>
          <w:rFonts w:ascii="Times New Roman" w:hAnsi="Times New Roman"/>
          <w:noProof/>
          <w:sz w:val="24"/>
        </w:rPr>
        <w:t>3</w:t>
      </w:r>
      <w:r w:rsidRPr="00DE45DF">
        <w:rPr>
          <w:rFonts w:ascii="Times New Roman" w:hAnsi="Times New Roman"/>
          <w:noProof/>
          <w:sz w:val="24"/>
        </w:rPr>
        <w:t xml:space="preserve"> dans un domaine en perpétuelle mutation </w:t>
      </w:r>
      <w:r w:rsidRPr="00DE45DF">
        <w:rPr>
          <w:rFonts w:ascii="Times New Roman" w:hAnsi="Times New Roman"/>
          <w:noProof/>
          <w:sz w:val="24"/>
        </w:rPr>
        <w:t>procurera le meilleur retour sur investissement et garantira que les capacités européennes restent adaptées aux défis, sans interdire, limiter ou affaiblir le chiffrement.</w:t>
      </w:r>
    </w:p>
    <w:p w:rsidR="005E240D" w:rsidRPr="00DE45DF" w:rsidRDefault="00DE45DF">
      <w:pPr>
        <w:spacing w:after="240" w:line="240" w:lineRule="auto"/>
        <w:jc w:val="both"/>
        <w:rPr>
          <w:rFonts w:ascii="Times New Roman" w:hAnsi="Times New Roman" w:cs="Times New Roman"/>
          <w:noProof/>
          <w:sz w:val="24"/>
          <w:szCs w:val="24"/>
        </w:rPr>
      </w:pPr>
      <w:r w:rsidRPr="00DE45DF">
        <w:rPr>
          <w:rFonts w:ascii="Times New Roman" w:hAnsi="Times New Roman"/>
          <w:noProof/>
          <w:sz w:val="24"/>
        </w:rPr>
        <w:t xml:space="preserve">Lors de la réunion du Conseil «Justice et affaires intérieures» des </w:t>
      </w:r>
      <w:r w:rsidRPr="00DE45DF">
        <w:rPr>
          <w:rFonts w:ascii="Times New Roman" w:hAnsi="Times New Roman"/>
          <w:noProof/>
          <w:sz w:val="24"/>
        </w:rPr>
        <w:t>7</w:t>
      </w:r>
      <w:r w:rsidRPr="00DE45DF">
        <w:rPr>
          <w:rFonts w:ascii="Times New Roman" w:hAnsi="Times New Roman"/>
          <w:noProof/>
          <w:sz w:val="24"/>
        </w:rPr>
        <w:t xml:space="preserve"> et </w:t>
      </w:r>
      <w:r w:rsidRPr="00DE45DF">
        <w:rPr>
          <w:rFonts w:ascii="Times New Roman" w:hAnsi="Times New Roman"/>
          <w:noProof/>
          <w:sz w:val="24"/>
        </w:rPr>
        <w:t>8</w:t>
      </w:r>
      <w:r w:rsidRPr="00DE45DF">
        <w:rPr>
          <w:rFonts w:ascii="Times New Roman" w:hAnsi="Times New Roman"/>
          <w:noProof/>
          <w:sz w:val="24"/>
        </w:rPr>
        <w:t> décembre </w:t>
      </w:r>
      <w:r w:rsidRPr="00DE45DF">
        <w:rPr>
          <w:rFonts w:ascii="Times New Roman" w:hAnsi="Times New Roman"/>
          <w:noProof/>
          <w:sz w:val="24"/>
        </w:rPr>
        <w:t>2017</w:t>
      </w:r>
      <w:r w:rsidRPr="00DE45DF">
        <w:rPr>
          <w:rFonts w:ascii="Times New Roman" w:hAnsi="Times New Roman"/>
          <w:noProof/>
          <w:sz w:val="24"/>
        </w:rPr>
        <w:t xml:space="preserve">, les États membres ont décidé de poursuivre les discussions au niveau des experts en vue de dégager une conception commune des solutions possibles en matière de </w:t>
      </w:r>
      <w:r w:rsidRPr="00DE45DF">
        <w:rPr>
          <w:rFonts w:ascii="Times New Roman" w:hAnsi="Times New Roman"/>
          <w:b/>
          <w:noProof/>
          <w:sz w:val="24"/>
        </w:rPr>
        <w:t>conservation des données</w:t>
      </w:r>
      <w:r w:rsidRPr="00DE45DF">
        <w:rPr>
          <w:rFonts w:ascii="Times New Roman" w:hAnsi="Times New Roman"/>
          <w:noProof/>
          <w:sz w:val="24"/>
        </w:rPr>
        <w:t xml:space="preserve"> conformément à l’arrêt Tele</w:t>
      </w:r>
      <w:r w:rsidRPr="00DE45DF">
        <w:rPr>
          <w:rFonts w:ascii="Times New Roman" w:hAnsi="Times New Roman"/>
          <w:noProof/>
          <w:sz w:val="24"/>
        </w:rPr>
        <w:t>2</w:t>
      </w:r>
      <w:r w:rsidRPr="00DE45DF">
        <w:rPr>
          <w:rFonts w:ascii="Times New Roman" w:hAnsi="Times New Roman"/>
          <w:noProof/>
          <w:sz w:val="24"/>
        </w:rPr>
        <w:t xml:space="preserve"> du </w:t>
      </w:r>
      <w:r w:rsidRPr="00DE45DF">
        <w:rPr>
          <w:rFonts w:ascii="Times New Roman" w:hAnsi="Times New Roman"/>
          <w:noProof/>
          <w:sz w:val="24"/>
        </w:rPr>
        <w:t>21</w:t>
      </w:r>
      <w:r w:rsidRPr="00DE45DF">
        <w:rPr>
          <w:rFonts w:ascii="Times New Roman" w:hAnsi="Times New Roman"/>
          <w:noProof/>
          <w:sz w:val="24"/>
        </w:rPr>
        <w:t> décembre </w:t>
      </w:r>
      <w:r w:rsidRPr="00DE45DF">
        <w:rPr>
          <w:rFonts w:ascii="Times New Roman" w:hAnsi="Times New Roman"/>
          <w:noProof/>
          <w:sz w:val="24"/>
        </w:rPr>
        <w:t>2016</w:t>
      </w:r>
      <w:r w:rsidRPr="00DE45DF">
        <w:rPr>
          <w:rFonts w:ascii="Times New Roman" w:hAnsi="Times New Roman"/>
          <w:noProof/>
          <w:sz w:val="24"/>
        </w:rPr>
        <w:t>. La Commission c</w:t>
      </w:r>
      <w:r w:rsidRPr="00DE45DF">
        <w:rPr>
          <w:rFonts w:ascii="Times New Roman" w:hAnsi="Times New Roman"/>
          <w:noProof/>
          <w:sz w:val="24"/>
        </w:rPr>
        <w:t>ontinuera à soutenir les États membres dans ce processus. La Commission considère que ce processus fait partie de sa propre évaluation des implications de l’arrêt et de ses travaux en cours visant à finaliser ses orientations sur la voie à suivre en matièr</w:t>
      </w:r>
      <w:r w:rsidRPr="00DE45DF">
        <w:rPr>
          <w:rFonts w:ascii="Times New Roman" w:hAnsi="Times New Roman"/>
          <w:noProof/>
          <w:sz w:val="24"/>
        </w:rPr>
        <w:t xml:space="preserve">e de conservation des données, comme annoncé dans son programme de travail pour </w:t>
      </w:r>
      <w:r w:rsidRPr="00DE45DF">
        <w:rPr>
          <w:rFonts w:ascii="Times New Roman" w:hAnsi="Times New Roman"/>
          <w:noProof/>
          <w:sz w:val="24"/>
        </w:rPr>
        <w:t>2018</w:t>
      </w:r>
      <w:r w:rsidRPr="00DE45DF">
        <w:rPr>
          <w:rFonts w:ascii="Times New Roman" w:hAnsi="Times New Roman"/>
          <w:noProof/>
          <w:sz w:val="24"/>
        </w:rPr>
        <w:t>.</w:t>
      </w:r>
      <w:r w:rsidRPr="00DE45DF">
        <w:rPr>
          <w:noProof/>
          <w:sz w:val="23"/>
        </w:rPr>
        <w:t xml:space="preserve"> </w:t>
      </w:r>
    </w:p>
    <w:p w:rsidR="005E240D" w:rsidRPr="00DE45DF" w:rsidRDefault="00DE45DF">
      <w:pPr>
        <w:spacing w:after="240" w:line="240" w:lineRule="auto"/>
        <w:jc w:val="both"/>
        <w:rPr>
          <w:rFonts w:ascii="Times New Roman" w:hAnsi="Times New Roman" w:cs="Times New Roman"/>
          <w:noProof/>
          <w:sz w:val="24"/>
          <w:szCs w:val="24"/>
        </w:rPr>
      </w:pPr>
      <w:r w:rsidRPr="00DE45DF">
        <w:rPr>
          <w:rFonts w:ascii="Times New Roman" w:hAnsi="Times New Roman"/>
          <w:noProof/>
          <w:sz w:val="24"/>
        </w:rPr>
        <w:t xml:space="preserve">Comme cela avait été annoncé précédemment, la Commission envisage de présenter une initiative législative sur les </w:t>
      </w:r>
      <w:r w:rsidRPr="00DE45DF">
        <w:rPr>
          <w:rFonts w:ascii="Times New Roman" w:hAnsi="Times New Roman"/>
          <w:b/>
          <w:noProof/>
          <w:sz w:val="24"/>
        </w:rPr>
        <w:t>preuves électroniques</w:t>
      </w:r>
      <w:r w:rsidRPr="00DE45DF">
        <w:rPr>
          <w:rFonts w:ascii="Times New Roman" w:hAnsi="Times New Roman"/>
          <w:noProof/>
          <w:sz w:val="24"/>
        </w:rPr>
        <w:t xml:space="preserve"> au début </w:t>
      </w:r>
      <w:r w:rsidRPr="00DE45DF">
        <w:rPr>
          <w:rFonts w:ascii="Times New Roman" w:hAnsi="Times New Roman"/>
          <w:noProof/>
          <w:sz w:val="24"/>
        </w:rPr>
        <w:t>2018</w:t>
      </w:r>
      <w:r w:rsidRPr="00DE45DF">
        <w:rPr>
          <w:rFonts w:ascii="Times New Roman" w:hAnsi="Times New Roman"/>
          <w:noProof/>
          <w:sz w:val="24"/>
        </w:rPr>
        <w:t xml:space="preserve">, afin de faciliter </w:t>
      </w:r>
      <w:r w:rsidRPr="00DE45DF">
        <w:rPr>
          <w:rFonts w:ascii="Times New Roman" w:hAnsi="Times New Roman"/>
          <w:noProof/>
          <w:sz w:val="24"/>
        </w:rPr>
        <w:t xml:space="preserve">l’accès des services répressifs aux preuves électroniques situées dans un autre pays. </w:t>
      </w:r>
    </w:p>
    <w:p w:rsidR="005E240D" w:rsidRPr="00DE45DF" w:rsidRDefault="00DE45DF">
      <w:pPr>
        <w:pStyle w:val="ListParagraph"/>
        <w:numPr>
          <w:ilvl w:val="0"/>
          <w:numId w:val="31"/>
        </w:numPr>
        <w:spacing w:after="120" w:line="240" w:lineRule="auto"/>
        <w:jc w:val="both"/>
        <w:rPr>
          <w:rFonts w:ascii="Times New Roman" w:hAnsi="Times New Roman" w:cs="Times New Roman"/>
          <w:i/>
          <w:noProof/>
          <w:sz w:val="24"/>
          <w:szCs w:val="24"/>
        </w:rPr>
      </w:pPr>
      <w:r w:rsidRPr="00DE45DF">
        <w:rPr>
          <w:rFonts w:ascii="Times New Roman" w:hAnsi="Times New Roman"/>
          <w:i/>
          <w:noProof/>
          <w:sz w:val="24"/>
        </w:rPr>
        <w:t xml:space="preserve">Lutter contre la radicalisation </w:t>
      </w:r>
    </w:p>
    <w:p w:rsidR="005E240D" w:rsidRPr="00DE45DF" w:rsidRDefault="00DE45DF">
      <w:pPr>
        <w:spacing w:after="240" w:line="240" w:lineRule="auto"/>
        <w:jc w:val="both"/>
        <w:rPr>
          <w:rFonts w:ascii="Times New Roman" w:hAnsi="Times New Roman" w:cs="Times New Roman"/>
          <w:noProof/>
          <w:sz w:val="24"/>
          <w:szCs w:val="24"/>
        </w:rPr>
      </w:pPr>
      <w:r w:rsidRPr="00DE45DF">
        <w:rPr>
          <w:rFonts w:ascii="Times New Roman" w:hAnsi="Times New Roman"/>
          <w:noProof/>
          <w:sz w:val="24"/>
        </w:rPr>
        <w:t>Depuis le dernier rapport sur l’union de la sécurité, la Commission a poursuivi ses efforts de lutte contre la radicalisation, à la fois</w:t>
      </w:r>
      <w:r w:rsidRPr="00DE45DF">
        <w:rPr>
          <w:rFonts w:ascii="Times New Roman" w:hAnsi="Times New Roman"/>
          <w:noProof/>
          <w:sz w:val="24"/>
        </w:rPr>
        <w:t xml:space="preserve"> en ligne et hors ligne. </w:t>
      </w:r>
    </w:p>
    <w:p w:rsidR="005E240D" w:rsidRPr="00DE45DF" w:rsidRDefault="00DE45DF">
      <w:pPr>
        <w:spacing w:after="240" w:line="240" w:lineRule="auto"/>
        <w:jc w:val="both"/>
        <w:rPr>
          <w:rFonts w:ascii="Times New Roman" w:hAnsi="Times New Roman" w:cs="Times New Roman"/>
          <w:noProof/>
          <w:sz w:val="24"/>
          <w:szCs w:val="24"/>
        </w:rPr>
      </w:pPr>
      <w:r w:rsidRPr="00DE45DF">
        <w:rPr>
          <w:rFonts w:ascii="Times New Roman" w:hAnsi="Times New Roman"/>
          <w:noProof/>
          <w:sz w:val="24"/>
        </w:rPr>
        <w:t xml:space="preserve">Le </w:t>
      </w:r>
      <w:r w:rsidRPr="00DE45DF">
        <w:rPr>
          <w:rFonts w:ascii="Times New Roman" w:hAnsi="Times New Roman"/>
          <w:b/>
          <w:noProof/>
          <w:sz w:val="24"/>
        </w:rPr>
        <w:t>groupe d’experts de haut niveau sur la radicalisation</w:t>
      </w:r>
      <w:r w:rsidRPr="00DE45DF">
        <w:rPr>
          <w:rFonts w:ascii="Times New Roman" w:hAnsi="Times New Roman"/>
          <w:noProof/>
          <w:sz w:val="24"/>
        </w:rPr>
        <w:t>, créé en juillet </w:t>
      </w:r>
      <w:r w:rsidRPr="00DE45DF">
        <w:rPr>
          <w:rFonts w:ascii="Times New Roman" w:hAnsi="Times New Roman"/>
          <w:noProof/>
          <w:sz w:val="24"/>
        </w:rPr>
        <w:t>2017</w:t>
      </w:r>
      <w:r w:rsidRPr="00DE45DF">
        <w:rPr>
          <w:rFonts w:ascii="Times New Roman" w:hAnsi="Times New Roman"/>
          <w:noProof/>
          <w:sz w:val="24"/>
        </w:rPr>
        <w:t xml:space="preserve">, a poursuivi à un rythme élevé ses travaux en vue de son premier rapport intermédiaire, qui a été adopté par les membres du groupe le </w:t>
      </w:r>
      <w:r w:rsidRPr="00DE45DF">
        <w:rPr>
          <w:rFonts w:ascii="Times New Roman" w:hAnsi="Times New Roman"/>
          <w:noProof/>
          <w:sz w:val="24"/>
        </w:rPr>
        <w:t>24</w:t>
      </w:r>
      <w:r w:rsidRPr="00DE45DF">
        <w:rPr>
          <w:rFonts w:ascii="Times New Roman" w:hAnsi="Times New Roman"/>
          <w:noProof/>
          <w:sz w:val="24"/>
        </w:rPr>
        <w:t> novembre </w:t>
      </w:r>
      <w:r w:rsidRPr="00DE45DF">
        <w:rPr>
          <w:rFonts w:ascii="Times New Roman" w:hAnsi="Times New Roman"/>
          <w:noProof/>
          <w:sz w:val="24"/>
        </w:rPr>
        <w:t>2017</w:t>
      </w:r>
      <w:r w:rsidRPr="00DE45DF">
        <w:rPr>
          <w:rFonts w:ascii="Times New Roman" w:hAnsi="Times New Roman"/>
          <w:noProof/>
          <w:sz w:val="24"/>
        </w:rPr>
        <w:t>.</w:t>
      </w:r>
      <w:r w:rsidRPr="00DE45DF">
        <w:rPr>
          <w:rFonts w:ascii="Times New Roman" w:hAnsi="Times New Roman"/>
          <w:noProof/>
          <w:sz w:val="24"/>
        </w:rPr>
        <w:t xml:space="preserve"> Dans ses constatations et recommandations préliminaires, le groupe a recensé plusieurs thèmes et questions transversales prioritaires, dont la radicalisation dans les prisons, les réponses locales dans un cadre associant plusieurs services, le renforcemen</w:t>
      </w:r>
      <w:r w:rsidRPr="00DE45DF">
        <w:rPr>
          <w:rFonts w:ascii="Times New Roman" w:hAnsi="Times New Roman"/>
          <w:noProof/>
          <w:sz w:val="24"/>
        </w:rPr>
        <w:t>t des connaissances sur les parcours de radicalisation, les mécanismes et structures de coopération, l’éducation et l’inclusion sociale, ainsi que la dimension extérieure de la prévention. La Commission exposera son point de vue sur ces constatations et re</w:t>
      </w:r>
      <w:r w:rsidRPr="00DE45DF">
        <w:rPr>
          <w:rFonts w:ascii="Times New Roman" w:hAnsi="Times New Roman"/>
          <w:noProof/>
          <w:sz w:val="24"/>
        </w:rPr>
        <w:t xml:space="preserve">commandations préliminaires dans le prochain rapport sur l’union de la sécurité. </w:t>
      </w:r>
    </w:p>
    <w:p w:rsidR="005E240D" w:rsidRPr="00DE45DF" w:rsidRDefault="00DE45DF">
      <w:pPr>
        <w:spacing w:after="240" w:line="240" w:lineRule="auto"/>
        <w:jc w:val="both"/>
        <w:rPr>
          <w:rFonts w:ascii="Times New Roman" w:hAnsi="Times New Roman" w:cs="Times New Roman"/>
          <w:noProof/>
          <w:sz w:val="24"/>
          <w:szCs w:val="24"/>
        </w:rPr>
      </w:pPr>
      <w:r w:rsidRPr="00DE45DF">
        <w:rPr>
          <w:rFonts w:ascii="Times New Roman" w:hAnsi="Times New Roman"/>
          <w:noProof/>
          <w:sz w:val="24"/>
        </w:rPr>
        <w:t xml:space="preserve">La troisième réunion ministérielle du </w:t>
      </w:r>
      <w:r w:rsidRPr="00DE45DF">
        <w:rPr>
          <w:rFonts w:ascii="Times New Roman" w:hAnsi="Times New Roman"/>
          <w:b/>
          <w:noProof/>
          <w:sz w:val="24"/>
        </w:rPr>
        <w:t>forum de l’UE sur l’internet</w:t>
      </w:r>
      <w:r w:rsidRPr="00DE45DF">
        <w:rPr>
          <w:rFonts w:ascii="Times New Roman" w:hAnsi="Times New Roman"/>
          <w:noProof/>
          <w:sz w:val="24"/>
        </w:rPr>
        <w:t xml:space="preserve"> a eu lieu le </w:t>
      </w:r>
      <w:r w:rsidRPr="00DE45DF">
        <w:rPr>
          <w:rFonts w:ascii="Times New Roman" w:hAnsi="Times New Roman"/>
          <w:noProof/>
          <w:sz w:val="24"/>
        </w:rPr>
        <w:t>6</w:t>
      </w:r>
      <w:r w:rsidRPr="00DE45DF">
        <w:rPr>
          <w:rFonts w:ascii="Times New Roman" w:hAnsi="Times New Roman"/>
          <w:noProof/>
          <w:sz w:val="24"/>
        </w:rPr>
        <w:t> décembre </w:t>
      </w:r>
      <w:r w:rsidRPr="00DE45DF">
        <w:rPr>
          <w:rFonts w:ascii="Times New Roman" w:hAnsi="Times New Roman"/>
          <w:noProof/>
          <w:sz w:val="24"/>
        </w:rPr>
        <w:t>2017</w:t>
      </w:r>
      <w:r w:rsidRPr="00DE45DF">
        <w:rPr>
          <w:rFonts w:ascii="Times New Roman" w:hAnsi="Times New Roman"/>
          <w:noProof/>
          <w:sz w:val="24"/>
        </w:rPr>
        <w:t xml:space="preserve"> et a rassemblé les États membres, des entreprises du secteur de l’internet, Europol, des universitaires et des représentants de la société civile</w:t>
      </w:r>
      <w:r w:rsidRPr="00DE45DF">
        <w:rPr>
          <w:rStyle w:val="FootnoteReference"/>
          <w:rFonts w:ascii="Times New Roman" w:hAnsi="Times New Roman"/>
          <w:noProof/>
          <w:sz w:val="24"/>
        </w:rPr>
        <w:footnoteReference w:id="44"/>
      </w:r>
      <w:r w:rsidRPr="00DE45DF">
        <w:rPr>
          <w:noProof/>
        </w:rPr>
        <w:t>.</w:t>
      </w:r>
      <w:r w:rsidRPr="00DE45DF">
        <w:rPr>
          <w:rFonts w:ascii="Times New Roman" w:hAnsi="Times New Roman"/>
          <w:noProof/>
          <w:sz w:val="24"/>
        </w:rPr>
        <w:t xml:space="preserve"> Les progrès réalisés dans le cadre du plan d’action visant à lutter contre les contenus à caractère terrori</w:t>
      </w:r>
      <w:r w:rsidRPr="00DE45DF">
        <w:rPr>
          <w:rFonts w:ascii="Times New Roman" w:hAnsi="Times New Roman"/>
          <w:noProof/>
          <w:sz w:val="24"/>
        </w:rPr>
        <w:t>ste en ligne ont été évalués, et cette évaluation a porté sur l’automatisation de la détection des contenus à caractère terroriste, l’amélioration des bases de données d’empreintes numériques des entreprises en vue d’enrayer la diffusion de ces contenus, l</w:t>
      </w:r>
      <w:r w:rsidRPr="00DE45DF">
        <w:rPr>
          <w:rFonts w:ascii="Times New Roman" w:hAnsi="Times New Roman"/>
          <w:noProof/>
          <w:sz w:val="24"/>
        </w:rPr>
        <w:t>e renforcement des signalements ainsi que la fourniture à la société civile des moyens d’accroître les contre-discours visant à combattre la propagande terroriste. Les entreprises du secteur de l’internet ont signalé que la base de données des contenus à c</w:t>
      </w:r>
      <w:r w:rsidRPr="00DE45DF">
        <w:rPr>
          <w:rFonts w:ascii="Times New Roman" w:hAnsi="Times New Roman"/>
          <w:noProof/>
          <w:sz w:val="24"/>
        </w:rPr>
        <w:t xml:space="preserve">aractère terroriste connus («database of hashes»), annoncée lors du forum de l’UE sur l’internet </w:t>
      </w:r>
      <w:r w:rsidRPr="00DE45DF">
        <w:rPr>
          <w:rFonts w:ascii="Times New Roman" w:hAnsi="Times New Roman"/>
          <w:noProof/>
          <w:sz w:val="24"/>
        </w:rPr>
        <w:t>2016</w:t>
      </w:r>
      <w:r w:rsidRPr="00DE45DF">
        <w:rPr>
          <w:rFonts w:ascii="Times New Roman" w:hAnsi="Times New Roman"/>
          <w:noProof/>
          <w:sz w:val="24"/>
        </w:rPr>
        <w:t xml:space="preserve"> et lancée au printemps </w:t>
      </w:r>
      <w:r w:rsidRPr="00DE45DF">
        <w:rPr>
          <w:rFonts w:ascii="Times New Roman" w:hAnsi="Times New Roman"/>
          <w:noProof/>
          <w:sz w:val="24"/>
        </w:rPr>
        <w:t>2017</w:t>
      </w:r>
      <w:r w:rsidRPr="00DE45DF">
        <w:rPr>
          <w:rFonts w:ascii="Times New Roman" w:hAnsi="Times New Roman"/>
          <w:noProof/>
          <w:sz w:val="24"/>
        </w:rPr>
        <w:t xml:space="preserve">, est désormais opérationnelle et a déjà recueilli plus de </w:t>
      </w:r>
      <w:r w:rsidRPr="00DE45DF">
        <w:rPr>
          <w:rFonts w:ascii="Times New Roman" w:hAnsi="Times New Roman"/>
          <w:noProof/>
          <w:sz w:val="24"/>
        </w:rPr>
        <w:t>40</w:t>
      </w:r>
      <w:r w:rsidRPr="00DE45DF">
        <w:rPr>
          <w:rFonts w:ascii="Times New Roman" w:hAnsi="Times New Roman"/>
          <w:noProof/>
          <w:sz w:val="24"/>
        </w:rPr>
        <w:t> </w:t>
      </w:r>
      <w:r w:rsidRPr="00DE45DF">
        <w:rPr>
          <w:rFonts w:ascii="Times New Roman" w:hAnsi="Times New Roman"/>
          <w:noProof/>
          <w:sz w:val="24"/>
        </w:rPr>
        <w:t>000</w:t>
      </w:r>
      <w:r w:rsidRPr="00DE45DF">
        <w:rPr>
          <w:rFonts w:ascii="Times New Roman" w:hAnsi="Times New Roman"/>
          <w:noProof/>
          <w:sz w:val="24"/>
        </w:rPr>
        <w:t> empreintes numériques («hashes») de vidéos et d’images à cara</w:t>
      </w:r>
      <w:r w:rsidRPr="00DE45DF">
        <w:rPr>
          <w:rFonts w:ascii="Times New Roman" w:hAnsi="Times New Roman"/>
          <w:noProof/>
          <w:sz w:val="24"/>
        </w:rPr>
        <w:t>ctère terroriste connues. Le potentiel de cet outil devrait désormais être pleinement exploité et des informations relatives au nombre et à la rapidité des suppressions résultant de la base de données d’empreintes numériques devraient être régulièrement co</w:t>
      </w:r>
      <w:r w:rsidRPr="00DE45DF">
        <w:rPr>
          <w:rFonts w:ascii="Times New Roman" w:hAnsi="Times New Roman"/>
          <w:noProof/>
          <w:sz w:val="24"/>
        </w:rPr>
        <w:t>mmuniquées aux membres du forum de l’UE sur l’internet. Le taux des signalements non automatisés, tels que ceux qui parviennent de l’unité de l’UE chargée du signalement des contenus sur l’internet, continue également à augmenter et les entreprises ont été</w:t>
      </w:r>
      <w:r w:rsidRPr="00DE45DF">
        <w:rPr>
          <w:rFonts w:ascii="Times New Roman" w:hAnsi="Times New Roman"/>
          <w:noProof/>
          <w:sz w:val="24"/>
        </w:rPr>
        <w:t xml:space="preserve"> invitées à accroître à la fois la rapidité des suppressions et la périodicité des rapports au forum de l’UE sur l’internet. Les plateformes internet ont indiqué qu’elles s’appuient de plus en plus sur des outils automatiques pour la détection des contenus</w:t>
      </w:r>
      <w:r w:rsidRPr="00DE45DF">
        <w:rPr>
          <w:rFonts w:ascii="Times New Roman" w:hAnsi="Times New Roman"/>
          <w:noProof/>
          <w:sz w:val="24"/>
        </w:rPr>
        <w:t xml:space="preserve"> à caractère terroriste</w:t>
      </w:r>
      <w:r w:rsidRPr="00DE45DF">
        <w:rPr>
          <w:rStyle w:val="FootnoteReference"/>
          <w:rFonts w:ascii="Times New Roman" w:hAnsi="Times New Roman"/>
          <w:noProof/>
          <w:sz w:val="24"/>
        </w:rPr>
        <w:footnoteReference w:id="45"/>
      </w:r>
      <w:r w:rsidRPr="00DE45DF">
        <w:rPr>
          <w:noProof/>
        </w:rPr>
        <w:t>.</w:t>
      </w:r>
      <w:r w:rsidRPr="00DE45DF">
        <w:rPr>
          <w:rFonts w:ascii="Times New Roman" w:hAnsi="Times New Roman"/>
          <w:noProof/>
          <w:sz w:val="24"/>
        </w:rPr>
        <w:t xml:space="preserve"> Il est également important de renforcer la transparence, la cohérence et la régularité de la communication des résultats. Toutes les entreprises du secteur de l’internet doivent participer à cet effort commun et partager avec les </w:t>
      </w:r>
      <w:r w:rsidRPr="00DE45DF">
        <w:rPr>
          <w:rFonts w:ascii="Times New Roman" w:hAnsi="Times New Roman"/>
          <w:noProof/>
          <w:sz w:val="24"/>
        </w:rPr>
        <w:t>autres plateformes les informations importantes sur les suppressions de contenus, en ayant pour priorité de toucher les entreprises nouvelles et les petites entreprises qui ne sont pas encore engagées dans cette voie et de les associer à l’initiative.</w:t>
      </w:r>
    </w:p>
    <w:p w:rsidR="005E240D" w:rsidRPr="00DE45DF" w:rsidRDefault="00DE45DF">
      <w:pPr>
        <w:spacing w:after="240" w:line="240" w:lineRule="auto"/>
        <w:jc w:val="both"/>
        <w:rPr>
          <w:rFonts w:ascii="Times New Roman" w:hAnsi="Times New Roman" w:cs="Times New Roman"/>
          <w:noProof/>
          <w:sz w:val="24"/>
          <w:szCs w:val="24"/>
        </w:rPr>
      </w:pPr>
      <w:r w:rsidRPr="00DE45DF">
        <w:rPr>
          <w:rFonts w:ascii="Times New Roman" w:hAnsi="Times New Roman"/>
          <w:noProof/>
          <w:sz w:val="24"/>
        </w:rPr>
        <w:t xml:space="preserve">Les </w:t>
      </w:r>
      <w:r w:rsidRPr="00DE45DF">
        <w:rPr>
          <w:rFonts w:ascii="Times New Roman" w:hAnsi="Times New Roman"/>
          <w:noProof/>
          <w:sz w:val="24"/>
        </w:rPr>
        <w:t>résultats du forum de l’UE sur l’internet serviront aussi de base à des efforts politiques à plus grande échelle concernant les contenus illégaux en ligne, et la Commission a annoncé qu’elle continuera à promouvoir la coopération avec les entreprises de mé</w:t>
      </w:r>
      <w:r w:rsidRPr="00DE45DF">
        <w:rPr>
          <w:rFonts w:ascii="Times New Roman" w:hAnsi="Times New Roman"/>
          <w:noProof/>
          <w:sz w:val="24"/>
        </w:rPr>
        <w:t>dias sociaux pour détecter et supprimer les contenus à caractère terroriste et autres contenus illégaux en ligne et, si nécessaire, qu’elle proposera des mesures législatives dans le domaine de la suppression des contenus à caractère terroriste</w:t>
      </w:r>
      <w:r w:rsidRPr="00DE45DF">
        <w:rPr>
          <w:rStyle w:val="FootnoteReference"/>
          <w:rFonts w:ascii="Times New Roman" w:hAnsi="Times New Roman"/>
          <w:noProof/>
          <w:sz w:val="24"/>
        </w:rPr>
        <w:footnoteReference w:id="46"/>
      </w:r>
      <w:r w:rsidRPr="00DE45DF">
        <w:rPr>
          <w:noProof/>
        </w:rPr>
        <w:t>.</w:t>
      </w:r>
    </w:p>
    <w:p w:rsidR="005E240D" w:rsidRPr="00DE45DF" w:rsidRDefault="00DE45DF">
      <w:pPr>
        <w:pStyle w:val="ListParagraph"/>
        <w:numPr>
          <w:ilvl w:val="0"/>
          <w:numId w:val="31"/>
        </w:numPr>
        <w:spacing w:after="120" w:line="240" w:lineRule="auto"/>
        <w:jc w:val="both"/>
        <w:rPr>
          <w:rFonts w:ascii="Times New Roman" w:hAnsi="Times New Roman" w:cs="Times New Roman"/>
          <w:noProof/>
          <w:sz w:val="24"/>
          <w:szCs w:val="24"/>
        </w:rPr>
      </w:pPr>
      <w:r w:rsidRPr="00DE45DF">
        <w:rPr>
          <w:rFonts w:ascii="Times New Roman" w:hAnsi="Times New Roman"/>
          <w:i/>
          <w:noProof/>
          <w:sz w:val="24"/>
        </w:rPr>
        <w:t>Dimension</w:t>
      </w:r>
      <w:r w:rsidRPr="00DE45DF">
        <w:rPr>
          <w:rFonts w:ascii="Times New Roman" w:hAnsi="Times New Roman"/>
          <w:i/>
          <w:noProof/>
          <w:sz w:val="24"/>
        </w:rPr>
        <w:t xml:space="preserve"> extérieure</w:t>
      </w:r>
    </w:p>
    <w:p w:rsidR="005E240D" w:rsidRPr="00DE45DF" w:rsidRDefault="00DE45DF">
      <w:pPr>
        <w:spacing w:after="240" w:line="240" w:lineRule="auto"/>
        <w:jc w:val="both"/>
        <w:rPr>
          <w:rFonts w:ascii="Times New Roman" w:hAnsi="Times New Roman" w:cs="Times New Roman"/>
          <w:noProof/>
          <w:sz w:val="24"/>
          <w:szCs w:val="24"/>
        </w:rPr>
      </w:pPr>
      <w:r w:rsidRPr="00DE45DF">
        <w:rPr>
          <w:rFonts w:ascii="Times New Roman" w:hAnsi="Times New Roman"/>
          <w:noProof/>
          <w:sz w:val="24"/>
        </w:rPr>
        <w:t xml:space="preserve">Le </w:t>
      </w:r>
      <w:r w:rsidRPr="00DE45DF">
        <w:rPr>
          <w:rFonts w:ascii="Times New Roman" w:hAnsi="Times New Roman"/>
          <w:noProof/>
          <w:sz w:val="24"/>
        </w:rPr>
        <w:t>7</w:t>
      </w:r>
      <w:r w:rsidRPr="00DE45DF">
        <w:rPr>
          <w:rFonts w:ascii="Times New Roman" w:hAnsi="Times New Roman"/>
          <w:noProof/>
          <w:sz w:val="24"/>
        </w:rPr>
        <w:t> décembre </w:t>
      </w:r>
      <w:r w:rsidRPr="00DE45DF">
        <w:rPr>
          <w:rFonts w:ascii="Times New Roman" w:hAnsi="Times New Roman"/>
          <w:noProof/>
          <w:sz w:val="24"/>
        </w:rPr>
        <w:t>2017</w:t>
      </w:r>
      <w:r w:rsidRPr="00DE45DF">
        <w:rPr>
          <w:rFonts w:ascii="Times New Roman" w:hAnsi="Times New Roman"/>
          <w:noProof/>
          <w:sz w:val="24"/>
        </w:rPr>
        <w:t>, le Conseil «Justice et affaires intérieures» a donné son feu vert à la Commission pour l’ouverture de négociations avec le Canada en vue de la conclusion d’un accord entre l’Union européenne et le Canada concernant le transf</w:t>
      </w:r>
      <w:r w:rsidRPr="00DE45DF">
        <w:rPr>
          <w:rFonts w:ascii="Times New Roman" w:hAnsi="Times New Roman"/>
          <w:noProof/>
          <w:sz w:val="24"/>
        </w:rPr>
        <w:t xml:space="preserve">ert et l’utilisation des données des dossiers passagers (données PNR) afin de se conformer à l’avis </w:t>
      </w:r>
      <w:r w:rsidRPr="00DE45DF">
        <w:rPr>
          <w:rFonts w:ascii="Times New Roman" w:hAnsi="Times New Roman"/>
          <w:noProof/>
          <w:sz w:val="24"/>
        </w:rPr>
        <w:t>1</w:t>
      </w:r>
      <w:r w:rsidRPr="00DE45DF">
        <w:rPr>
          <w:rFonts w:ascii="Times New Roman" w:hAnsi="Times New Roman"/>
          <w:noProof/>
          <w:sz w:val="24"/>
        </w:rPr>
        <w:t>/</w:t>
      </w:r>
      <w:r w:rsidRPr="00DE45DF">
        <w:rPr>
          <w:rFonts w:ascii="Times New Roman" w:hAnsi="Times New Roman"/>
          <w:noProof/>
          <w:sz w:val="24"/>
        </w:rPr>
        <w:t>15</w:t>
      </w:r>
      <w:r w:rsidRPr="00DE45DF">
        <w:rPr>
          <w:rFonts w:ascii="Times New Roman" w:hAnsi="Times New Roman"/>
          <w:noProof/>
          <w:sz w:val="24"/>
        </w:rPr>
        <w:t xml:space="preserve"> de la Cour de justice sur l’accord UE-Canada en matière de PNR envisagé précédemment. Les négociations officielles débuteront dès que le Canada aura re</w:t>
      </w:r>
      <w:r w:rsidRPr="00DE45DF">
        <w:rPr>
          <w:rFonts w:ascii="Times New Roman" w:hAnsi="Times New Roman"/>
          <w:noProof/>
          <w:sz w:val="24"/>
        </w:rPr>
        <w:t>çu son mandat de négociation.</w:t>
      </w:r>
    </w:p>
    <w:p w:rsidR="005E240D" w:rsidRPr="00DE45DF" w:rsidRDefault="00DE45DF">
      <w:pPr>
        <w:spacing w:after="240" w:line="240" w:lineRule="auto"/>
        <w:jc w:val="both"/>
        <w:rPr>
          <w:rFonts w:ascii="Times New Roman" w:hAnsi="Times New Roman" w:cs="Times New Roman"/>
          <w:noProof/>
          <w:sz w:val="24"/>
          <w:szCs w:val="24"/>
        </w:rPr>
      </w:pPr>
      <w:r w:rsidRPr="00DE45DF">
        <w:rPr>
          <w:rFonts w:ascii="Times New Roman" w:hAnsi="Times New Roman"/>
          <w:noProof/>
          <w:sz w:val="24"/>
        </w:rPr>
        <w:t>Ainsi que la Commission l’a annoncé dans le rapport sur l’union de la sécurité d’octobre, elle adoptera aussi, d’ici à la fin de l’année, des recommandations au Conseil afin d’autoriser l’ouverture de négociations en vue de la</w:t>
      </w:r>
      <w:r w:rsidRPr="00DE45DF">
        <w:rPr>
          <w:rFonts w:ascii="Times New Roman" w:hAnsi="Times New Roman"/>
          <w:noProof/>
          <w:sz w:val="24"/>
        </w:rPr>
        <w:t xml:space="preserve"> conclusion de différents accords entre l’Union européenne et l’Algérie, l’Égypte, Israël, la Jordanie, le Liban, le Maroc, la Tunisie et la Turquie sur l’</w:t>
      </w:r>
      <w:r w:rsidRPr="00DE45DF">
        <w:rPr>
          <w:rFonts w:ascii="Times New Roman" w:hAnsi="Times New Roman"/>
          <w:b/>
          <w:noProof/>
          <w:sz w:val="24"/>
        </w:rPr>
        <w:t>échange de données à caractère personnel entre Europol et les autorités compétentes de ces pays</w:t>
      </w:r>
      <w:r w:rsidRPr="00DE45DF">
        <w:rPr>
          <w:rFonts w:ascii="Times New Roman" w:hAnsi="Times New Roman"/>
          <w:noProof/>
          <w:sz w:val="24"/>
        </w:rPr>
        <w:t xml:space="preserve"> pour </w:t>
      </w:r>
      <w:r w:rsidRPr="00DE45DF">
        <w:rPr>
          <w:rFonts w:ascii="Times New Roman" w:hAnsi="Times New Roman"/>
          <w:noProof/>
          <w:sz w:val="24"/>
        </w:rPr>
        <w:t>lutter contre le terrorisme et les formes graves de criminalité. De tels accords renforceront davantage les capacités d’Europol de nouer un dialogue avec ces pays tiers afin de prévenir et de combattre les actes criminels qui relèvent des objectifs d’Europ</w:t>
      </w:r>
      <w:r w:rsidRPr="00DE45DF">
        <w:rPr>
          <w:rFonts w:ascii="Times New Roman" w:hAnsi="Times New Roman"/>
          <w:noProof/>
          <w:sz w:val="24"/>
        </w:rPr>
        <w:t>ol.</w:t>
      </w:r>
    </w:p>
    <w:p w:rsidR="005E240D" w:rsidRPr="00DE45DF" w:rsidRDefault="00DE45DF">
      <w:pPr>
        <w:spacing w:after="240" w:line="240" w:lineRule="auto"/>
        <w:jc w:val="both"/>
        <w:rPr>
          <w:rFonts w:ascii="Times New Roman" w:hAnsi="Times New Roman" w:cs="Times New Roman"/>
          <w:noProof/>
          <w:sz w:val="24"/>
          <w:szCs w:val="24"/>
        </w:rPr>
      </w:pPr>
      <w:r w:rsidRPr="00DE45DF">
        <w:rPr>
          <w:rFonts w:ascii="Times New Roman" w:hAnsi="Times New Roman"/>
          <w:noProof/>
          <w:sz w:val="24"/>
        </w:rPr>
        <w:t xml:space="preserve">En ce qui concerne la coopération avec les partenaires internationaux, </w:t>
      </w:r>
      <w:r w:rsidRPr="00DE45DF">
        <w:rPr>
          <w:rFonts w:ascii="Times New Roman" w:hAnsi="Times New Roman"/>
          <w:b/>
          <w:noProof/>
          <w:sz w:val="24"/>
        </w:rPr>
        <w:t>l’Union et les États-Unis ont tenu une réunion ministérielle «Justice et affaires intérieures»</w:t>
      </w:r>
      <w:r w:rsidRPr="00DE45DF">
        <w:rPr>
          <w:rFonts w:ascii="Times New Roman" w:hAnsi="Times New Roman"/>
          <w:noProof/>
          <w:sz w:val="24"/>
        </w:rPr>
        <w:t xml:space="preserve"> le </w:t>
      </w:r>
      <w:r w:rsidRPr="00DE45DF">
        <w:rPr>
          <w:rFonts w:ascii="Times New Roman" w:hAnsi="Times New Roman"/>
          <w:noProof/>
          <w:sz w:val="24"/>
        </w:rPr>
        <w:t>17</w:t>
      </w:r>
      <w:r w:rsidRPr="00DE45DF">
        <w:rPr>
          <w:rFonts w:ascii="Times New Roman" w:hAnsi="Times New Roman"/>
          <w:noProof/>
          <w:sz w:val="24"/>
        </w:rPr>
        <w:t> novembre. Cette réunion a porté sur la coopération transatlantique dans le domai</w:t>
      </w:r>
      <w:r w:rsidRPr="00DE45DF">
        <w:rPr>
          <w:rFonts w:ascii="Times New Roman" w:hAnsi="Times New Roman"/>
          <w:noProof/>
          <w:sz w:val="24"/>
        </w:rPr>
        <w:t>ne de la lutte contre le terrorisme, les menaces informatiques et le trafic de drogue. En ce qui concerne la lutte contre le terrorisme, la discussion a porté spécifiquement sur l’importance d’une coopération opérationnelle et d’un échange d’informations e</w:t>
      </w:r>
      <w:r w:rsidRPr="00DE45DF">
        <w:rPr>
          <w:rFonts w:ascii="Times New Roman" w:hAnsi="Times New Roman"/>
          <w:noProof/>
          <w:sz w:val="24"/>
        </w:rPr>
        <w:t>fficace. Les deux parties ont pris acte de l’importance de la collecte, de l’utilisation et du partage des données des dossiers passagers (données PNR). La discussion a également porté sur les progrès réalisés dans la mise en œuvre des mesures communes des</w:t>
      </w:r>
      <w:r w:rsidRPr="00DE45DF">
        <w:rPr>
          <w:rFonts w:ascii="Times New Roman" w:hAnsi="Times New Roman"/>
          <w:noProof/>
          <w:sz w:val="24"/>
        </w:rPr>
        <w:t>tinées à faire face à la menace terroriste dans le secteur de l’aviation et à améliorer le niveau mondial de la sûreté aérienne. L’Union et les États-Unis ont évoqué leurs actions en matière de lutte contre le financement du terrorisme et le blanchiment de</w:t>
      </w:r>
      <w:r w:rsidRPr="00DE45DF">
        <w:rPr>
          <w:rFonts w:ascii="Times New Roman" w:hAnsi="Times New Roman"/>
          <w:noProof/>
          <w:sz w:val="24"/>
        </w:rPr>
        <w:t xml:space="preserve"> capitaux, y compris leurs efforts communs et les travaux relevant du Groupe d’action financière (GAFI). En ce qui concerne l’usage détourné de l’internet à des fins terroristes, les deux parties ont convenu que de nombreuses parties prenantes, dont le sec</w:t>
      </w:r>
      <w:r w:rsidRPr="00DE45DF">
        <w:rPr>
          <w:rFonts w:ascii="Times New Roman" w:hAnsi="Times New Roman"/>
          <w:noProof/>
          <w:sz w:val="24"/>
        </w:rPr>
        <w:t>teur privé et la société civile, devaient être associées aux travaux. La prochaine réunion ministérielle «Justice et affaires intérieures» entre l’Union et les États-Unis aura lieu à Sofia en mai </w:t>
      </w:r>
      <w:r w:rsidRPr="00DE45DF">
        <w:rPr>
          <w:rFonts w:ascii="Times New Roman" w:hAnsi="Times New Roman"/>
          <w:noProof/>
          <w:sz w:val="24"/>
        </w:rPr>
        <w:t>2018</w:t>
      </w:r>
      <w:r w:rsidRPr="00DE45DF">
        <w:rPr>
          <w:rFonts w:ascii="Times New Roman" w:hAnsi="Times New Roman"/>
          <w:noProof/>
          <w:sz w:val="24"/>
        </w:rPr>
        <w:t>.</w:t>
      </w:r>
    </w:p>
    <w:p w:rsidR="005E240D" w:rsidRPr="00DE45DF" w:rsidRDefault="00DE45DF">
      <w:pPr>
        <w:spacing w:after="240" w:line="240" w:lineRule="auto"/>
        <w:jc w:val="both"/>
        <w:rPr>
          <w:rFonts w:ascii="Times New Roman" w:hAnsi="Times New Roman" w:cs="Times New Roman"/>
          <w:b/>
          <w:noProof/>
          <w:sz w:val="24"/>
          <w:szCs w:val="24"/>
        </w:rPr>
      </w:pPr>
      <w:r w:rsidRPr="00DE45DF">
        <w:rPr>
          <w:rFonts w:ascii="Times New Roman" w:hAnsi="Times New Roman"/>
          <w:noProof/>
          <w:sz w:val="24"/>
        </w:rPr>
        <w:t>En ce qui concerne la sûreté de l’aviation, la Commiss</w:t>
      </w:r>
      <w:r w:rsidRPr="00DE45DF">
        <w:rPr>
          <w:rFonts w:ascii="Times New Roman" w:hAnsi="Times New Roman"/>
          <w:noProof/>
          <w:sz w:val="24"/>
        </w:rPr>
        <w:t xml:space="preserve">ion européenne et d’autres services de l’Union se réunissent régulièrement avec les États membres pour convenir d’une </w:t>
      </w:r>
      <w:r w:rsidRPr="00DE45DF">
        <w:rPr>
          <w:rFonts w:ascii="Times New Roman" w:hAnsi="Times New Roman"/>
          <w:b/>
          <w:noProof/>
          <w:sz w:val="24"/>
        </w:rPr>
        <w:t>approche intégrée visant à renforcer et hiérarchiser les efforts de renforcement des capacités dans les pays tiers</w:t>
      </w:r>
      <w:r w:rsidRPr="00DE45DF">
        <w:rPr>
          <w:rFonts w:ascii="Times New Roman" w:hAnsi="Times New Roman"/>
          <w:noProof/>
          <w:sz w:val="24"/>
        </w:rPr>
        <w:t xml:space="preserve">. Les actions proposées </w:t>
      </w:r>
      <w:r w:rsidRPr="00DE45DF">
        <w:rPr>
          <w:rFonts w:ascii="Times New Roman" w:hAnsi="Times New Roman"/>
          <w:noProof/>
          <w:sz w:val="24"/>
        </w:rPr>
        <w:t>concernent des formations et des exercices sur la culture de la sécurité, le contrôle des accès, les procédures de filtrage, la certification des inspecteurs, etc. Des réunions ad hoc pour chacun des pays tiers examinés sont organisées afin de concevoir de</w:t>
      </w:r>
      <w:r w:rsidRPr="00DE45DF">
        <w:rPr>
          <w:rFonts w:ascii="Times New Roman" w:hAnsi="Times New Roman"/>
          <w:noProof/>
          <w:sz w:val="24"/>
        </w:rPr>
        <w:t>s actions adaptées à chacun de ces pays.</w:t>
      </w:r>
    </w:p>
    <w:p w:rsidR="005E240D" w:rsidRPr="00DE45DF" w:rsidRDefault="00DE45DF">
      <w:pPr>
        <w:spacing w:after="240" w:line="240" w:lineRule="auto"/>
        <w:jc w:val="both"/>
        <w:rPr>
          <w:rFonts w:ascii="Times New Roman" w:hAnsi="Times New Roman" w:cs="Times New Roman"/>
          <w:noProof/>
          <w:sz w:val="24"/>
          <w:szCs w:val="24"/>
        </w:rPr>
      </w:pPr>
      <w:r w:rsidRPr="00DE45DF">
        <w:rPr>
          <w:rFonts w:ascii="Times New Roman" w:hAnsi="Times New Roman"/>
          <w:noProof/>
          <w:sz w:val="24"/>
        </w:rPr>
        <w:t xml:space="preserve">Dans le prolongement de la déclaration commune sur le </w:t>
      </w:r>
      <w:r w:rsidRPr="00DE45DF">
        <w:rPr>
          <w:rFonts w:ascii="Times New Roman" w:hAnsi="Times New Roman"/>
          <w:b/>
          <w:noProof/>
          <w:sz w:val="24"/>
        </w:rPr>
        <w:t>partenariat stratégique OTAN-UE</w:t>
      </w:r>
      <w:r w:rsidRPr="00DE45DF">
        <w:rPr>
          <w:rFonts w:ascii="Times New Roman" w:hAnsi="Times New Roman"/>
          <w:noProof/>
          <w:sz w:val="24"/>
        </w:rPr>
        <w:t xml:space="preserve">, le Conseil a adopté le </w:t>
      </w:r>
      <w:r w:rsidRPr="00DE45DF">
        <w:rPr>
          <w:rFonts w:ascii="Times New Roman" w:hAnsi="Times New Roman"/>
          <w:noProof/>
          <w:sz w:val="24"/>
        </w:rPr>
        <w:t>5</w:t>
      </w:r>
      <w:r w:rsidRPr="00DE45DF">
        <w:rPr>
          <w:rFonts w:ascii="Times New Roman" w:hAnsi="Times New Roman"/>
          <w:noProof/>
          <w:sz w:val="24"/>
        </w:rPr>
        <w:t> décembre un deuxième rapport sur la mise en œuvre</w:t>
      </w:r>
      <w:r w:rsidRPr="00DE45DF">
        <w:rPr>
          <w:rStyle w:val="FootnoteReference"/>
          <w:rFonts w:ascii="Times New Roman" w:hAnsi="Times New Roman"/>
          <w:noProof/>
          <w:sz w:val="24"/>
        </w:rPr>
        <w:footnoteReference w:id="47"/>
      </w:r>
      <w:r w:rsidRPr="00DE45DF">
        <w:rPr>
          <w:noProof/>
        </w:rPr>
        <w:t>.</w:t>
      </w:r>
      <w:r w:rsidRPr="00DE45DF">
        <w:rPr>
          <w:rFonts w:ascii="Times New Roman" w:hAnsi="Times New Roman"/>
          <w:noProof/>
          <w:sz w:val="24"/>
        </w:rPr>
        <w:t xml:space="preserve"> Ce rapport présente les principaux domaines dans lesquels des progrès ont été accomplis, la cybersécurité et la lutte contre les menaces hybrides. Pour la première fois, l’Union et l’OTAN ont mené un exercice parallèle et coordonné (EU PACE</w:t>
      </w:r>
      <w:r w:rsidRPr="00DE45DF">
        <w:rPr>
          <w:rFonts w:ascii="Times New Roman" w:hAnsi="Times New Roman"/>
          <w:noProof/>
          <w:sz w:val="24"/>
        </w:rPr>
        <w:t>17</w:t>
      </w:r>
      <w:r w:rsidRPr="00DE45DF">
        <w:rPr>
          <w:rFonts w:ascii="Times New Roman" w:hAnsi="Times New Roman"/>
          <w:noProof/>
          <w:sz w:val="24"/>
        </w:rPr>
        <w:t>/CMX</w:t>
      </w:r>
      <w:r w:rsidRPr="00DE45DF">
        <w:rPr>
          <w:rFonts w:ascii="Times New Roman" w:hAnsi="Times New Roman"/>
          <w:noProof/>
          <w:sz w:val="24"/>
        </w:rPr>
        <w:t>17</w:t>
      </w:r>
      <w:r w:rsidRPr="00DE45DF">
        <w:rPr>
          <w:rFonts w:ascii="Times New Roman" w:hAnsi="Times New Roman"/>
          <w:noProof/>
          <w:sz w:val="24"/>
        </w:rPr>
        <w:t>) en se</w:t>
      </w:r>
      <w:r w:rsidRPr="00DE45DF">
        <w:rPr>
          <w:rFonts w:ascii="Times New Roman" w:hAnsi="Times New Roman"/>
          <w:noProof/>
          <w:sz w:val="24"/>
        </w:rPr>
        <w:t>ptembre et octobre </w:t>
      </w:r>
      <w:r w:rsidRPr="00DE45DF">
        <w:rPr>
          <w:rFonts w:ascii="Times New Roman" w:hAnsi="Times New Roman"/>
          <w:noProof/>
          <w:sz w:val="24"/>
        </w:rPr>
        <w:t>2017</w:t>
      </w:r>
      <w:r w:rsidRPr="00DE45DF">
        <w:rPr>
          <w:rFonts w:ascii="Times New Roman" w:hAnsi="Times New Roman"/>
          <w:noProof/>
          <w:sz w:val="24"/>
        </w:rPr>
        <w:t xml:space="preserve"> sur la base d’un scénario de menace hybride. Outre le rapport, </w:t>
      </w:r>
      <w:r w:rsidRPr="00DE45DF">
        <w:rPr>
          <w:rFonts w:ascii="Times New Roman" w:hAnsi="Times New Roman"/>
          <w:noProof/>
          <w:sz w:val="24"/>
        </w:rPr>
        <w:t>24</w:t>
      </w:r>
      <w:r w:rsidRPr="00DE45DF">
        <w:rPr>
          <w:rFonts w:ascii="Times New Roman" w:hAnsi="Times New Roman"/>
          <w:noProof/>
          <w:sz w:val="24"/>
        </w:rPr>
        <w:t> propositions supplémentaires ont été adoptées en vue du renforcement et de l’approfondissement ultérieurs de la coopération entre l’Union et l’OTAN. Ces nouvelles pro</w:t>
      </w:r>
      <w:r w:rsidRPr="00DE45DF">
        <w:rPr>
          <w:rFonts w:ascii="Times New Roman" w:hAnsi="Times New Roman"/>
          <w:noProof/>
          <w:sz w:val="24"/>
        </w:rPr>
        <w:t>positions couvrent tous les sept domaines de coopération définis dans la déclaration commune de Varsovie: la lutte contre les menaces hybrides; l’élargissement de la coopération opérationnelle, y compris en mer et en matière de migration; la sécurité et la</w:t>
      </w:r>
      <w:r w:rsidRPr="00DE45DF">
        <w:rPr>
          <w:rFonts w:ascii="Times New Roman" w:hAnsi="Times New Roman"/>
          <w:noProof/>
          <w:sz w:val="24"/>
        </w:rPr>
        <w:t xml:space="preserve"> défense dans le domaine informatique; les capacités de défense; la recherche et l’industrie de la défense; la réalisation d’exercices; le renforcement des capacités de défense et de sécurité, ainsi que le dialogue politique. Plusieurs de ces propositions </w:t>
      </w:r>
      <w:r w:rsidRPr="00DE45DF">
        <w:rPr>
          <w:rFonts w:ascii="Times New Roman" w:hAnsi="Times New Roman"/>
          <w:noProof/>
          <w:sz w:val="24"/>
        </w:rPr>
        <w:t xml:space="preserve">visent à renforcer la coopération dans le domaine de la lutte contre le terrorisme. Par exemple, un atelier informel sera coorganisé au cours du premier semestre </w:t>
      </w:r>
      <w:r w:rsidRPr="00DE45DF">
        <w:rPr>
          <w:rFonts w:ascii="Times New Roman" w:hAnsi="Times New Roman"/>
          <w:noProof/>
          <w:sz w:val="24"/>
        </w:rPr>
        <w:t>2018</w:t>
      </w:r>
      <w:r w:rsidRPr="00DE45DF">
        <w:rPr>
          <w:rFonts w:ascii="Times New Roman" w:hAnsi="Times New Roman"/>
          <w:noProof/>
          <w:sz w:val="24"/>
        </w:rPr>
        <w:t xml:space="preserve"> afin de développer une conception commune de la façon dont les efforts de lutte contre le</w:t>
      </w:r>
      <w:r w:rsidRPr="00DE45DF">
        <w:rPr>
          <w:rFonts w:ascii="Times New Roman" w:hAnsi="Times New Roman"/>
          <w:noProof/>
          <w:sz w:val="24"/>
        </w:rPr>
        <w:t xml:space="preserve"> terrorisme peuvent bénéficier du renforcement des capacités de défense. Sur la base de l’expérience acquise et des enseignements tirés dans le cadre de l’exercice mené en </w:t>
      </w:r>
      <w:r w:rsidRPr="00DE45DF">
        <w:rPr>
          <w:rFonts w:ascii="Times New Roman" w:hAnsi="Times New Roman"/>
          <w:noProof/>
          <w:sz w:val="24"/>
        </w:rPr>
        <w:t>2017</w:t>
      </w:r>
      <w:r w:rsidRPr="00DE45DF">
        <w:rPr>
          <w:rFonts w:ascii="Times New Roman" w:hAnsi="Times New Roman"/>
          <w:noProof/>
          <w:sz w:val="24"/>
        </w:rPr>
        <w:t>, un plan sera élaboré pour la mise en œuvre d’exercices parallèles et coordonné</w:t>
      </w:r>
      <w:r w:rsidRPr="00DE45DF">
        <w:rPr>
          <w:rFonts w:ascii="Times New Roman" w:hAnsi="Times New Roman"/>
          <w:noProof/>
          <w:sz w:val="24"/>
        </w:rPr>
        <w:t xml:space="preserve">s entre l’Union et l’OTAN en </w:t>
      </w:r>
      <w:r w:rsidRPr="00DE45DF">
        <w:rPr>
          <w:rFonts w:ascii="Times New Roman" w:hAnsi="Times New Roman"/>
          <w:noProof/>
          <w:sz w:val="24"/>
        </w:rPr>
        <w:t>2019</w:t>
      </w:r>
      <w:r w:rsidRPr="00DE45DF">
        <w:rPr>
          <w:rFonts w:ascii="Times New Roman" w:hAnsi="Times New Roman"/>
          <w:noProof/>
          <w:sz w:val="24"/>
        </w:rPr>
        <w:t xml:space="preserve"> et </w:t>
      </w:r>
      <w:r w:rsidRPr="00DE45DF">
        <w:rPr>
          <w:rFonts w:ascii="Times New Roman" w:hAnsi="Times New Roman"/>
          <w:noProof/>
          <w:sz w:val="24"/>
        </w:rPr>
        <w:t>2020</w:t>
      </w:r>
      <w:r w:rsidRPr="00DE45DF">
        <w:rPr>
          <w:rFonts w:ascii="Times New Roman" w:hAnsi="Times New Roman"/>
          <w:noProof/>
          <w:sz w:val="24"/>
        </w:rPr>
        <w:t xml:space="preserve">. En outre, à partir de </w:t>
      </w:r>
      <w:r w:rsidRPr="00DE45DF">
        <w:rPr>
          <w:rFonts w:ascii="Times New Roman" w:hAnsi="Times New Roman"/>
          <w:noProof/>
          <w:sz w:val="24"/>
        </w:rPr>
        <w:t>2018</w:t>
      </w:r>
      <w:r w:rsidRPr="00DE45DF">
        <w:rPr>
          <w:rFonts w:ascii="Times New Roman" w:hAnsi="Times New Roman"/>
          <w:noProof/>
          <w:sz w:val="24"/>
        </w:rPr>
        <w:t>, une série de modules communs de formation et d’exercice sera progressivement mise à disposition.</w:t>
      </w:r>
    </w:p>
    <w:p w:rsidR="005E240D" w:rsidRPr="00DE45DF" w:rsidRDefault="00DE45DF">
      <w:pPr>
        <w:spacing w:after="240" w:line="240" w:lineRule="auto"/>
        <w:jc w:val="both"/>
        <w:rPr>
          <w:rFonts w:ascii="Times New Roman" w:hAnsi="Times New Roman" w:cs="Times New Roman"/>
          <w:b/>
          <w:noProof/>
          <w:sz w:val="24"/>
          <w:szCs w:val="24"/>
        </w:rPr>
      </w:pPr>
      <w:r w:rsidRPr="00DE45DF">
        <w:rPr>
          <w:rFonts w:ascii="Times New Roman" w:hAnsi="Times New Roman"/>
          <w:b/>
          <w:noProof/>
          <w:sz w:val="24"/>
        </w:rPr>
        <w:t>IV.</w:t>
      </w:r>
      <w:r w:rsidRPr="00DE45DF">
        <w:rPr>
          <w:noProof/>
        </w:rPr>
        <w:tab/>
      </w:r>
      <w:r w:rsidRPr="00DE45DF">
        <w:rPr>
          <w:rFonts w:ascii="Times New Roman" w:hAnsi="Times New Roman"/>
          <w:b/>
          <w:noProof/>
          <w:sz w:val="24"/>
        </w:rPr>
        <w:t>CONCLUSIONS</w:t>
      </w:r>
    </w:p>
    <w:p w:rsidR="005E240D" w:rsidRPr="00DE45DF" w:rsidRDefault="00DE45DF">
      <w:pPr>
        <w:spacing w:after="240" w:line="240" w:lineRule="auto"/>
        <w:jc w:val="both"/>
        <w:rPr>
          <w:rFonts w:ascii="Times New Roman" w:hAnsi="Times New Roman" w:cs="Times New Roman"/>
          <w:noProof/>
          <w:sz w:val="24"/>
          <w:szCs w:val="24"/>
        </w:rPr>
      </w:pPr>
      <w:r w:rsidRPr="00DE45DF">
        <w:rPr>
          <w:rFonts w:ascii="Times New Roman" w:hAnsi="Times New Roman"/>
          <w:noProof/>
          <w:sz w:val="24"/>
        </w:rPr>
        <w:t>Ce rapport présente plusieurs mesures prises au niveau de l’Union pour i</w:t>
      </w:r>
      <w:r w:rsidRPr="00DE45DF">
        <w:rPr>
          <w:rFonts w:ascii="Times New Roman" w:hAnsi="Times New Roman"/>
          <w:noProof/>
          <w:sz w:val="24"/>
        </w:rPr>
        <w:t>ntensifier l’échange d’informations afin de renforcer la sécurité intérieure et de mieux gérer les frontières extérieures. La proposition de règlement sur l’interopérabilité prévoit une méthode ciblée et intelligente consistant à exploiter de façon optimal</w:t>
      </w:r>
      <w:r w:rsidRPr="00DE45DF">
        <w:rPr>
          <w:rFonts w:ascii="Times New Roman" w:hAnsi="Times New Roman"/>
          <w:noProof/>
          <w:sz w:val="24"/>
        </w:rPr>
        <w:t>e les données existantes et à intégrer le principe de protection des données dès la conception. Elle constitue un changement radical dans la manière dont l’Union gère les données au service de la sécurité et des frontières extérieures, en aidant les autori</w:t>
      </w:r>
      <w:r w:rsidRPr="00DE45DF">
        <w:rPr>
          <w:rFonts w:ascii="Times New Roman" w:hAnsi="Times New Roman"/>
          <w:noProof/>
          <w:sz w:val="24"/>
        </w:rPr>
        <w:t>tés nationales à mieux faire face aux menaces transnationales et à mieux repérer les terroristes qui agissent au-delà des frontières.</w:t>
      </w:r>
    </w:p>
    <w:p w:rsidR="005E240D" w:rsidRDefault="00DE45DF">
      <w:pPr>
        <w:spacing w:after="240" w:line="240" w:lineRule="auto"/>
        <w:jc w:val="both"/>
        <w:rPr>
          <w:rFonts w:ascii="Times New Roman" w:hAnsi="Times New Roman" w:cs="Times New Roman"/>
          <w:noProof/>
          <w:sz w:val="24"/>
          <w:szCs w:val="24"/>
        </w:rPr>
      </w:pPr>
      <w:r w:rsidRPr="00DE45DF">
        <w:rPr>
          <w:rFonts w:ascii="Times New Roman" w:hAnsi="Times New Roman"/>
          <w:noProof/>
          <w:sz w:val="24"/>
        </w:rPr>
        <w:t>Le prochain rapport sur les progrès accomplis dans la mise en place d’une union de la sécurité réelle et effective devrait</w:t>
      </w:r>
      <w:r w:rsidRPr="00DE45DF">
        <w:rPr>
          <w:rFonts w:ascii="Times New Roman" w:hAnsi="Times New Roman"/>
          <w:noProof/>
          <w:sz w:val="24"/>
        </w:rPr>
        <w:t xml:space="preserve"> être adopté en janvier </w:t>
      </w:r>
      <w:r w:rsidRPr="00DE45DF">
        <w:rPr>
          <w:rFonts w:ascii="Times New Roman" w:hAnsi="Times New Roman"/>
          <w:noProof/>
          <w:sz w:val="24"/>
        </w:rPr>
        <w:t>2018</w:t>
      </w:r>
      <w:r w:rsidRPr="00DE45DF">
        <w:rPr>
          <w:rFonts w:ascii="Times New Roman" w:hAnsi="Times New Roman"/>
          <w:noProof/>
          <w:sz w:val="24"/>
        </w:rPr>
        <w:t>.</w:t>
      </w:r>
    </w:p>
    <w:sectPr w:rsidR="005E240D">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40D" w:rsidRDefault="00DE45DF">
      <w:pPr>
        <w:spacing w:after="0" w:line="240" w:lineRule="auto"/>
      </w:pPr>
      <w:r>
        <w:separator/>
      </w:r>
    </w:p>
  </w:endnote>
  <w:endnote w:type="continuationSeparator" w:id="0">
    <w:p w:rsidR="005E240D" w:rsidRDefault="00DE45DF">
      <w:pPr>
        <w:spacing w:after="0" w:line="240" w:lineRule="auto"/>
      </w:pPr>
      <w:r>
        <w:continuationSeparator/>
      </w:r>
    </w:p>
  </w:endnote>
  <w:endnote w:type="continuationNotice" w:id="1">
    <w:p w:rsidR="005E240D" w:rsidRDefault="005E24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0D" w:rsidRDefault="005E24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0D" w:rsidRDefault="00DE45DF">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proofErr w:type="spellStart"/>
    <w:r>
      <w:rPr>
        <w:rFonts w:ascii="Arial" w:hAnsi="Arial" w:cs="Arial"/>
        <w:b/>
        <w:sz w:val="48"/>
      </w:rPr>
      <w:t>FR</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0D" w:rsidRDefault="005E240D">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0D" w:rsidRDefault="005E240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575969471"/>
      <w:docPartObj>
        <w:docPartGallery w:val="Page Numbers (Bottom of Page)"/>
        <w:docPartUnique/>
      </w:docPartObj>
    </w:sdtPr>
    <w:sdtEndPr>
      <w:rPr>
        <w:noProof/>
      </w:rPr>
    </w:sdtEndPr>
    <w:sdtContent>
      <w:p w:rsidR="005E240D" w:rsidRDefault="00DE45DF">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5</w:t>
        </w:r>
        <w:r>
          <w:rPr>
            <w:rFonts w:ascii="Times New Roman" w:hAnsi="Times New Roman" w:cs="Times New Roman"/>
            <w:noProof/>
          </w:rPr>
          <w:fldChar w:fldCharType="end"/>
        </w:r>
      </w:p>
    </w:sdtContent>
  </w:sdt>
  <w:p w:rsidR="005E240D" w:rsidRDefault="005E240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0D" w:rsidRDefault="005E24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40D" w:rsidRDefault="00DE45DF">
      <w:pPr>
        <w:spacing w:after="0" w:line="240" w:lineRule="auto"/>
      </w:pPr>
      <w:r>
        <w:separator/>
      </w:r>
    </w:p>
  </w:footnote>
  <w:footnote w:type="continuationSeparator" w:id="0">
    <w:p w:rsidR="005E240D" w:rsidRDefault="00DE45DF">
      <w:pPr>
        <w:spacing w:after="0" w:line="240" w:lineRule="auto"/>
      </w:pPr>
      <w:r>
        <w:continuationSeparator/>
      </w:r>
    </w:p>
  </w:footnote>
  <w:footnote w:type="continuationNotice" w:id="1">
    <w:p w:rsidR="005E240D" w:rsidRDefault="005E240D">
      <w:pPr>
        <w:spacing w:after="0" w:line="240" w:lineRule="auto"/>
      </w:pPr>
    </w:p>
  </w:footnote>
  <w:footnote w:id="2">
    <w:p w:rsidR="005E240D" w:rsidRPr="00DE45DF" w:rsidRDefault="00DE45DF">
      <w:pPr>
        <w:pStyle w:val="FootnoteText"/>
        <w:ind w:left="357" w:hanging="357"/>
        <w:rPr>
          <w:lang w:val="pt-PT"/>
        </w:rPr>
      </w:pPr>
      <w:r w:rsidRPr="00DE45DF">
        <w:rPr>
          <w:rStyle w:val="FootnoteReference"/>
        </w:rPr>
        <w:footnoteRef/>
      </w:r>
      <w:r w:rsidRPr="00DE45DF">
        <w:rPr>
          <w:lang w:val="pt-PT"/>
        </w:rPr>
        <w:t xml:space="preserve"> </w:t>
      </w:r>
      <w:r w:rsidRPr="00DE45DF">
        <w:rPr>
          <w:lang w:val="pt-PT"/>
        </w:rPr>
        <w:tab/>
      </w:r>
      <w:proofErr w:type="gramStart"/>
      <w:r w:rsidRPr="00DE45DF">
        <w:rPr>
          <w:lang w:val="pt-PT"/>
        </w:rPr>
        <w:t>COM(</w:t>
      </w:r>
      <w:r w:rsidRPr="00DE45DF">
        <w:rPr>
          <w:lang w:val="pt-PT"/>
        </w:rPr>
        <w:t>2016</w:t>
      </w:r>
      <w:proofErr w:type="gramEnd"/>
      <w:r w:rsidRPr="00DE45DF">
        <w:rPr>
          <w:lang w:val="pt-PT"/>
        </w:rPr>
        <w:t>) </w:t>
      </w:r>
      <w:r w:rsidRPr="00DE45DF">
        <w:rPr>
          <w:lang w:val="pt-PT"/>
        </w:rPr>
        <w:t>205</w:t>
      </w:r>
      <w:r w:rsidRPr="00DE45DF">
        <w:rPr>
          <w:lang w:val="pt-PT"/>
        </w:rPr>
        <w:t xml:space="preserve"> </w:t>
      </w:r>
      <w:proofErr w:type="spellStart"/>
      <w:r w:rsidRPr="00DE45DF">
        <w:rPr>
          <w:lang w:val="pt-PT"/>
        </w:rPr>
        <w:t>du</w:t>
      </w:r>
      <w:proofErr w:type="spellEnd"/>
      <w:r w:rsidRPr="00DE45DF">
        <w:rPr>
          <w:lang w:val="pt-PT"/>
        </w:rPr>
        <w:t xml:space="preserve"> </w:t>
      </w:r>
      <w:r w:rsidRPr="00DE45DF">
        <w:rPr>
          <w:lang w:val="pt-PT"/>
        </w:rPr>
        <w:t>6</w:t>
      </w:r>
      <w:r w:rsidRPr="00DE45DF">
        <w:rPr>
          <w:lang w:val="pt-PT"/>
        </w:rPr>
        <w:t>.</w:t>
      </w:r>
      <w:r w:rsidRPr="00DE45DF">
        <w:rPr>
          <w:lang w:val="pt-PT"/>
        </w:rPr>
        <w:t>4</w:t>
      </w:r>
      <w:r w:rsidRPr="00DE45DF">
        <w:rPr>
          <w:lang w:val="pt-PT"/>
        </w:rPr>
        <w:t>.</w:t>
      </w:r>
      <w:r w:rsidRPr="00DE45DF">
        <w:rPr>
          <w:lang w:val="pt-PT"/>
        </w:rPr>
        <w:t>2016</w:t>
      </w:r>
      <w:r w:rsidRPr="00DE45DF">
        <w:rPr>
          <w:lang w:val="pt-PT"/>
        </w:rPr>
        <w:t>.</w:t>
      </w:r>
    </w:p>
  </w:footnote>
  <w:footnote w:id="3">
    <w:p w:rsidR="005E240D" w:rsidRPr="00DE45DF" w:rsidRDefault="00DE45DF">
      <w:pPr>
        <w:pStyle w:val="FootnoteText"/>
        <w:ind w:left="357" w:hanging="357"/>
        <w:rPr>
          <w:lang w:val="pt-PT"/>
        </w:rPr>
      </w:pPr>
      <w:r w:rsidRPr="00DE45DF">
        <w:rPr>
          <w:rStyle w:val="FootnoteReference"/>
        </w:rPr>
        <w:footnoteRef/>
      </w:r>
      <w:r w:rsidRPr="00DE45DF">
        <w:rPr>
          <w:lang w:val="pt-PT"/>
        </w:rPr>
        <w:t xml:space="preserve"> </w:t>
      </w:r>
      <w:r w:rsidRPr="00DE45DF">
        <w:rPr>
          <w:lang w:val="pt-PT"/>
        </w:rPr>
        <w:tab/>
      </w:r>
      <w:proofErr w:type="gramStart"/>
      <w:r w:rsidRPr="00DE45DF">
        <w:rPr>
          <w:lang w:val="pt-PT"/>
        </w:rPr>
        <w:t>COM(</w:t>
      </w:r>
      <w:r w:rsidRPr="00DE45DF">
        <w:rPr>
          <w:lang w:val="pt-PT"/>
        </w:rPr>
        <w:t>2017</w:t>
      </w:r>
      <w:proofErr w:type="gramEnd"/>
      <w:r w:rsidRPr="00DE45DF">
        <w:rPr>
          <w:lang w:val="pt-PT"/>
        </w:rPr>
        <w:t>) </w:t>
      </w:r>
      <w:r w:rsidRPr="00DE45DF">
        <w:rPr>
          <w:lang w:val="pt-PT"/>
        </w:rPr>
        <w:t>793</w:t>
      </w:r>
      <w:r w:rsidRPr="00DE45DF">
        <w:rPr>
          <w:lang w:val="pt-PT"/>
        </w:rPr>
        <w:t xml:space="preserve"> final </w:t>
      </w:r>
      <w:proofErr w:type="spellStart"/>
      <w:r w:rsidRPr="00DE45DF">
        <w:rPr>
          <w:lang w:val="pt-PT"/>
        </w:rPr>
        <w:t>et</w:t>
      </w:r>
      <w:proofErr w:type="spellEnd"/>
      <w:r w:rsidRPr="00DE45DF">
        <w:rPr>
          <w:lang w:val="pt-PT"/>
        </w:rPr>
        <w:t xml:space="preserve"> COM(</w:t>
      </w:r>
      <w:r w:rsidRPr="00DE45DF">
        <w:rPr>
          <w:lang w:val="pt-PT"/>
        </w:rPr>
        <w:t>2017</w:t>
      </w:r>
      <w:r w:rsidRPr="00DE45DF">
        <w:rPr>
          <w:lang w:val="pt-PT"/>
        </w:rPr>
        <w:t>) </w:t>
      </w:r>
      <w:r w:rsidRPr="00DE45DF">
        <w:rPr>
          <w:lang w:val="pt-PT"/>
        </w:rPr>
        <w:t>794</w:t>
      </w:r>
      <w:r w:rsidRPr="00DE45DF">
        <w:rPr>
          <w:lang w:val="pt-PT"/>
        </w:rPr>
        <w:t xml:space="preserve"> final </w:t>
      </w:r>
      <w:proofErr w:type="spellStart"/>
      <w:r w:rsidRPr="00DE45DF">
        <w:rPr>
          <w:lang w:val="pt-PT"/>
        </w:rPr>
        <w:t>du</w:t>
      </w:r>
      <w:proofErr w:type="spellEnd"/>
      <w:r w:rsidRPr="00DE45DF">
        <w:rPr>
          <w:lang w:val="pt-PT"/>
        </w:rPr>
        <w:t xml:space="preserve"> </w:t>
      </w:r>
      <w:r w:rsidRPr="00DE45DF">
        <w:rPr>
          <w:lang w:val="pt-PT"/>
        </w:rPr>
        <w:t>12</w:t>
      </w:r>
      <w:r w:rsidRPr="00DE45DF">
        <w:rPr>
          <w:lang w:val="pt-PT"/>
        </w:rPr>
        <w:t>.</w:t>
      </w:r>
      <w:r w:rsidRPr="00DE45DF">
        <w:rPr>
          <w:lang w:val="pt-PT"/>
        </w:rPr>
        <w:t>12</w:t>
      </w:r>
      <w:r w:rsidRPr="00DE45DF">
        <w:rPr>
          <w:lang w:val="pt-PT"/>
        </w:rPr>
        <w:t>.</w:t>
      </w:r>
      <w:r w:rsidRPr="00DE45DF">
        <w:rPr>
          <w:lang w:val="pt-PT"/>
        </w:rPr>
        <w:t>2017</w:t>
      </w:r>
      <w:r w:rsidRPr="00DE45DF">
        <w:rPr>
          <w:lang w:val="pt-PT"/>
        </w:rPr>
        <w:t>.</w:t>
      </w:r>
    </w:p>
  </w:footnote>
  <w:footnote w:id="4">
    <w:p w:rsidR="005E240D" w:rsidRPr="00DE45DF" w:rsidRDefault="00DE45DF">
      <w:pPr>
        <w:pStyle w:val="FootnoteText"/>
        <w:ind w:left="357" w:hanging="357"/>
        <w:rPr>
          <w:lang w:val="pt-PT"/>
        </w:rPr>
      </w:pPr>
      <w:r w:rsidRPr="00DE45DF">
        <w:rPr>
          <w:rStyle w:val="FootnoteReference"/>
        </w:rPr>
        <w:footnoteRef/>
      </w:r>
      <w:r w:rsidRPr="00DE45DF">
        <w:rPr>
          <w:lang w:val="pt-PT"/>
        </w:rPr>
        <w:t xml:space="preserve"> </w:t>
      </w:r>
      <w:r w:rsidRPr="00DE45DF">
        <w:rPr>
          <w:lang w:val="pt-PT"/>
        </w:rPr>
        <w:tab/>
      </w:r>
      <w:proofErr w:type="gramStart"/>
      <w:r w:rsidRPr="00DE45DF">
        <w:rPr>
          <w:lang w:val="pt-PT"/>
        </w:rPr>
        <w:t>COM(</w:t>
      </w:r>
      <w:r w:rsidRPr="00DE45DF">
        <w:rPr>
          <w:lang w:val="pt-PT"/>
        </w:rPr>
        <w:t>2017</w:t>
      </w:r>
      <w:proofErr w:type="gramEnd"/>
      <w:r w:rsidRPr="00DE45DF">
        <w:rPr>
          <w:lang w:val="pt-PT"/>
        </w:rPr>
        <w:t>) </w:t>
      </w:r>
      <w:r w:rsidRPr="00DE45DF">
        <w:rPr>
          <w:lang w:val="pt-PT"/>
        </w:rPr>
        <w:t>261</w:t>
      </w:r>
      <w:r w:rsidRPr="00DE45DF">
        <w:rPr>
          <w:lang w:val="pt-PT"/>
        </w:rPr>
        <w:t xml:space="preserve"> final </w:t>
      </w:r>
      <w:proofErr w:type="spellStart"/>
      <w:r w:rsidRPr="00DE45DF">
        <w:rPr>
          <w:lang w:val="pt-PT"/>
        </w:rPr>
        <w:t>du</w:t>
      </w:r>
      <w:proofErr w:type="spellEnd"/>
      <w:r w:rsidRPr="00DE45DF">
        <w:rPr>
          <w:lang w:val="pt-PT"/>
        </w:rPr>
        <w:t xml:space="preserve"> </w:t>
      </w:r>
      <w:r w:rsidRPr="00DE45DF">
        <w:rPr>
          <w:lang w:val="pt-PT"/>
        </w:rPr>
        <w:t>16</w:t>
      </w:r>
      <w:r w:rsidRPr="00DE45DF">
        <w:rPr>
          <w:lang w:val="pt-PT"/>
        </w:rPr>
        <w:t>.</w:t>
      </w:r>
      <w:r w:rsidRPr="00DE45DF">
        <w:rPr>
          <w:lang w:val="pt-PT"/>
        </w:rPr>
        <w:t>5</w:t>
      </w:r>
      <w:r w:rsidRPr="00DE45DF">
        <w:rPr>
          <w:lang w:val="pt-PT"/>
        </w:rPr>
        <w:t>.</w:t>
      </w:r>
      <w:r w:rsidRPr="00DE45DF">
        <w:rPr>
          <w:lang w:val="pt-PT"/>
        </w:rPr>
        <w:t>2017</w:t>
      </w:r>
      <w:r w:rsidRPr="00DE45DF">
        <w:rPr>
          <w:lang w:val="pt-PT"/>
        </w:rPr>
        <w:t>.</w:t>
      </w:r>
    </w:p>
  </w:footnote>
  <w:footnote w:id="5">
    <w:p w:rsidR="005E240D" w:rsidRPr="00DE45DF" w:rsidRDefault="00DE45DF">
      <w:pPr>
        <w:pStyle w:val="FootnoteText"/>
        <w:ind w:left="357" w:hanging="357"/>
        <w:rPr>
          <w:lang w:val="pt-PT"/>
        </w:rPr>
      </w:pPr>
      <w:r w:rsidRPr="00DE45DF">
        <w:rPr>
          <w:rStyle w:val="FootnoteReference"/>
        </w:rPr>
        <w:footnoteRef/>
      </w:r>
      <w:r w:rsidRPr="00DE45DF">
        <w:rPr>
          <w:lang w:val="pt-PT"/>
        </w:rPr>
        <w:t xml:space="preserve"> </w:t>
      </w:r>
      <w:r w:rsidRPr="00DE45DF">
        <w:rPr>
          <w:lang w:val="pt-PT"/>
        </w:rPr>
        <w:tab/>
      </w:r>
      <w:hyperlink r:id="rId1">
        <w:r w:rsidRPr="00DE45DF">
          <w:rPr>
            <w:rStyle w:val="Hyperlink"/>
            <w:lang w:val="pt-PT"/>
          </w:rPr>
          <w:t>http://www.consilium.europa.eu/media/21597/bratislava-implementation-report.pdf</w:t>
        </w:r>
      </w:hyperlink>
      <w:r w:rsidRPr="00DE45DF">
        <w:rPr>
          <w:lang w:val="pt-PT"/>
        </w:rPr>
        <w:t xml:space="preserve"> </w:t>
      </w:r>
    </w:p>
  </w:footnote>
  <w:footnote w:id="6">
    <w:p w:rsidR="005E240D" w:rsidRPr="00DE45DF" w:rsidRDefault="00DE45DF">
      <w:pPr>
        <w:pStyle w:val="FootnoteText"/>
        <w:ind w:left="357" w:hanging="357"/>
      </w:pPr>
      <w:r w:rsidRPr="00DE45DF">
        <w:rPr>
          <w:rStyle w:val="FootnoteReference"/>
        </w:rPr>
        <w:footnoteRef/>
      </w:r>
      <w:r w:rsidRPr="00DE45DF">
        <w:t xml:space="preserve"> </w:t>
      </w:r>
      <w:r w:rsidRPr="00DE45DF">
        <w:tab/>
        <w:t xml:space="preserve">Voir l’Eurobaromètre spécial </w:t>
      </w:r>
      <w:r w:rsidRPr="00DE45DF">
        <w:t>464</w:t>
      </w:r>
      <w:r w:rsidRPr="00DE45DF">
        <w:t>b intitulé «L’attitude des Européens à l’ég</w:t>
      </w:r>
      <w:r w:rsidRPr="00DE45DF">
        <w:t xml:space="preserve">ard de la sécurité», publié le </w:t>
      </w:r>
      <w:r w:rsidRPr="00DE45DF">
        <w:t>12</w:t>
      </w:r>
      <w:r w:rsidRPr="00DE45DF">
        <w:t> décembre </w:t>
      </w:r>
      <w:r w:rsidRPr="00DE45DF">
        <w:t>2017</w:t>
      </w:r>
      <w:r w:rsidRPr="00DE45DF">
        <w:t xml:space="preserve">: </w:t>
      </w:r>
      <w:hyperlink r:id="rId2">
        <w:r w:rsidRPr="00DE45DF">
          <w:rPr>
            <w:rStyle w:val="Hyperlink"/>
          </w:rPr>
          <w:t>http://ec.europa.eu/commfrontoffice/publicopinion/index.cfm/Survey/getS</w:t>
        </w:r>
        <w:r w:rsidRPr="00DE45DF">
          <w:rPr>
            <w:rStyle w:val="Hyperlink"/>
          </w:rPr>
          <w:t>urveyDetail/instruments/SPECIAL/surveyKy/1569</w:t>
        </w:r>
      </w:hyperlink>
      <w:r w:rsidRPr="00DE45DF">
        <w:t>.</w:t>
      </w:r>
    </w:p>
  </w:footnote>
  <w:footnote w:id="7">
    <w:p w:rsidR="005E240D" w:rsidRPr="00DE45DF" w:rsidRDefault="00DE45DF">
      <w:pPr>
        <w:pStyle w:val="FootnoteText"/>
        <w:ind w:left="357" w:hanging="357"/>
      </w:pPr>
      <w:r w:rsidRPr="00DE45DF">
        <w:rPr>
          <w:rStyle w:val="FootnoteReference"/>
        </w:rPr>
        <w:footnoteRef/>
      </w:r>
      <w:r w:rsidRPr="00DE45DF">
        <w:t xml:space="preserve"> </w:t>
      </w:r>
      <w:r w:rsidRPr="00DE45DF">
        <w:tab/>
        <w:t>COM(</w:t>
      </w:r>
      <w:r w:rsidRPr="00DE45DF">
        <w:t>2016</w:t>
      </w:r>
      <w:r w:rsidRPr="00DE45DF">
        <w:t>) </w:t>
      </w:r>
      <w:r w:rsidRPr="00DE45DF">
        <w:t>205</w:t>
      </w:r>
      <w:r w:rsidRPr="00DE45DF">
        <w:t xml:space="preserve"> </w:t>
      </w:r>
      <w:proofErr w:type="gramStart"/>
      <w:r w:rsidRPr="00DE45DF">
        <w:t>final</w:t>
      </w:r>
      <w:proofErr w:type="gramEnd"/>
      <w:r w:rsidRPr="00DE45DF">
        <w:t xml:space="preserve"> du </w:t>
      </w:r>
      <w:r w:rsidRPr="00DE45DF">
        <w:t>6</w:t>
      </w:r>
      <w:r w:rsidRPr="00DE45DF">
        <w:t>.</w:t>
      </w:r>
      <w:r w:rsidRPr="00DE45DF">
        <w:t>4</w:t>
      </w:r>
      <w:r w:rsidRPr="00DE45DF">
        <w:t>.</w:t>
      </w:r>
      <w:r w:rsidRPr="00DE45DF">
        <w:t>2016</w:t>
      </w:r>
      <w:r w:rsidRPr="00DE45DF">
        <w:t>.</w:t>
      </w:r>
    </w:p>
  </w:footnote>
  <w:footnote w:id="8">
    <w:p w:rsidR="005E240D" w:rsidRPr="00DE45DF" w:rsidRDefault="00DE45DF">
      <w:pPr>
        <w:pStyle w:val="FootnoteText"/>
        <w:ind w:left="357" w:hanging="357"/>
      </w:pPr>
      <w:r w:rsidRPr="00DE45DF">
        <w:rPr>
          <w:rStyle w:val="FootnoteReference"/>
        </w:rPr>
        <w:footnoteRef/>
      </w:r>
      <w:r w:rsidRPr="00DE45DF">
        <w:t xml:space="preserve"> </w:t>
      </w:r>
      <w:r w:rsidRPr="00DE45DF">
        <w:tab/>
        <w:t xml:space="preserve">Le système d’information Schengen, </w:t>
      </w:r>
      <w:proofErr w:type="spellStart"/>
      <w:r w:rsidRPr="00DE45DF">
        <w:t>Eurodac</w:t>
      </w:r>
      <w:proofErr w:type="spellEnd"/>
      <w:r w:rsidRPr="00DE45DF">
        <w:t xml:space="preserve">, le système d’information sur les visas, le futur système d’entrée/de sortie, le système européen proposé d’information et </w:t>
      </w:r>
      <w:r w:rsidRPr="00DE45DF">
        <w:t>d’autorisation concernant les voyages et le système européen proposé d’information sur les casiers judiciaires englobant les ressortissants de pays tiers.</w:t>
      </w:r>
    </w:p>
  </w:footnote>
  <w:footnote w:id="9">
    <w:p w:rsidR="005E240D" w:rsidRPr="00DE45DF" w:rsidRDefault="00DE45DF">
      <w:pPr>
        <w:pStyle w:val="FootnoteText"/>
        <w:ind w:left="357" w:hanging="357"/>
      </w:pPr>
      <w:r w:rsidRPr="00DE45DF">
        <w:rPr>
          <w:rStyle w:val="FootnoteReference"/>
        </w:rPr>
        <w:footnoteRef/>
      </w:r>
      <w:r w:rsidRPr="00DE45DF">
        <w:t xml:space="preserve"> </w:t>
      </w:r>
      <w:r w:rsidRPr="00DE45DF">
        <w:tab/>
        <w:t xml:space="preserve">Le système d’information Schengen, </w:t>
      </w:r>
      <w:proofErr w:type="spellStart"/>
      <w:r w:rsidRPr="00DE45DF">
        <w:t>Eurodac</w:t>
      </w:r>
      <w:proofErr w:type="spellEnd"/>
      <w:r w:rsidRPr="00DE45DF">
        <w:t>, le système d’information sur les visas, le futur systè</w:t>
      </w:r>
      <w:r w:rsidRPr="00DE45DF">
        <w:t>me d’entrée/de sortie et le système européen proposé d’information sur les casiers judiciaires englobant les ressortissants de pays tiers.</w:t>
      </w:r>
    </w:p>
  </w:footnote>
  <w:footnote w:id="10">
    <w:p w:rsidR="005E240D" w:rsidRPr="00DE45DF" w:rsidRDefault="00DE45DF">
      <w:pPr>
        <w:pStyle w:val="FootnoteText"/>
        <w:ind w:left="357" w:hanging="357"/>
      </w:pPr>
      <w:r w:rsidRPr="00DE45DF">
        <w:rPr>
          <w:rStyle w:val="FootnoteReference"/>
        </w:rPr>
        <w:footnoteRef/>
      </w:r>
      <w:r w:rsidRPr="00DE45DF">
        <w:t xml:space="preserve"> </w:t>
      </w:r>
      <w:r w:rsidRPr="00DE45DF">
        <w:tab/>
      </w:r>
      <w:proofErr w:type="spellStart"/>
      <w:r w:rsidRPr="00DE45DF">
        <w:t>Eurodac</w:t>
      </w:r>
      <w:proofErr w:type="spellEnd"/>
      <w:r w:rsidRPr="00DE45DF">
        <w:t xml:space="preserve">, le système d’information sur les visas, le futur système d’entrée/de sortie, le système européen proposé </w:t>
      </w:r>
      <w:r w:rsidRPr="00DE45DF">
        <w:t>d’information et d’autorisation concernant les voyages et le système européen proposé d’information sur les casiers judiciaires englobant les ressortissants de pays tiers.</w:t>
      </w:r>
    </w:p>
  </w:footnote>
  <w:footnote w:id="11">
    <w:p w:rsidR="005E240D" w:rsidRPr="00DE45DF" w:rsidRDefault="00DE45DF">
      <w:pPr>
        <w:pStyle w:val="FootnoteText"/>
        <w:ind w:left="357" w:hanging="357"/>
      </w:pPr>
      <w:r w:rsidRPr="00DE45DF">
        <w:rPr>
          <w:rStyle w:val="FootnoteReference"/>
        </w:rPr>
        <w:footnoteRef/>
      </w:r>
      <w:r w:rsidRPr="00DE45DF">
        <w:t xml:space="preserve"> </w:t>
      </w:r>
      <w:r w:rsidRPr="00DE45DF">
        <w:tab/>
        <w:t xml:space="preserve">Le système d’information Schengen, </w:t>
      </w:r>
      <w:proofErr w:type="spellStart"/>
      <w:r w:rsidRPr="00DE45DF">
        <w:t>Eurodac</w:t>
      </w:r>
      <w:proofErr w:type="spellEnd"/>
      <w:r w:rsidRPr="00DE45DF">
        <w:t>, le système d’information sur les visa</w:t>
      </w:r>
      <w:r w:rsidRPr="00DE45DF">
        <w:t>s, le futur système d’entrée/de sortie, le système européen proposé d’information et d’autorisation concernant les voyages et le système européen proposé d’information sur les casiers judiciaires englobant les ressortissants de pays tiers.</w:t>
      </w:r>
    </w:p>
  </w:footnote>
  <w:footnote w:id="12">
    <w:p w:rsidR="005E240D" w:rsidRPr="00DE45DF" w:rsidRDefault="00DE45DF">
      <w:pPr>
        <w:pStyle w:val="FootnoteText"/>
        <w:ind w:left="357" w:hanging="357"/>
      </w:pPr>
      <w:r w:rsidRPr="00DE45DF">
        <w:rPr>
          <w:rStyle w:val="FootnoteReference"/>
        </w:rPr>
        <w:footnoteRef/>
      </w:r>
      <w:r w:rsidRPr="00DE45DF">
        <w:t xml:space="preserve"> </w:t>
      </w:r>
      <w:r w:rsidRPr="00DE45DF">
        <w:tab/>
        <w:t>C(</w:t>
      </w:r>
      <w:r w:rsidRPr="00DE45DF">
        <w:t>2017</w:t>
      </w:r>
      <w:r w:rsidRPr="00DE45DF">
        <w:t>) </w:t>
      </w:r>
      <w:r w:rsidRPr="00DE45DF">
        <w:t>3349</w:t>
      </w:r>
      <w:r w:rsidRPr="00DE45DF">
        <w:t xml:space="preserve"> </w:t>
      </w:r>
      <w:r w:rsidRPr="00DE45DF">
        <w:t xml:space="preserve">final du </w:t>
      </w:r>
      <w:r w:rsidRPr="00DE45DF">
        <w:t>12</w:t>
      </w:r>
      <w:r w:rsidRPr="00DE45DF">
        <w:t>.</w:t>
      </w:r>
      <w:r w:rsidRPr="00DE45DF">
        <w:t>5</w:t>
      </w:r>
      <w:r w:rsidRPr="00DE45DF">
        <w:t>.</w:t>
      </w:r>
      <w:r w:rsidRPr="00DE45DF">
        <w:t>2017</w:t>
      </w:r>
      <w:r w:rsidRPr="00DE45DF">
        <w:t>.</w:t>
      </w:r>
    </w:p>
  </w:footnote>
  <w:footnote w:id="13">
    <w:p w:rsidR="005E240D" w:rsidRPr="00DE45DF" w:rsidRDefault="00DE45DF">
      <w:pPr>
        <w:pStyle w:val="FootnoteText"/>
        <w:ind w:left="357" w:hanging="357"/>
      </w:pPr>
      <w:r w:rsidRPr="00DE45DF">
        <w:rPr>
          <w:rStyle w:val="FootnoteReference"/>
        </w:rPr>
        <w:footnoteRef/>
      </w:r>
      <w:r w:rsidRPr="00DE45DF">
        <w:t xml:space="preserve"> </w:t>
      </w:r>
      <w:r w:rsidRPr="00DE45DF">
        <w:tab/>
        <w:t xml:space="preserve">Ce groupe a été institué par la décision </w:t>
      </w:r>
      <w:r w:rsidRPr="00DE45DF">
        <w:t>2016</w:t>
      </w:r>
      <w:r w:rsidRPr="00DE45DF">
        <w:t xml:space="preserve">/C </w:t>
      </w:r>
      <w:r w:rsidRPr="00DE45DF">
        <w:t>257</w:t>
      </w:r>
      <w:r w:rsidRPr="00DE45DF">
        <w:t>/</w:t>
      </w:r>
      <w:r w:rsidRPr="00DE45DF">
        <w:t>03</w:t>
      </w:r>
      <w:r w:rsidRPr="00DE45DF">
        <w:t xml:space="preserve"> de la Commission du </w:t>
      </w:r>
      <w:r w:rsidRPr="00DE45DF">
        <w:t>17</w:t>
      </w:r>
      <w:r w:rsidRPr="00DE45DF">
        <w:t>.</w:t>
      </w:r>
      <w:r w:rsidRPr="00DE45DF">
        <w:t>6</w:t>
      </w:r>
      <w:r w:rsidRPr="00DE45DF">
        <w:t>.</w:t>
      </w:r>
      <w:r w:rsidRPr="00DE45DF">
        <w:t>2016</w:t>
      </w:r>
      <w:r w:rsidRPr="00DE45DF">
        <w:t>. Il a réuni des experts des États membres et des pays Schengen associés, ainsi que des agences de l’UE: eu-LISA, Europol, Bureau européen d’appui en</w:t>
      </w:r>
      <w:r w:rsidRPr="00DE45DF">
        <w:t xml:space="preserve"> matière d’asile, Agence européenne de garde-frontières et de garde-côtes et Agence des droits fondamentaux. Le Coordinateur de l’UE pour la lutte contre le terrorisme et le Contrôleur européen de la protection des données ont participé en tant que membres</w:t>
      </w:r>
      <w:r w:rsidRPr="00DE45DF">
        <w:t xml:space="preserve"> à part entière. Des représentants du secrétariat de la commission des libertés civiles, de la justice et des affaires intérieures (LIBE) du Parlement européen et du secrétariat général du Conseil étaient présents en tant qu’observateurs. Le rapport final </w:t>
      </w:r>
      <w:r w:rsidRPr="00DE45DF">
        <w:t xml:space="preserve">du groupe d’experts peut être consulté à l’adresse suivante: </w:t>
      </w:r>
      <w:hyperlink r:id="rId3">
        <w:r w:rsidRPr="00DE45DF">
          <w:rPr>
            <w:rStyle w:val="Hyperlink"/>
          </w:rPr>
          <w:t>http://ec.europa.eu/transparency/regexpert/index.cfm?do=groupDetail.groupDetail</w:t>
        </w:r>
        <w:r w:rsidRPr="00DE45DF">
          <w:rPr>
            <w:rStyle w:val="Hyperlink"/>
          </w:rPr>
          <w:t>Doc&amp;id=32600&amp;no=1</w:t>
        </w:r>
      </w:hyperlink>
      <w:r w:rsidRPr="00DE45DF">
        <w:t>. Ses annexes comprennent la synthèse d’un rapport de l’Agence des droits fondamentaux ainsi que des déclarations du Contrôleur européen de la protection des données et du Coordinateur de l’UE pour la lutte contre le terrorisme.</w:t>
      </w:r>
    </w:p>
  </w:footnote>
  <w:footnote w:id="14">
    <w:p w:rsidR="005E240D" w:rsidRPr="00DE45DF" w:rsidRDefault="00DE45DF">
      <w:pPr>
        <w:pStyle w:val="FootnoteText"/>
        <w:ind w:left="357" w:hanging="357"/>
      </w:pPr>
      <w:r w:rsidRPr="00DE45DF">
        <w:rPr>
          <w:rStyle w:val="FootnoteReference"/>
        </w:rPr>
        <w:footnoteRef/>
      </w:r>
      <w:r w:rsidRPr="00DE45DF">
        <w:t xml:space="preserve"> </w:t>
      </w:r>
      <w:r w:rsidRPr="00DE45DF">
        <w:tab/>
        <w:t>Les pro</w:t>
      </w:r>
      <w:r w:rsidRPr="00DE45DF">
        <w:t xml:space="preserve">positions de règlements relatifs au système européen d’information et d’autorisation concernant les voyages et au système d’information sur les casiers judiciaires pour les ressortissants de pays tiers, les règlements concernant </w:t>
      </w:r>
      <w:proofErr w:type="spellStart"/>
      <w:r w:rsidRPr="00DE45DF">
        <w:t>Eurodac</w:t>
      </w:r>
      <w:proofErr w:type="spellEnd"/>
      <w:r w:rsidRPr="00DE45DF">
        <w:t>, le système d’infor</w:t>
      </w:r>
      <w:r w:rsidRPr="00DE45DF">
        <w:t>mation Schengen et eu-LISA, ainsi que les modifications corrélatives de la proposition de règlement relatif au système européen d’information et d’autorisation concernant les voyages qui concernent le règlement sur l’Agence européenne de garde-frontières e</w:t>
      </w:r>
      <w:r w:rsidRPr="00DE45DF">
        <w:t>t de garde-côtes.</w:t>
      </w:r>
    </w:p>
  </w:footnote>
  <w:footnote w:id="15">
    <w:p w:rsidR="005E240D" w:rsidRPr="00DE45DF" w:rsidRDefault="00DE45DF">
      <w:pPr>
        <w:pStyle w:val="FootnoteText"/>
        <w:ind w:left="357" w:hanging="357"/>
      </w:pPr>
      <w:r w:rsidRPr="00DE45DF">
        <w:rPr>
          <w:rStyle w:val="FootnoteReference"/>
        </w:rPr>
        <w:footnoteRef/>
      </w:r>
      <w:r w:rsidRPr="00DE45DF">
        <w:t xml:space="preserve"> </w:t>
      </w:r>
      <w:r w:rsidRPr="00DE45DF">
        <w:tab/>
        <w:t xml:space="preserve">Règlement (UE) </w:t>
      </w:r>
      <w:r w:rsidRPr="00DE45DF">
        <w:t>2017</w:t>
      </w:r>
      <w:r w:rsidRPr="00DE45DF">
        <w:t>/</w:t>
      </w:r>
      <w:r w:rsidRPr="00DE45DF">
        <w:t>2226</w:t>
      </w:r>
      <w:r w:rsidRPr="00DE45DF">
        <w:t xml:space="preserve"> du </w:t>
      </w:r>
      <w:r w:rsidRPr="00DE45DF">
        <w:t>30</w:t>
      </w:r>
      <w:r w:rsidRPr="00DE45DF">
        <w:t>.</w:t>
      </w:r>
      <w:r w:rsidRPr="00DE45DF">
        <w:t>11</w:t>
      </w:r>
      <w:r w:rsidRPr="00DE45DF">
        <w:t>.</w:t>
      </w:r>
      <w:r w:rsidRPr="00DE45DF">
        <w:t>2017</w:t>
      </w:r>
      <w:r w:rsidRPr="00DE45DF">
        <w:t>.</w:t>
      </w:r>
    </w:p>
  </w:footnote>
  <w:footnote w:id="16">
    <w:p w:rsidR="005E240D" w:rsidRPr="00DE45DF" w:rsidRDefault="00DE45DF">
      <w:pPr>
        <w:pStyle w:val="FootnoteText"/>
        <w:ind w:left="357" w:hanging="357"/>
      </w:pPr>
      <w:r w:rsidRPr="00DE45DF">
        <w:rPr>
          <w:rStyle w:val="FootnoteReference"/>
        </w:rPr>
        <w:footnoteRef/>
      </w:r>
      <w:r w:rsidRPr="00DE45DF">
        <w:t xml:space="preserve"> </w:t>
      </w:r>
      <w:r w:rsidRPr="00DE45DF">
        <w:tab/>
        <w:t xml:space="preserve">Règlement (UE) </w:t>
      </w:r>
      <w:r w:rsidRPr="00DE45DF">
        <w:t>2017</w:t>
      </w:r>
      <w:r w:rsidRPr="00DE45DF">
        <w:t>/</w:t>
      </w:r>
      <w:r w:rsidRPr="00DE45DF">
        <w:t>2225</w:t>
      </w:r>
      <w:r w:rsidRPr="00DE45DF">
        <w:t xml:space="preserve"> du </w:t>
      </w:r>
      <w:r w:rsidRPr="00DE45DF">
        <w:t>30</w:t>
      </w:r>
      <w:r w:rsidRPr="00DE45DF">
        <w:t>.</w:t>
      </w:r>
      <w:r w:rsidRPr="00DE45DF">
        <w:t>11</w:t>
      </w:r>
      <w:r w:rsidRPr="00DE45DF">
        <w:t>.</w:t>
      </w:r>
      <w:r w:rsidRPr="00DE45DF">
        <w:t>2017</w:t>
      </w:r>
      <w:r w:rsidRPr="00DE45DF">
        <w:t>.</w:t>
      </w:r>
    </w:p>
  </w:footnote>
  <w:footnote w:id="17">
    <w:p w:rsidR="005E240D" w:rsidRPr="00DE45DF" w:rsidRDefault="00DE45DF">
      <w:pPr>
        <w:pStyle w:val="FootnoteText"/>
        <w:ind w:left="357" w:hanging="357"/>
        <w:rPr>
          <w:lang w:val="pt-PT"/>
        </w:rPr>
      </w:pPr>
      <w:r w:rsidRPr="00DE45DF">
        <w:rPr>
          <w:rStyle w:val="FootnoteReference"/>
        </w:rPr>
        <w:footnoteRef/>
      </w:r>
      <w:r w:rsidRPr="00DE45DF">
        <w:rPr>
          <w:lang w:val="pt-PT"/>
        </w:rPr>
        <w:t xml:space="preserve"> </w:t>
      </w:r>
      <w:r w:rsidRPr="00DE45DF">
        <w:rPr>
          <w:lang w:val="pt-PT"/>
        </w:rPr>
        <w:tab/>
      </w:r>
      <w:proofErr w:type="gramStart"/>
      <w:r w:rsidRPr="00DE45DF">
        <w:rPr>
          <w:lang w:val="pt-PT"/>
        </w:rPr>
        <w:t>COM(</w:t>
      </w:r>
      <w:r w:rsidRPr="00DE45DF">
        <w:rPr>
          <w:lang w:val="pt-PT"/>
        </w:rPr>
        <w:t>2016</w:t>
      </w:r>
      <w:proofErr w:type="gramEnd"/>
      <w:r w:rsidRPr="00DE45DF">
        <w:rPr>
          <w:lang w:val="pt-PT"/>
        </w:rPr>
        <w:t>) </w:t>
      </w:r>
      <w:r w:rsidRPr="00DE45DF">
        <w:rPr>
          <w:lang w:val="pt-PT"/>
        </w:rPr>
        <w:t>881</w:t>
      </w:r>
      <w:r w:rsidRPr="00DE45DF">
        <w:rPr>
          <w:lang w:val="pt-PT"/>
        </w:rPr>
        <w:t xml:space="preserve"> final, COM(</w:t>
      </w:r>
      <w:r w:rsidRPr="00DE45DF">
        <w:rPr>
          <w:lang w:val="pt-PT"/>
        </w:rPr>
        <w:t>2016</w:t>
      </w:r>
      <w:r w:rsidRPr="00DE45DF">
        <w:rPr>
          <w:lang w:val="pt-PT"/>
        </w:rPr>
        <w:t>) </w:t>
      </w:r>
      <w:r w:rsidRPr="00DE45DF">
        <w:rPr>
          <w:lang w:val="pt-PT"/>
        </w:rPr>
        <w:t>882</w:t>
      </w:r>
      <w:r w:rsidRPr="00DE45DF">
        <w:rPr>
          <w:lang w:val="pt-PT"/>
        </w:rPr>
        <w:t xml:space="preserve"> final </w:t>
      </w:r>
      <w:proofErr w:type="spellStart"/>
      <w:r w:rsidRPr="00DE45DF">
        <w:rPr>
          <w:lang w:val="pt-PT"/>
        </w:rPr>
        <w:t>et</w:t>
      </w:r>
      <w:proofErr w:type="spellEnd"/>
      <w:r w:rsidRPr="00DE45DF">
        <w:rPr>
          <w:lang w:val="pt-PT"/>
        </w:rPr>
        <w:t xml:space="preserve"> COM(</w:t>
      </w:r>
      <w:r w:rsidRPr="00DE45DF">
        <w:rPr>
          <w:lang w:val="pt-PT"/>
        </w:rPr>
        <w:t>2016</w:t>
      </w:r>
      <w:r w:rsidRPr="00DE45DF">
        <w:rPr>
          <w:lang w:val="pt-PT"/>
        </w:rPr>
        <w:t>) </w:t>
      </w:r>
      <w:r w:rsidRPr="00DE45DF">
        <w:rPr>
          <w:lang w:val="pt-PT"/>
        </w:rPr>
        <w:t>883</w:t>
      </w:r>
      <w:r w:rsidRPr="00DE45DF">
        <w:rPr>
          <w:lang w:val="pt-PT"/>
        </w:rPr>
        <w:t xml:space="preserve"> final </w:t>
      </w:r>
      <w:proofErr w:type="spellStart"/>
      <w:r w:rsidRPr="00DE45DF">
        <w:rPr>
          <w:lang w:val="pt-PT"/>
        </w:rPr>
        <w:t>du</w:t>
      </w:r>
      <w:proofErr w:type="spellEnd"/>
      <w:r w:rsidRPr="00DE45DF">
        <w:rPr>
          <w:lang w:val="pt-PT"/>
        </w:rPr>
        <w:t xml:space="preserve"> </w:t>
      </w:r>
      <w:r w:rsidRPr="00DE45DF">
        <w:rPr>
          <w:lang w:val="pt-PT"/>
        </w:rPr>
        <w:t>21</w:t>
      </w:r>
      <w:r w:rsidRPr="00DE45DF">
        <w:rPr>
          <w:lang w:val="pt-PT"/>
        </w:rPr>
        <w:t>.</w:t>
      </w:r>
      <w:r w:rsidRPr="00DE45DF">
        <w:rPr>
          <w:lang w:val="pt-PT"/>
        </w:rPr>
        <w:t>12</w:t>
      </w:r>
      <w:r w:rsidRPr="00DE45DF">
        <w:rPr>
          <w:lang w:val="pt-PT"/>
        </w:rPr>
        <w:t>.</w:t>
      </w:r>
      <w:r w:rsidRPr="00DE45DF">
        <w:rPr>
          <w:lang w:val="pt-PT"/>
        </w:rPr>
        <w:t>2016</w:t>
      </w:r>
      <w:r w:rsidRPr="00DE45DF">
        <w:rPr>
          <w:lang w:val="pt-PT"/>
        </w:rPr>
        <w:t>.</w:t>
      </w:r>
    </w:p>
  </w:footnote>
  <w:footnote w:id="18">
    <w:p w:rsidR="005E240D" w:rsidRPr="00DE45DF" w:rsidRDefault="00DE45DF">
      <w:pPr>
        <w:pStyle w:val="FootnoteText"/>
        <w:ind w:left="357" w:hanging="357"/>
        <w:rPr>
          <w:lang w:val="pt-PT"/>
        </w:rPr>
      </w:pPr>
      <w:r w:rsidRPr="00DE45DF">
        <w:rPr>
          <w:rStyle w:val="FootnoteReference"/>
        </w:rPr>
        <w:footnoteRef/>
      </w:r>
      <w:r w:rsidRPr="00DE45DF">
        <w:rPr>
          <w:lang w:val="pt-PT"/>
        </w:rPr>
        <w:t xml:space="preserve"> </w:t>
      </w:r>
      <w:r w:rsidRPr="00DE45DF">
        <w:rPr>
          <w:lang w:val="pt-PT"/>
        </w:rPr>
        <w:tab/>
      </w:r>
      <w:proofErr w:type="gramStart"/>
      <w:r w:rsidRPr="00DE45DF">
        <w:rPr>
          <w:lang w:val="pt-PT"/>
        </w:rPr>
        <w:t>COM(</w:t>
      </w:r>
      <w:r w:rsidRPr="00DE45DF">
        <w:rPr>
          <w:lang w:val="pt-PT"/>
        </w:rPr>
        <w:t>2016</w:t>
      </w:r>
      <w:proofErr w:type="gramEnd"/>
      <w:r w:rsidRPr="00DE45DF">
        <w:rPr>
          <w:lang w:val="pt-PT"/>
        </w:rPr>
        <w:t>) </w:t>
      </w:r>
      <w:r w:rsidRPr="00DE45DF">
        <w:rPr>
          <w:lang w:val="pt-PT"/>
        </w:rPr>
        <w:t>272</w:t>
      </w:r>
      <w:r w:rsidRPr="00DE45DF">
        <w:rPr>
          <w:lang w:val="pt-PT"/>
        </w:rPr>
        <w:t xml:space="preserve"> final </w:t>
      </w:r>
      <w:proofErr w:type="spellStart"/>
      <w:r w:rsidRPr="00DE45DF">
        <w:rPr>
          <w:lang w:val="pt-PT"/>
        </w:rPr>
        <w:t>du</w:t>
      </w:r>
      <w:proofErr w:type="spellEnd"/>
      <w:r w:rsidRPr="00DE45DF">
        <w:rPr>
          <w:lang w:val="pt-PT"/>
        </w:rPr>
        <w:t xml:space="preserve"> </w:t>
      </w:r>
      <w:r w:rsidRPr="00DE45DF">
        <w:rPr>
          <w:lang w:val="pt-PT"/>
        </w:rPr>
        <w:t>4</w:t>
      </w:r>
      <w:r w:rsidRPr="00DE45DF">
        <w:rPr>
          <w:lang w:val="pt-PT"/>
        </w:rPr>
        <w:t>.</w:t>
      </w:r>
      <w:r w:rsidRPr="00DE45DF">
        <w:rPr>
          <w:lang w:val="pt-PT"/>
        </w:rPr>
        <w:t>5</w:t>
      </w:r>
      <w:r w:rsidRPr="00DE45DF">
        <w:rPr>
          <w:lang w:val="pt-PT"/>
        </w:rPr>
        <w:t>.</w:t>
      </w:r>
      <w:r w:rsidRPr="00DE45DF">
        <w:rPr>
          <w:lang w:val="pt-PT"/>
        </w:rPr>
        <w:t>2016</w:t>
      </w:r>
      <w:r w:rsidRPr="00DE45DF">
        <w:rPr>
          <w:lang w:val="pt-PT"/>
        </w:rPr>
        <w:t>.</w:t>
      </w:r>
    </w:p>
  </w:footnote>
  <w:footnote w:id="19">
    <w:p w:rsidR="005E240D" w:rsidRPr="00DE45DF" w:rsidRDefault="00DE45DF">
      <w:pPr>
        <w:pStyle w:val="FootnoteText"/>
        <w:ind w:left="357" w:hanging="357"/>
        <w:rPr>
          <w:lang w:val="pt-PT"/>
        </w:rPr>
      </w:pPr>
      <w:r w:rsidRPr="00DE45DF">
        <w:rPr>
          <w:rStyle w:val="FootnoteReference"/>
        </w:rPr>
        <w:footnoteRef/>
      </w:r>
      <w:r w:rsidRPr="00DE45DF">
        <w:rPr>
          <w:lang w:val="pt-PT"/>
        </w:rPr>
        <w:t xml:space="preserve"> </w:t>
      </w:r>
      <w:r w:rsidRPr="00DE45DF">
        <w:rPr>
          <w:lang w:val="pt-PT"/>
        </w:rPr>
        <w:tab/>
      </w:r>
      <w:proofErr w:type="gramStart"/>
      <w:r w:rsidRPr="00DE45DF">
        <w:rPr>
          <w:lang w:val="pt-PT"/>
        </w:rPr>
        <w:t>COM(</w:t>
      </w:r>
      <w:r w:rsidRPr="00DE45DF">
        <w:rPr>
          <w:lang w:val="pt-PT"/>
        </w:rPr>
        <w:t>2017</w:t>
      </w:r>
      <w:proofErr w:type="gramEnd"/>
      <w:r w:rsidRPr="00DE45DF">
        <w:rPr>
          <w:lang w:val="pt-PT"/>
        </w:rPr>
        <w:t>) </w:t>
      </w:r>
      <w:r w:rsidRPr="00DE45DF">
        <w:rPr>
          <w:lang w:val="pt-PT"/>
        </w:rPr>
        <w:t>820</w:t>
      </w:r>
      <w:r w:rsidRPr="00DE45DF">
        <w:rPr>
          <w:lang w:val="pt-PT"/>
        </w:rPr>
        <w:t xml:space="preserve"> final </w:t>
      </w:r>
      <w:proofErr w:type="spellStart"/>
      <w:r w:rsidRPr="00DE45DF">
        <w:rPr>
          <w:lang w:val="pt-PT"/>
        </w:rPr>
        <w:t>du</w:t>
      </w:r>
      <w:proofErr w:type="spellEnd"/>
      <w:r w:rsidRPr="00DE45DF">
        <w:rPr>
          <w:lang w:val="pt-PT"/>
        </w:rPr>
        <w:t xml:space="preserve"> </w:t>
      </w:r>
      <w:r w:rsidRPr="00DE45DF">
        <w:rPr>
          <w:lang w:val="pt-PT"/>
        </w:rPr>
        <w:t>7</w:t>
      </w:r>
      <w:r w:rsidRPr="00DE45DF">
        <w:rPr>
          <w:lang w:val="pt-PT"/>
        </w:rPr>
        <w:t>.</w:t>
      </w:r>
      <w:r w:rsidRPr="00DE45DF">
        <w:rPr>
          <w:lang w:val="pt-PT"/>
        </w:rPr>
        <w:t>12</w:t>
      </w:r>
      <w:r w:rsidRPr="00DE45DF">
        <w:rPr>
          <w:lang w:val="pt-PT"/>
        </w:rPr>
        <w:t>.</w:t>
      </w:r>
      <w:r w:rsidRPr="00DE45DF">
        <w:rPr>
          <w:lang w:val="pt-PT"/>
        </w:rPr>
        <w:t>2017</w:t>
      </w:r>
      <w:r w:rsidRPr="00DE45DF">
        <w:rPr>
          <w:lang w:val="pt-PT"/>
        </w:rPr>
        <w:t>.</w:t>
      </w:r>
    </w:p>
  </w:footnote>
  <w:footnote w:id="20">
    <w:p w:rsidR="005E240D" w:rsidRPr="00DE45DF" w:rsidRDefault="00DE45DF">
      <w:pPr>
        <w:pStyle w:val="FootnoteText"/>
        <w:ind w:left="357" w:hanging="357"/>
        <w:rPr>
          <w:lang w:val="pt-PT"/>
        </w:rPr>
      </w:pPr>
      <w:r w:rsidRPr="00DE45DF">
        <w:rPr>
          <w:rStyle w:val="FootnoteReference"/>
        </w:rPr>
        <w:footnoteRef/>
      </w:r>
      <w:r w:rsidRPr="00DE45DF">
        <w:rPr>
          <w:lang w:val="pt-PT"/>
        </w:rPr>
        <w:t xml:space="preserve"> </w:t>
      </w:r>
      <w:r w:rsidRPr="00DE45DF">
        <w:rPr>
          <w:lang w:val="pt-PT"/>
        </w:rPr>
        <w:tab/>
      </w:r>
      <w:proofErr w:type="gramStart"/>
      <w:r w:rsidRPr="00DE45DF">
        <w:rPr>
          <w:lang w:val="pt-PT"/>
        </w:rPr>
        <w:t>COM(</w:t>
      </w:r>
      <w:r w:rsidRPr="00DE45DF">
        <w:rPr>
          <w:lang w:val="pt-PT"/>
        </w:rPr>
        <w:t>2017</w:t>
      </w:r>
      <w:proofErr w:type="gramEnd"/>
      <w:r w:rsidRPr="00DE45DF">
        <w:rPr>
          <w:lang w:val="pt-PT"/>
        </w:rPr>
        <w:t>) </w:t>
      </w:r>
      <w:r w:rsidRPr="00DE45DF">
        <w:rPr>
          <w:lang w:val="pt-PT"/>
        </w:rPr>
        <w:t>344</w:t>
      </w:r>
      <w:r w:rsidRPr="00DE45DF">
        <w:rPr>
          <w:lang w:val="pt-PT"/>
        </w:rPr>
        <w:t xml:space="preserve"> final </w:t>
      </w:r>
      <w:proofErr w:type="spellStart"/>
      <w:r w:rsidRPr="00DE45DF">
        <w:rPr>
          <w:lang w:val="pt-PT"/>
        </w:rPr>
        <w:t>du</w:t>
      </w:r>
      <w:proofErr w:type="spellEnd"/>
      <w:r w:rsidRPr="00DE45DF">
        <w:rPr>
          <w:lang w:val="pt-PT"/>
        </w:rPr>
        <w:t xml:space="preserve"> </w:t>
      </w:r>
      <w:r w:rsidRPr="00DE45DF">
        <w:rPr>
          <w:lang w:val="pt-PT"/>
        </w:rPr>
        <w:t>29</w:t>
      </w:r>
      <w:r w:rsidRPr="00DE45DF">
        <w:rPr>
          <w:lang w:val="pt-PT"/>
        </w:rPr>
        <w:t>.</w:t>
      </w:r>
      <w:r w:rsidRPr="00DE45DF">
        <w:rPr>
          <w:lang w:val="pt-PT"/>
        </w:rPr>
        <w:t>6</w:t>
      </w:r>
      <w:r w:rsidRPr="00DE45DF">
        <w:rPr>
          <w:lang w:val="pt-PT"/>
        </w:rPr>
        <w:t>.</w:t>
      </w:r>
      <w:r w:rsidRPr="00DE45DF">
        <w:rPr>
          <w:lang w:val="pt-PT"/>
        </w:rPr>
        <w:t>2017</w:t>
      </w:r>
      <w:r w:rsidRPr="00DE45DF">
        <w:rPr>
          <w:lang w:val="pt-PT"/>
        </w:rPr>
        <w:t>.</w:t>
      </w:r>
    </w:p>
  </w:footnote>
  <w:footnote w:id="21">
    <w:p w:rsidR="005E240D" w:rsidRPr="00DE45DF" w:rsidRDefault="00DE45DF">
      <w:pPr>
        <w:pStyle w:val="FootnoteText"/>
        <w:ind w:left="357" w:hanging="357"/>
        <w:rPr>
          <w:lang w:val="pt-PT"/>
        </w:rPr>
      </w:pPr>
      <w:r w:rsidRPr="00DE45DF">
        <w:rPr>
          <w:rStyle w:val="FootnoteReference"/>
        </w:rPr>
        <w:footnoteRef/>
      </w:r>
      <w:r w:rsidRPr="00DE45DF">
        <w:rPr>
          <w:lang w:val="pt-PT"/>
        </w:rPr>
        <w:t xml:space="preserve"> </w:t>
      </w:r>
      <w:r w:rsidRPr="00DE45DF">
        <w:rPr>
          <w:lang w:val="pt-PT"/>
        </w:rPr>
        <w:tab/>
      </w:r>
      <w:proofErr w:type="gramStart"/>
      <w:r w:rsidRPr="00DE45DF">
        <w:rPr>
          <w:lang w:val="pt-PT"/>
        </w:rPr>
        <w:t>COM(</w:t>
      </w:r>
      <w:r w:rsidRPr="00DE45DF">
        <w:rPr>
          <w:lang w:val="pt-PT"/>
        </w:rPr>
        <w:t>2016</w:t>
      </w:r>
      <w:proofErr w:type="gramEnd"/>
      <w:r w:rsidRPr="00DE45DF">
        <w:rPr>
          <w:lang w:val="pt-PT"/>
        </w:rPr>
        <w:t>) </w:t>
      </w:r>
      <w:r w:rsidRPr="00DE45DF">
        <w:rPr>
          <w:lang w:val="pt-PT"/>
        </w:rPr>
        <w:t>7</w:t>
      </w:r>
      <w:r w:rsidRPr="00DE45DF">
        <w:rPr>
          <w:lang w:val="pt-PT"/>
        </w:rPr>
        <w:t xml:space="preserve"> final </w:t>
      </w:r>
      <w:proofErr w:type="spellStart"/>
      <w:r w:rsidRPr="00DE45DF">
        <w:rPr>
          <w:lang w:val="pt-PT"/>
        </w:rPr>
        <w:t>du</w:t>
      </w:r>
      <w:proofErr w:type="spellEnd"/>
      <w:r w:rsidRPr="00DE45DF">
        <w:rPr>
          <w:lang w:val="pt-PT"/>
        </w:rPr>
        <w:t xml:space="preserve"> </w:t>
      </w:r>
      <w:r w:rsidRPr="00DE45DF">
        <w:rPr>
          <w:lang w:val="pt-PT"/>
        </w:rPr>
        <w:t>19</w:t>
      </w:r>
      <w:r w:rsidRPr="00DE45DF">
        <w:rPr>
          <w:lang w:val="pt-PT"/>
        </w:rPr>
        <w:t>.</w:t>
      </w:r>
      <w:r w:rsidRPr="00DE45DF">
        <w:rPr>
          <w:lang w:val="pt-PT"/>
        </w:rPr>
        <w:t>1</w:t>
      </w:r>
      <w:r w:rsidRPr="00DE45DF">
        <w:rPr>
          <w:lang w:val="pt-PT"/>
        </w:rPr>
        <w:t>.</w:t>
      </w:r>
      <w:r w:rsidRPr="00DE45DF">
        <w:rPr>
          <w:lang w:val="pt-PT"/>
        </w:rPr>
        <w:t>2016</w:t>
      </w:r>
      <w:r w:rsidRPr="00DE45DF">
        <w:rPr>
          <w:lang w:val="pt-PT"/>
        </w:rPr>
        <w:t>.</w:t>
      </w:r>
    </w:p>
  </w:footnote>
  <w:footnote w:id="22">
    <w:p w:rsidR="005E240D" w:rsidRPr="00DE45DF" w:rsidRDefault="00DE45DF">
      <w:pPr>
        <w:pStyle w:val="FootnoteText"/>
        <w:ind w:left="357" w:hanging="357"/>
      </w:pPr>
      <w:r w:rsidRPr="00DE45DF">
        <w:rPr>
          <w:rStyle w:val="FootnoteReference"/>
        </w:rPr>
        <w:footnoteRef/>
      </w:r>
      <w:r w:rsidRPr="00DE45DF">
        <w:t xml:space="preserve"> </w:t>
      </w:r>
      <w:r w:rsidRPr="00DE45DF">
        <w:tab/>
        <w:t>COM(</w:t>
      </w:r>
      <w:r w:rsidRPr="00DE45DF">
        <w:t>2017</w:t>
      </w:r>
      <w:r w:rsidRPr="00DE45DF">
        <w:t>) </w:t>
      </w:r>
      <w:r w:rsidRPr="00DE45DF">
        <w:t>352</w:t>
      </w:r>
      <w:r w:rsidRPr="00DE45DF">
        <w:t xml:space="preserve"> </w:t>
      </w:r>
      <w:proofErr w:type="gramStart"/>
      <w:r w:rsidRPr="00DE45DF">
        <w:t>final</w:t>
      </w:r>
      <w:proofErr w:type="gramEnd"/>
      <w:r w:rsidRPr="00DE45DF">
        <w:t xml:space="preserve"> du </w:t>
      </w:r>
      <w:r w:rsidRPr="00DE45DF">
        <w:t>29</w:t>
      </w:r>
      <w:r w:rsidRPr="00DE45DF">
        <w:t>.</w:t>
      </w:r>
      <w:r w:rsidRPr="00DE45DF">
        <w:t>6</w:t>
      </w:r>
      <w:r w:rsidRPr="00DE45DF">
        <w:t>.</w:t>
      </w:r>
      <w:r w:rsidRPr="00DE45DF">
        <w:t>2017</w:t>
      </w:r>
      <w:r w:rsidRPr="00DE45DF">
        <w:t>.</w:t>
      </w:r>
    </w:p>
  </w:footnote>
  <w:footnote w:id="23">
    <w:p w:rsidR="005E240D" w:rsidRPr="00DE45DF" w:rsidRDefault="00DE45DF">
      <w:pPr>
        <w:pStyle w:val="FootnoteText"/>
        <w:ind w:left="357" w:hanging="357"/>
      </w:pPr>
      <w:r w:rsidRPr="00DE45DF">
        <w:rPr>
          <w:rStyle w:val="FootnoteReference"/>
        </w:rPr>
        <w:footnoteRef/>
      </w:r>
      <w:r w:rsidRPr="00DE45DF">
        <w:t xml:space="preserve"> </w:t>
      </w:r>
      <w:r w:rsidRPr="00DE45DF">
        <w:tab/>
        <w:t xml:space="preserve">Directive (UE) </w:t>
      </w:r>
      <w:r w:rsidRPr="00DE45DF">
        <w:t>2016</w:t>
      </w:r>
      <w:r w:rsidRPr="00DE45DF">
        <w:t>/</w:t>
      </w:r>
      <w:r w:rsidRPr="00DE45DF">
        <w:t>681</w:t>
      </w:r>
      <w:r w:rsidRPr="00DE45DF">
        <w:t xml:space="preserve"> du </w:t>
      </w:r>
      <w:r w:rsidRPr="00DE45DF">
        <w:t>27</w:t>
      </w:r>
      <w:r w:rsidRPr="00DE45DF">
        <w:t>.</w:t>
      </w:r>
      <w:r w:rsidRPr="00DE45DF">
        <w:t>4</w:t>
      </w:r>
      <w:r w:rsidRPr="00DE45DF">
        <w:t>.</w:t>
      </w:r>
      <w:r w:rsidRPr="00DE45DF">
        <w:t>2016</w:t>
      </w:r>
      <w:r w:rsidRPr="00DE45DF">
        <w:t>.</w:t>
      </w:r>
    </w:p>
  </w:footnote>
  <w:footnote w:id="24">
    <w:p w:rsidR="005E240D" w:rsidRPr="00DE45DF" w:rsidRDefault="00DE45DF">
      <w:pPr>
        <w:pStyle w:val="FootnoteText"/>
        <w:ind w:left="357" w:hanging="357"/>
      </w:pPr>
      <w:r w:rsidRPr="00DE45DF">
        <w:rPr>
          <w:rStyle w:val="FootnoteReference"/>
        </w:rPr>
        <w:footnoteRef/>
      </w:r>
      <w:r w:rsidRPr="00DE45DF">
        <w:t xml:space="preserve"> </w:t>
      </w:r>
      <w:r w:rsidRPr="00DE45DF">
        <w:tab/>
        <w:t>SWD(</w:t>
      </w:r>
      <w:r w:rsidRPr="00DE45DF">
        <w:t>2016</w:t>
      </w:r>
      <w:r w:rsidRPr="00DE45DF">
        <w:t>) </w:t>
      </w:r>
      <w:r w:rsidRPr="00DE45DF">
        <w:t>426</w:t>
      </w:r>
      <w:r w:rsidRPr="00DE45DF">
        <w:t xml:space="preserve"> final du </w:t>
      </w:r>
      <w:r w:rsidRPr="00DE45DF">
        <w:t>28</w:t>
      </w:r>
      <w:r w:rsidRPr="00DE45DF">
        <w:t>.</w:t>
      </w:r>
      <w:r w:rsidRPr="00DE45DF">
        <w:t>11</w:t>
      </w:r>
      <w:r w:rsidRPr="00DE45DF">
        <w:t>.</w:t>
      </w:r>
      <w:r w:rsidRPr="00DE45DF">
        <w:t>2016</w:t>
      </w:r>
      <w:r w:rsidRPr="00DE45DF">
        <w:t>.</w:t>
      </w:r>
    </w:p>
  </w:footnote>
  <w:footnote w:id="25">
    <w:p w:rsidR="005E240D" w:rsidRPr="00DE45DF" w:rsidRDefault="00DE45DF">
      <w:pPr>
        <w:pStyle w:val="FootnoteText"/>
        <w:ind w:left="357" w:hanging="357"/>
      </w:pPr>
      <w:r w:rsidRPr="00DE45DF">
        <w:rPr>
          <w:rStyle w:val="FootnoteReference"/>
        </w:rPr>
        <w:footnoteRef/>
      </w:r>
      <w:r w:rsidRPr="00DE45DF">
        <w:t xml:space="preserve"> </w:t>
      </w:r>
      <w:r w:rsidRPr="00DE45DF">
        <w:tab/>
      </w:r>
      <w:r w:rsidRPr="00DE45DF">
        <w:t xml:space="preserve">Comme annoncé dans le cinquième rapport sur les progrès accomplis dans la mise en place d’une union de la sécurité réelle et effective, l’autorité budgétaire a renforcé le budget </w:t>
      </w:r>
      <w:r w:rsidRPr="00DE45DF">
        <w:t>2017</w:t>
      </w:r>
      <w:r w:rsidRPr="00DE45DF">
        <w:t xml:space="preserve"> de l’Union à hauteur de </w:t>
      </w:r>
      <w:r w:rsidRPr="00DE45DF">
        <w:t>70</w:t>
      </w:r>
      <w:r w:rsidRPr="00DE45DF">
        <w:t> millions d’EUR au titre du FSI-Police pour fi</w:t>
      </w:r>
      <w:r w:rsidRPr="00DE45DF">
        <w:t xml:space="preserve">nancer des actions dans le domaine des PNR au cours de la période </w:t>
      </w:r>
      <w:r w:rsidRPr="00DE45DF">
        <w:t>2017</w:t>
      </w:r>
      <w:r w:rsidRPr="00DE45DF">
        <w:t>-</w:t>
      </w:r>
      <w:r w:rsidRPr="00DE45DF">
        <w:t>2020</w:t>
      </w:r>
      <w:r w:rsidRPr="00DE45DF">
        <w:t>. Ces ressources supplémentaires ont été allouées en complément des programmes nationaux des États membres selon la clé de répartition du Fonds. En ce qui concerne les actions de l’</w:t>
      </w:r>
      <w:r w:rsidRPr="00DE45DF">
        <w:t xml:space="preserve">Union, l’actuel projet «PIU.net», sélectionné à la suite d’un appel à propositions </w:t>
      </w:r>
      <w:r w:rsidRPr="00DE45DF">
        <w:t>2016</w:t>
      </w:r>
      <w:r w:rsidRPr="00DE45DF">
        <w:t xml:space="preserve"> dans le cadre du FSI-Police (avec une subvention maximale de </w:t>
      </w:r>
      <w:r w:rsidRPr="00DE45DF">
        <w:t>3</w:t>
      </w:r>
      <w:r w:rsidRPr="00DE45DF">
        <w:t>,</w:t>
      </w:r>
      <w:r w:rsidRPr="00DE45DF">
        <w:t>78</w:t>
      </w:r>
      <w:r w:rsidRPr="00DE45DF">
        <w:t> millions d’EUR), vise à fournir une solution technique afin de faciliter l’échange de données PNR entr</w:t>
      </w:r>
      <w:r w:rsidRPr="00DE45DF">
        <w:t>e les UIP des États membres. En novembre </w:t>
      </w:r>
      <w:r w:rsidRPr="00DE45DF">
        <w:t>2017</w:t>
      </w:r>
      <w:r w:rsidRPr="00DE45DF">
        <w:t xml:space="preserve">, la Commission a publié un appel à propositions, d’un budget total de </w:t>
      </w:r>
      <w:r w:rsidRPr="00DE45DF">
        <w:t>1</w:t>
      </w:r>
      <w:r w:rsidRPr="00DE45DF">
        <w:t>,</w:t>
      </w:r>
      <w:r w:rsidRPr="00DE45DF">
        <w:t>5</w:t>
      </w:r>
      <w:r w:rsidRPr="00DE45DF">
        <w:t xml:space="preserve"> million d’EUR, pour des actions de formation, de sensibilisation et de renforcement des capacités ciblant le personnel travaillant pour </w:t>
      </w:r>
      <w:r w:rsidRPr="00DE45DF">
        <w:t>les UIP.</w:t>
      </w:r>
    </w:p>
  </w:footnote>
  <w:footnote w:id="26">
    <w:p w:rsidR="005E240D" w:rsidRPr="00DE45DF" w:rsidRDefault="00DE45DF">
      <w:pPr>
        <w:pStyle w:val="FootnoteText"/>
        <w:ind w:left="357" w:hanging="357"/>
      </w:pPr>
      <w:r w:rsidRPr="00DE45DF">
        <w:rPr>
          <w:rStyle w:val="FootnoteReference"/>
        </w:rPr>
        <w:footnoteRef/>
      </w:r>
      <w:r w:rsidRPr="00DE45DF">
        <w:t xml:space="preserve"> </w:t>
      </w:r>
      <w:r w:rsidRPr="00DE45DF">
        <w:tab/>
        <w:t xml:space="preserve">Décisions </w:t>
      </w:r>
      <w:r w:rsidRPr="00DE45DF">
        <w:t>2008</w:t>
      </w:r>
      <w:r w:rsidRPr="00DE45DF">
        <w:t>/</w:t>
      </w:r>
      <w:r w:rsidRPr="00DE45DF">
        <w:t>615</w:t>
      </w:r>
      <w:r w:rsidRPr="00DE45DF">
        <w:t xml:space="preserve">/JAI et </w:t>
      </w:r>
      <w:r w:rsidRPr="00DE45DF">
        <w:t>2008</w:t>
      </w:r>
      <w:r w:rsidRPr="00DE45DF">
        <w:t>/</w:t>
      </w:r>
      <w:r w:rsidRPr="00DE45DF">
        <w:t>616</w:t>
      </w:r>
      <w:r w:rsidRPr="00DE45DF">
        <w:t xml:space="preserve">/JAI du Conseil du </w:t>
      </w:r>
      <w:r w:rsidRPr="00DE45DF">
        <w:t>23</w:t>
      </w:r>
      <w:r w:rsidRPr="00DE45DF">
        <w:t>.</w:t>
      </w:r>
      <w:r w:rsidRPr="00DE45DF">
        <w:t>6</w:t>
      </w:r>
      <w:r w:rsidRPr="00DE45DF">
        <w:t>.</w:t>
      </w:r>
      <w:r w:rsidRPr="00DE45DF">
        <w:t>2008</w:t>
      </w:r>
      <w:r w:rsidRPr="00DE45DF">
        <w:t>.</w:t>
      </w:r>
    </w:p>
  </w:footnote>
  <w:footnote w:id="27">
    <w:p w:rsidR="005E240D" w:rsidRPr="00DE45DF" w:rsidRDefault="00DE45DF">
      <w:pPr>
        <w:pStyle w:val="FootnoteText"/>
        <w:ind w:left="357" w:hanging="357"/>
      </w:pPr>
      <w:r w:rsidRPr="00DE45DF">
        <w:rPr>
          <w:rStyle w:val="FootnoteReference"/>
        </w:rPr>
        <w:footnoteRef/>
      </w:r>
      <w:r w:rsidRPr="00DE45DF">
        <w:t xml:space="preserve"> </w:t>
      </w:r>
      <w:r w:rsidRPr="00DE45DF">
        <w:tab/>
        <w:t>Règlement (UE) nº </w:t>
      </w:r>
      <w:r w:rsidRPr="00DE45DF">
        <w:t>1053</w:t>
      </w:r>
      <w:r w:rsidRPr="00DE45DF">
        <w:t>/</w:t>
      </w:r>
      <w:r w:rsidRPr="00DE45DF">
        <w:t>2013</w:t>
      </w:r>
      <w:r w:rsidRPr="00DE45DF">
        <w:t xml:space="preserve"> du Conseil du </w:t>
      </w:r>
      <w:r w:rsidRPr="00DE45DF">
        <w:t>7</w:t>
      </w:r>
      <w:r w:rsidRPr="00DE45DF">
        <w:t>.</w:t>
      </w:r>
      <w:r w:rsidRPr="00DE45DF">
        <w:t>10</w:t>
      </w:r>
      <w:r w:rsidRPr="00DE45DF">
        <w:t>.</w:t>
      </w:r>
      <w:r w:rsidRPr="00DE45DF">
        <w:t>2013</w:t>
      </w:r>
      <w:r w:rsidRPr="00DE45DF">
        <w:t>.</w:t>
      </w:r>
    </w:p>
  </w:footnote>
  <w:footnote w:id="28">
    <w:p w:rsidR="005E240D" w:rsidRPr="00DE45DF" w:rsidRDefault="00DE45DF">
      <w:pPr>
        <w:pStyle w:val="FootnoteText"/>
        <w:ind w:left="357" w:hanging="357"/>
      </w:pPr>
      <w:r w:rsidRPr="00DE45DF">
        <w:rPr>
          <w:rStyle w:val="FootnoteReference"/>
        </w:rPr>
        <w:footnoteRef/>
      </w:r>
      <w:r w:rsidRPr="00DE45DF">
        <w:t xml:space="preserve"> </w:t>
      </w:r>
      <w:r w:rsidRPr="00DE45DF">
        <w:tab/>
        <w:t>Par exemple: la Belgique, la Finlande, la Pologne, le Royaume-Uni et, depuis peu, la République tchèque et la Croatie.</w:t>
      </w:r>
    </w:p>
  </w:footnote>
  <w:footnote w:id="29">
    <w:p w:rsidR="005E240D" w:rsidRPr="00DE45DF" w:rsidRDefault="00DE45DF">
      <w:pPr>
        <w:pStyle w:val="FootnoteText"/>
        <w:ind w:left="357" w:hanging="357"/>
      </w:pPr>
      <w:r w:rsidRPr="00DE45DF">
        <w:rPr>
          <w:rStyle w:val="FootnoteReference"/>
        </w:rPr>
        <w:footnoteRef/>
      </w:r>
      <w:r w:rsidRPr="00DE45DF">
        <w:t xml:space="preserve"> </w:t>
      </w:r>
      <w:r w:rsidRPr="00DE45DF">
        <w:tab/>
        <w:t xml:space="preserve">Décision-cadre </w:t>
      </w:r>
      <w:r w:rsidRPr="00DE45DF">
        <w:t>2006</w:t>
      </w:r>
      <w:r w:rsidRPr="00DE45DF">
        <w:t>/</w:t>
      </w:r>
      <w:r w:rsidRPr="00DE45DF">
        <w:t>960</w:t>
      </w:r>
      <w:r w:rsidRPr="00DE45DF">
        <w:t xml:space="preserve">/JAI du Conseil du </w:t>
      </w:r>
      <w:r w:rsidRPr="00DE45DF">
        <w:t>18</w:t>
      </w:r>
      <w:r w:rsidRPr="00DE45DF">
        <w:t>.</w:t>
      </w:r>
      <w:r w:rsidRPr="00DE45DF">
        <w:t>12</w:t>
      </w:r>
      <w:r w:rsidRPr="00DE45DF">
        <w:t>.</w:t>
      </w:r>
      <w:r w:rsidRPr="00DE45DF">
        <w:t>2006</w:t>
      </w:r>
      <w:r w:rsidRPr="00DE45DF">
        <w:t>.</w:t>
      </w:r>
    </w:p>
  </w:footnote>
  <w:footnote w:id="30">
    <w:p w:rsidR="005E240D" w:rsidRPr="00DE45DF" w:rsidRDefault="00DE45DF">
      <w:pPr>
        <w:pStyle w:val="FootnoteText"/>
        <w:ind w:left="357" w:hanging="357"/>
        <w:rPr>
          <w:lang w:val="pt-PT"/>
        </w:rPr>
      </w:pPr>
      <w:r w:rsidRPr="00DE45DF">
        <w:rPr>
          <w:rStyle w:val="FootnoteReference"/>
        </w:rPr>
        <w:footnoteRef/>
      </w:r>
      <w:r w:rsidRPr="00DE45DF">
        <w:rPr>
          <w:lang w:val="pt-PT"/>
        </w:rPr>
        <w:t xml:space="preserve"> </w:t>
      </w:r>
      <w:r w:rsidRPr="00DE45DF">
        <w:rPr>
          <w:lang w:val="pt-PT"/>
        </w:rPr>
        <w:tab/>
      </w:r>
      <w:proofErr w:type="gramStart"/>
      <w:r w:rsidRPr="00DE45DF">
        <w:rPr>
          <w:lang w:val="pt-PT"/>
        </w:rPr>
        <w:t>COM(</w:t>
      </w:r>
      <w:r w:rsidRPr="00DE45DF">
        <w:rPr>
          <w:lang w:val="pt-PT"/>
        </w:rPr>
        <w:t>2017</w:t>
      </w:r>
      <w:proofErr w:type="gramEnd"/>
      <w:r w:rsidRPr="00DE45DF">
        <w:rPr>
          <w:lang w:val="pt-PT"/>
        </w:rPr>
        <w:t>) </w:t>
      </w:r>
      <w:r w:rsidRPr="00DE45DF">
        <w:rPr>
          <w:lang w:val="pt-PT"/>
        </w:rPr>
        <w:t>612</w:t>
      </w:r>
      <w:r w:rsidRPr="00DE45DF">
        <w:rPr>
          <w:lang w:val="pt-PT"/>
        </w:rPr>
        <w:t xml:space="preserve"> final </w:t>
      </w:r>
      <w:proofErr w:type="spellStart"/>
      <w:r w:rsidRPr="00DE45DF">
        <w:rPr>
          <w:lang w:val="pt-PT"/>
        </w:rPr>
        <w:t>du</w:t>
      </w:r>
      <w:proofErr w:type="spellEnd"/>
      <w:r w:rsidRPr="00DE45DF">
        <w:rPr>
          <w:lang w:val="pt-PT"/>
        </w:rPr>
        <w:t xml:space="preserve"> </w:t>
      </w:r>
      <w:r w:rsidRPr="00DE45DF">
        <w:rPr>
          <w:lang w:val="pt-PT"/>
        </w:rPr>
        <w:t>18</w:t>
      </w:r>
      <w:r w:rsidRPr="00DE45DF">
        <w:rPr>
          <w:lang w:val="pt-PT"/>
        </w:rPr>
        <w:t>.</w:t>
      </w:r>
      <w:r w:rsidRPr="00DE45DF">
        <w:rPr>
          <w:lang w:val="pt-PT"/>
        </w:rPr>
        <w:t>10</w:t>
      </w:r>
      <w:r w:rsidRPr="00DE45DF">
        <w:rPr>
          <w:lang w:val="pt-PT"/>
        </w:rPr>
        <w:t>.</w:t>
      </w:r>
      <w:r w:rsidRPr="00DE45DF">
        <w:rPr>
          <w:lang w:val="pt-PT"/>
        </w:rPr>
        <w:t>2017</w:t>
      </w:r>
      <w:r w:rsidRPr="00DE45DF">
        <w:rPr>
          <w:lang w:val="pt-PT"/>
        </w:rPr>
        <w:t>.</w:t>
      </w:r>
    </w:p>
  </w:footnote>
  <w:footnote w:id="31">
    <w:p w:rsidR="005E240D" w:rsidRPr="00DE45DF" w:rsidRDefault="00DE45DF">
      <w:pPr>
        <w:pStyle w:val="FootnoteText"/>
        <w:ind w:left="357" w:hanging="357"/>
        <w:rPr>
          <w:lang w:val="pt-PT"/>
        </w:rPr>
      </w:pPr>
      <w:r w:rsidRPr="00DE45DF">
        <w:rPr>
          <w:rStyle w:val="FootnoteReference"/>
        </w:rPr>
        <w:footnoteRef/>
      </w:r>
      <w:r w:rsidRPr="00DE45DF">
        <w:rPr>
          <w:lang w:val="pt-PT"/>
        </w:rPr>
        <w:t xml:space="preserve"> </w:t>
      </w:r>
      <w:r w:rsidRPr="00DE45DF">
        <w:rPr>
          <w:lang w:val="pt-PT"/>
        </w:rPr>
        <w:tab/>
      </w:r>
      <w:proofErr w:type="gramStart"/>
      <w:r w:rsidRPr="00DE45DF">
        <w:rPr>
          <w:lang w:val="pt-PT"/>
        </w:rPr>
        <w:t>COM(</w:t>
      </w:r>
      <w:r w:rsidRPr="00DE45DF">
        <w:rPr>
          <w:lang w:val="pt-PT"/>
        </w:rPr>
        <w:t>2016</w:t>
      </w:r>
      <w:proofErr w:type="gramEnd"/>
      <w:r w:rsidRPr="00DE45DF">
        <w:rPr>
          <w:lang w:val="pt-PT"/>
        </w:rPr>
        <w:t>) </w:t>
      </w:r>
      <w:r w:rsidRPr="00DE45DF">
        <w:rPr>
          <w:lang w:val="pt-PT"/>
        </w:rPr>
        <w:t>826</w:t>
      </w:r>
      <w:r w:rsidRPr="00DE45DF">
        <w:rPr>
          <w:lang w:val="pt-PT"/>
        </w:rPr>
        <w:t xml:space="preserve"> final </w:t>
      </w:r>
      <w:proofErr w:type="spellStart"/>
      <w:r w:rsidRPr="00DE45DF">
        <w:rPr>
          <w:lang w:val="pt-PT"/>
        </w:rPr>
        <w:t>du</w:t>
      </w:r>
      <w:proofErr w:type="spellEnd"/>
      <w:r w:rsidRPr="00DE45DF">
        <w:rPr>
          <w:lang w:val="pt-PT"/>
        </w:rPr>
        <w:t xml:space="preserve"> </w:t>
      </w:r>
      <w:r w:rsidRPr="00DE45DF">
        <w:rPr>
          <w:lang w:val="pt-PT"/>
        </w:rPr>
        <w:t>21</w:t>
      </w:r>
      <w:r w:rsidRPr="00DE45DF">
        <w:rPr>
          <w:lang w:val="pt-PT"/>
        </w:rPr>
        <w:t>.</w:t>
      </w:r>
      <w:r w:rsidRPr="00DE45DF">
        <w:rPr>
          <w:lang w:val="pt-PT"/>
        </w:rPr>
        <w:t>12</w:t>
      </w:r>
      <w:r w:rsidRPr="00DE45DF">
        <w:rPr>
          <w:lang w:val="pt-PT"/>
        </w:rPr>
        <w:t>.</w:t>
      </w:r>
      <w:r w:rsidRPr="00DE45DF">
        <w:rPr>
          <w:lang w:val="pt-PT"/>
        </w:rPr>
        <w:t>2016</w:t>
      </w:r>
      <w:r w:rsidRPr="00DE45DF">
        <w:rPr>
          <w:lang w:val="pt-PT"/>
        </w:rPr>
        <w:t>.</w:t>
      </w:r>
    </w:p>
  </w:footnote>
  <w:footnote w:id="32">
    <w:p w:rsidR="005E240D" w:rsidRPr="00DE45DF" w:rsidRDefault="00DE45DF">
      <w:pPr>
        <w:pStyle w:val="FootnoteText"/>
        <w:ind w:left="357" w:hanging="357"/>
      </w:pPr>
      <w:r w:rsidRPr="00DE45DF">
        <w:rPr>
          <w:rStyle w:val="FootnoteReference"/>
        </w:rPr>
        <w:footnoteRef/>
      </w:r>
      <w:r w:rsidRPr="00DE45DF">
        <w:t xml:space="preserve"> </w:t>
      </w:r>
      <w:r w:rsidRPr="00DE45DF">
        <w:tab/>
        <w:t xml:space="preserve">Directive </w:t>
      </w:r>
      <w:r w:rsidRPr="00DE45DF">
        <w:t>2014</w:t>
      </w:r>
      <w:r w:rsidRPr="00DE45DF">
        <w:t>/</w:t>
      </w:r>
      <w:r w:rsidRPr="00DE45DF">
        <w:t>41</w:t>
      </w:r>
      <w:r w:rsidRPr="00DE45DF">
        <w:t xml:space="preserve">/UE du </w:t>
      </w:r>
      <w:r w:rsidRPr="00DE45DF">
        <w:t>3</w:t>
      </w:r>
      <w:r w:rsidRPr="00DE45DF">
        <w:t>.</w:t>
      </w:r>
      <w:r w:rsidRPr="00DE45DF">
        <w:t>4</w:t>
      </w:r>
      <w:r w:rsidRPr="00DE45DF">
        <w:t>.</w:t>
      </w:r>
      <w:r w:rsidRPr="00DE45DF">
        <w:t>2014</w:t>
      </w:r>
      <w:r w:rsidRPr="00DE45DF">
        <w:t>.</w:t>
      </w:r>
    </w:p>
  </w:footnote>
  <w:footnote w:id="33">
    <w:p w:rsidR="005E240D" w:rsidRPr="00DE45DF" w:rsidRDefault="00DE45DF">
      <w:pPr>
        <w:pStyle w:val="FootnoteText"/>
        <w:ind w:left="357" w:hanging="357"/>
      </w:pPr>
      <w:r w:rsidRPr="00DE45DF">
        <w:rPr>
          <w:rStyle w:val="FootnoteReference"/>
        </w:rPr>
        <w:footnoteRef/>
      </w:r>
      <w:r w:rsidRPr="00DE45DF">
        <w:t xml:space="preserve"> </w:t>
      </w:r>
      <w:r w:rsidRPr="00DE45DF">
        <w:tab/>
        <w:t xml:space="preserve">Directive (UE) </w:t>
      </w:r>
      <w:r w:rsidRPr="00DE45DF">
        <w:t>2015</w:t>
      </w:r>
      <w:r w:rsidRPr="00DE45DF">
        <w:t>/</w:t>
      </w:r>
      <w:r w:rsidRPr="00DE45DF">
        <w:t>849</w:t>
      </w:r>
      <w:r w:rsidRPr="00DE45DF">
        <w:t xml:space="preserve"> du </w:t>
      </w:r>
      <w:r w:rsidRPr="00DE45DF">
        <w:t>20</w:t>
      </w:r>
      <w:r w:rsidRPr="00DE45DF">
        <w:t>.</w:t>
      </w:r>
      <w:r w:rsidRPr="00DE45DF">
        <w:t>5</w:t>
      </w:r>
      <w:r w:rsidRPr="00DE45DF">
        <w:t>.</w:t>
      </w:r>
      <w:r w:rsidRPr="00DE45DF">
        <w:t>2015</w:t>
      </w:r>
      <w:r w:rsidRPr="00DE45DF">
        <w:t>.</w:t>
      </w:r>
    </w:p>
  </w:footnote>
  <w:footnote w:id="34">
    <w:p w:rsidR="005E240D" w:rsidRPr="00DE45DF" w:rsidRDefault="00DE45DF">
      <w:pPr>
        <w:pStyle w:val="FootnoteText"/>
        <w:ind w:left="357" w:hanging="357"/>
        <w:rPr>
          <w:lang w:val="pt-PT"/>
        </w:rPr>
      </w:pPr>
      <w:r w:rsidRPr="00DE45DF">
        <w:rPr>
          <w:rStyle w:val="FootnoteReference"/>
        </w:rPr>
        <w:footnoteRef/>
      </w:r>
      <w:r w:rsidRPr="00DE45DF">
        <w:rPr>
          <w:lang w:val="pt-PT"/>
        </w:rPr>
        <w:t xml:space="preserve"> </w:t>
      </w:r>
      <w:r w:rsidRPr="00DE45DF">
        <w:rPr>
          <w:lang w:val="pt-PT"/>
        </w:rPr>
        <w:tab/>
      </w:r>
      <w:proofErr w:type="gramStart"/>
      <w:r w:rsidRPr="00DE45DF">
        <w:rPr>
          <w:lang w:val="pt-PT"/>
        </w:rPr>
        <w:t>COM(</w:t>
      </w:r>
      <w:r w:rsidRPr="00DE45DF">
        <w:rPr>
          <w:lang w:val="pt-PT"/>
        </w:rPr>
        <w:t>2016</w:t>
      </w:r>
      <w:proofErr w:type="gramEnd"/>
      <w:r w:rsidRPr="00DE45DF">
        <w:rPr>
          <w:lang w:val="pt-PT"/>
        </w:rPr>
        <w:t>) </w:t>
      </w:r>
      <w:r w:rsidRPr="00DE45DF">
        <w:rPr>
          <w:lang w:val="pt-PT"/>
        </w:rPr>
        <w:t>450</w:t>
      </w:r>
      <w:r w:rsidRPr="00DE45DF">
        <w:rPr>
          <w:lang w:val="pt-PT"/>
        </w:rPr>
        <w:t xml:space="preserve"> final </w:t>
      </w:r>
      <w:proofErr w:type="spellStart"/>
      <w:r w:rsidRPr="00DE45DF">
        <w:rPr>
          <w:lang w:val="pt-PT"/>
        </w:rPr>
        <w:t>du</w:t>
      </w:r>
      <w:proofErr w:type="spellEnd"/>
      <w:r w:rsidRPr="00DE45DF">
        <w:rPr>
          <w:lang w:val="pt-PT"/>
        </w:rPr>
        <w:t xml:space="preserve"> </w:t>
      </w:r>
      <w:r w:rsidRPr="00DE45DF">
        <w:rPr>
          <w:lang w:val="pt-PT"/>
        </w:rPr>
        <w:t>5</w:t>
      </w:r>
      <w:r w:rsidRPr="00DE45DF">
        <w:rPr>
          <w:lang w:val="pt-PT"/>
        </w:rPr>
        <w:t>.</w:t>
      </w:r>
      <w:r w:rsidRPr="00DE45DF">
        <w:rPr>
          <w:lang w:val="pt-PT"/>
        </w:rPr>
        <w:t>7</w:t>
      </w:r>
      <w:r w:rsidRPr="00DE45DF">
        <w:rPr>
          <w:lang w:val="pt-PT"/>
        </w:rPr>
        <w:t>.</w:t>
      </w:r>
      <w:r w:rsidRPr="00DE45DF">
        <w:rPr>
          <w:lang w:val="pt-PT"/>
        </w:rPr>
        <w:t>2016</w:t>
      </w:r>
      <w:r w:rsidRPr="00DE45DF">
        <w:rPr>
          <w:lang w:val="pt-PT"/>
        </w:rPr>
        <w:t>.</w:t>
      </w:r>
    </w:p>
  </w:footnote>
  <w:footnote w:id="35">
    <w:p w:rsidR="005E240D" w:rsidRPr="00DE45DF" w:rsidRDefault="00DE45DF">
      <w:pPr>
        <w:pStyle w:val="FootnoteText"/>
        <w:ind w:left="357" w:hanging="357"/>
        <w:rPr>
          <w:lang w:val="pt-PT"/>
        </w:rPr>
      </w:pPr>
      <w:r w:rsidRPr="00DE45DF">
        <w:rPr>
          <w:rStyle w:val="FootnoteReference"/>
        </w:rPr>
        <w:footnoteRef/>
      </w:r>
      <w:r w:rsidRPr="00DE45DF">
        <w:rPr>
          <w:lang w:val="pt-PT"/>
        </w:rPr>
        <w:t xml:space="preserve"> </w:t>
      </w:r>
      <w:r w:rsidRPr="00DE45DF">
        <w:rPr>
          <w:lang w:val="pt-PT"/>
        </w:rPr>
        <w:tab/>
      </w:r>
      <w:hyperlink r:id="rId4">
        <w:r w:rsidRPr="00DE45DF">
          <w:rPr>
            <w:rStyle w:val="Hyperlink"/>
            <w:lang w:val="pt-PT"/>
          </w:rPr>
          <w:t>http://ec.europa.eu/research/participants/data/ref/other_eu_prog/other/home/call-fiche/isfp-call-fiche-2017-ag-ter</w:t>
        </w:r>
        <w:r w:rsidRPr="00DE45DF">
          <w:rPr>
            <w:rStyle w:val="Hyperlink"/>
            <w:lang w:val="pt-PT"/>
          </w:rPr>
          <w:t>fin_en.pdf</w:t>
        </w:r>
      </w:hyperlink>
    </w:p>
  </w:footnote>
  <w:footnote w:id="36">
    <w:p w:rsidR="005E240D" w:rsidRPr="00DE45DF" w:rsidRDefault="00DE45DF">
      <w:pPr>
        <w:pStyle w:val="FootnoteText"/>
        <w:ind w:left="357" w:hanging="357"/>
        <w:rPr>
          <w:lang w:val="pt-PT"/>
        </w:rPr>
      </w:pPr>
      <w:r w:rsidRPr="00DE45DF">
        <w:rPr>
          <w:rStyle w:val="FootnoteReference"/>
        </w:rPr>
        <w:footnoteRef/>
      </w:r>
      <w:r w:rsidRPr="00DE45DF">
        <w:rPr>
          <w:lang w:val="pt-PT"/>
        </w:rPr>
        <w:t xml:space="preserve"> </w:t>
      </w:r>
      <w:r w:rsidRPr="00DE45DF">
        <w:rPr>
          <w:lang w:val="pt-PT"/>
        </w:rPr>
        <w:tab/>
      </w:r>
      <w:hyperlink r:id="rId5">
        <w:r w:rsidRPr="00DE45DF">
          <w:rPr>
            <w:rStyle w:val="Hyperlink"/>
            <w:lang w:val="pt-PT"/>
          </w:rPr>
          <w:t>http://data.consilium.europa.eu/doc/document/ST-14-2017-INIT/fr/pdf</w:t>
        </w:r>
      </w:hyperlink>
    </w:p>
  </w:footnote>
  <w:footnote w:id="37">
    <w:p w:rsidR="005E240D" w:rsidRPr="00DE45DF" w:rsidRDefault="00DE45DF">
      <w:pPr>
        <w:pStyle w:val="FootnoteText"/>
        <w:ind w:left="357" w:hanging="357"/>
        <w:rPr>
          <w:lang w:val="pt-PT"/>
        </w:rPr>
      </w:pPr>
      <w:r w:rsidRPr="00DE45DF">
        <w:rPr>
          <w:rStyle w:val="FootnoteReference"/>
        </w:rPr>
        <w:footnoteRef/>
      </w:r>
      <w:r w:rsidRPr="00DE45DF">
        <w:rPr>
          <w:lang w:val="pt-PT"/>
        </w:rPr>
        <w:t xml:space="preserve"> </w:t>
      </w:r>
      <w:r w:rsidRPr="00DE45DF">
        <w:rPr>
          <w:lang w:val="pt-PT"/>
        </w:rPr>
        <w:tab/>
      </w:r>
      <w:hyperlink r:id="rId6">
        <w:r w:rsidRPr="00DE45DF">
          <w:rPr>
            <w:rStyle w:val="Hyperlink"/>
            <w:lang w:val="pt-PT"/>
          </w:rPr>
          <w:t>https://ec.europa.eu/digital-single-market/en/policies/cybersecurity</w:t>
        </w:r>
      </w:hyperlink>
      <w:r w:rsidRPr="00DE45DF">
        <w:rPr>
          <w:lang w:val="pt-PT"/>
        </w:rPr>
        <w:t xml:space="preserve"> </w:t>
      </w:r>
    </w:p>
  </w:footnote>
  <w:footnote w:id="38">
    <w:p w:rsidR="005E240D" w:rsidRPr="00DE45DF" w:rsidRDefault="00DE45DF">
      <w:pPr>
        <w:pStyle w:val="FootnoteText"/>
        <w:ind w:left="357" w:hanging="357"/>
      </w:pPr>
      <w:r w:rsidRPr="00DE45DF">
        <w:rPr>
          <w:rStyle w:val="FootnoteReference"/>
        </w:rPr>
        <w:footnoteRef/>
      </w:r>
      <w:r w:rsidRPr="00DE45DF">
        <w:t xml:space="preserve"> </w:t>
      </w:r>
      <w:r w:rsidRPr="00DE45DF">
        <w:tab/>
        <w:t>JOIN(</w:t>
      </w:r>
      <w:r w:rsidRPr="00DE45DF">
        <w:t>2017</w:t>
      </w:r>
      <w:r w:rsidRPr="00DE45DF">
        <w:t>) </w:t>
      </w:r>
      <w:r w:rsidRPr="00DE45DF">
        <w:t>450</w:t>
      </w:r>
      <w:r w:rsidRPr="00DE45DF">
        <w:t xml:space="preserve"> final du </w:t>
      </w:r>
      <w:r w:rsidRPr="00DE45DF">
        <w:t>13</w:t>
      </w:r>
      <w:r w:rsidRPr="00DE45DF">
        <w:t>.</w:t>
      </w:r>
      <w:r w:rsidRPr="00DE45DF">
        <w:t>9</w:t>
      </w:r>
      <w:r w:rsidRPr="00DE45DF">
        <w:t>.</w:t>
      </w:r>
      <w:r w:rsidRPr="00DE45DF">
        <w:t>2017</w:t>
      </w:r>
      <w:r w:rsidRPr="00DE45DF">
        <w:t>.</w:t>
      </w:r>
    </w:p>
  </w:footnote>
  <w:footnote w:id="39">
    <w:p w:rsidR="005E240D" w:rsidRPr="00DE45DF" w:rsidRDefault="00DE45DF">
      <w:pPr>
        <w:pStyle w:val="FootnoteText"/>
        <w:ind w:left="357" w:hanging="357"/>
      </w:pPr>
      <w:r w:rsidRPr="00DE45DF">
        <w:rPr>
          <w:rStyle w:val="FootnoteReference"/>
        </w:rPr>
        <w:footnoteRef/>
      </w:r>
      <w:r w:rsidRPr="00DE45DF">
        <w:t xml:space="preserve"> </w:t>
      </w:r>
      <w:r w:rsidRPr="00DE45DF">
        <w:tab/>
        <w:t>COM(</w:t>
      </w:r>
      <w:r w:rsidRPr="00DE45DF">
        <w:t>2017</w:t>
      </w:r>
      <w:r w:rsidRPr="00DE45DF">
        <w:t>) </w:t>
      </w:r>
      <w:r w:rsidRPr="00DE45DF">
        <w:t>477</w:t>
      </w:r>
      <w:r w:rsidRPr="00DE45DF">
        <w:t xml:space="preserve"> final/</w:t>
      </w:r>
      <w:r w:rsidRPr="00DE45DF">
        <w:t>2</w:t>
      </w:r>
      <w:r w:rsidRPr="00DE45DF">
        <w:t xml:space="preserve"> du </w:t>
      </w:r>
      <w:r w:rsidRPr="00DE45DF">
        <w:t>4</w:t>
      </w:r>
      <w:r w:rsidRPr="00DE45DF">
        <w:t>.</w:t>
      </w:r>
      <w:r w:rsidRPr="00DE45DF">
        <w:t>10</w:t>
      </w:r>
      <w:r w:rsidRPr="00DE45DF">
        <w:t>.</w:t>
      </w:r>
      <w:r w:rsidRPr="00DE45DF">
        <w:t>2017</w:t>
      </w:r>
      <w:r w:rsidRPr="00DE45DF">
        <w:t>.</w:t>
      </w:r>
    </w:p>
  </w:footnote>
  <w:footnote w:id="40">
    <w:p w:rsidR="005E240D" w:rsidRPr="00DE45DF" w:rsidRDefault="00DE45DF">
      <w:pPr>
        <w:pStyle w:val="FootnoteText"/>
        <w:ind w:left="357" w:hanging="357"/>
      </w:pPr>
      <w:r w:rsidRPr="00DE45DF">
        <w:rPr>
          <w:rStyle w:val="FootnoteReference"/>
        </w:rPr>
        <w:footnoteRef/>
      </w:r>
      <w:r w:rsidRPr="00DE45DF">
        <w:t xml:space="preserve"> </w:t>
      </w:r>
      <w:r w:rsidRPr="00DE45DF">
        <w:tab/>
        <w:t xml:space="preserve">Directive (UE) </w:t>
      </w:r>
      <w:r w:rsidRPr="00DE45DF">
        <w:t>2016</w:t>
      </w:r>
      <w:r w:rsidRPr="00DE45DF">
        <w:t>/</w:t>
      </w:r>
      <w:r w:rsidRPr="00DE45DF">
        <w:t>1148</w:t>
      </w:r>
      <w:r w:rsidRPr="00DE45DF">
        <w:t xml:space="preserve"> du </w:t>
      </w:r>
      <w:r w:rsidRPr="00DE45DF">
        <w:t>6</w:t>
      </w:r>
      <w:r w:rsidRPr="00DE45DF">
        <w:t>.</w:t>
      </w:r>
      <w:r w:rsidRPr="00DE45DF">
        <w:t>7</w:t>
      </w:r>
      <w:r w:rsidRPr="00DE45DF">
        <w:t>.</w:t>
      </w:r>
      <w:r w:rsidRPr="00DE45DF">
        <w:t>2016</w:t>
      </w:r>
      <w:r w:rsidRPr="00DE45DF">
        <w:t>.</w:t>
      </w:r>
    </w:p>
  </w:footnote>
  <w:footnote w:id="41">
    <w:p w:rsidR="005E240D" w:rsidRPr="00DE45DF" w:rsidRDefault="00DE45DF">
      <w:pPr>
        <w:pStyle w:val="FootnoteText"/>
        <w:ind w:left="357" w:hanging="357"/>
      </w:pPr>
      <w:r w:rsidRPr="00DE45DF">
        <w:rPr>
          <w:rStyle w:val="FootnoteReference"/>
        </w:rPr>
        <w:footnoteRef/>
      </w:r>
      <w:r w:rsidRPr="00DE45DF">
        <w:t xml:space="preserve"> </w:t>
      </w:r>
      <w:r w:rsidRPr="00DE45DF">
        <w:tab/>
        <w:t xml:space="preserve">«Partage de bonnes pratiques concernant les critères </w:t>
      </w:r>
      <w:r w:rsidRPr="00DE45DF">
        <w:t>définissant le caractère critique d’un opérateur conformément à l’article </w:t>
      </w:r>
      <w:r w:rsidRPr="00DE45DF">
        <w:t>5</w:t>
      </w:r>
      <w:r w:rsidRPr="00DE45DF">
        <w:t>, paragraphe </w:t>
      </w:r>
      <w:r w:rsidRPr="00DE45DF">
        <w:t>2</w:t>
      </w:r>
      <w:r w:rsidRPr="00DE45DF">
        <w:t>, de la directive au moyen de lignes directrices».</w:t>
      </w:r>
    </w:p>
  </w:footnote>
  <w:footnote w:id="42">
    <w:p w:rsidR="005E240D" w:rsidRPr="00DE45DF" w:rsidRDefault="00DE45DF">
      <w:pPr>
        <w:pStyle w:val="FootnoteText"/>
        <w:ind w:left="357" w:hanging="357"/>
      </w:pPr>
      <w:r w:rsidRPr="00DE45DF">
        <w:rPr>
          <w:rStyle w:val="FootnoteReference"/>
        </w:rPr>
        <w:footnoteRef/>
      </w:r>
      <w:r w:rsidRPr="00DE45DF">
        <w:t xml:space="preserve"> </w:t>
      </w:r>
      <w:r w:rsidRPr="00DE45DF">
        <w:tab/>
        <w:t>«Document de référence relatif aux mesures de sécurité pour les opérateurs de services essentiels».</w:t>
      </w:r>
    </w:p>
  </w:footnote>
  <w:footnote w:id="43">
    <w:p w:rsidR="005E240D" w:rsidRPr="00DE45DF" w:rsidRDefault="00DE45DF">
      <w:pPr>
        <w:pStyle w:val="FootnoteText"/>
        <w:ind w:left="357" w:hanging="357"/>
        <w:rPr>
          <w:lang w:val="pt-PT"/>
        </w:rPr>
      </w:pPr>
      <w:r w:rsidRPr="00DE45DF">
        <w:rPr>
          <w:rStyle w:val="FootnoteReference"/>
        </w:rPr>
        <w:footnoteRef/>
      </w:r>
      <w:r w:rsidRPr="00DE45DF">
        <w:rPr>
          <w:lang w:val="pt-PT"/>
        </w:rPr>
        <w:t xml:space="preserve"> </w:t>
      </w:r>
      <w:r w:rsidRPr="00DE45DF">
        <w:rPr>
          <w:lang w:val="pt-PT"/>
        </w:rPr>
        <w:tab/>
      </w:r>
      <w:proofErr w:type="gramStart"/>
      <w:r w:rsidRPr="00DE45DF">
        <w:rPr>
          <w:lang w:val="pt-PT"/>
        </w:rPr>
        <w:t>COM(</w:t>
      </w:r>
      <w:r w:rsidRPr="00DE45DF">
        <w:rPr>
          <w:lang w:val="pt-PT"/>
        </w:rPr>
        <w:t>2017</w:t>
      </w:r>
      <w:proofErr w:type="gramEnd"/>
      <w:r w:rsidRPr="00DE45DF">
        <w:rPr>
          <w:lang w:val="pt-PT"/>
        </w:rPr>
        <w:t>) </w:t>
      </w:r>
      <w:r w:rsidRPr="00DE45DF">
        <w:rPr>
          <w:lang w:val="pt-PT"/>
        </w:rPr>
        <w:t>608</w:t>
      </w:r>
      <w:r w:rsidRPr="00DE45DF">
        <w:rPr>
          <w:lang w:val="pt-PT"/>
        </w:rPr>
        <w:t xml:space="preserve"> final </w:t>
      </w:r>
      <w:proofErr w:type="spellStart"/>
      <w:r w:rsidRPr="00DE45DF">
        <w:rPr>
          <w:lang w:val="pt-PT"/>
        </w:rPr>
        <w:t>du</w:t>
      </w:r>
      <w:proofErr w:type="spellEnd"/>
      <w:r w:rsidRPr="00DE45DF">
        <w:rPr>
          <w:lang w:val="pt-PT"/>
        </w:rPr>
        <w:t xml:space="preserve"> </w:t>
      </w:r>
      <w:r w:rsidRPr="00DE45DF">
        <w:rPr>
          <w:lang w:val="pt-PT"/>
        </w:rPr>
        <w:t>18</w:t>
      </w:r>
      <w:r w:rsidRPr="00DE45DF">
        <w:rPr>
          <w:lang w:val="pt-PT"/>
        </w:rPr>
        <w:t>.</w:t>
      </w:r>
      <w:r w:rsidRPr="00DE45DF">
        <w:rPr>
          <w:lang w:val="pt-PT"/>
        </w:rPr>
        <w:t>10</w:t>
      </w:r>
      <w:r w:rsidRPr="00DE45DF">
        <w:rPr>
          <w:lang w:val="pt-PT"/>
        </w:rPr>
        <w:t>.</w:t>
      </w:r>
      <w:r w:rsidRPr="00DE45DF">
        <w:rPr>
          <w:lang w:val="pt-PT"/>
        </w:rPr>
        <w:t>2017</w:t>
      </w:r>
      <w:r w:rsidRPr="00DE45DF">
        <w:rPr>
          <w:lang w:val="pt-PT"/>
        </w:rPr>
        <w:t>.</w:t>
      </w:r>
    </w:p>
  </w:footnote>
  <w:footnote w:id="44">
    <w:p w:rsidR="005E240D" w:rsidRPr="00DE45DF" w:rsidRDefault="00DE45DF">
      <w:pPr>
        <w:pStyle w:val="FootnoteText"/>
        <w:ind w:left="357" w:hanging="357"/>
        <w:rPr>
          <w:lang w:val="pt-PT"/>
        </w:rPr>
      </w:pPr>
      <w:r w:rsidRPr="00DE45DF">
        <w:rPr>
          <w:rStyle w:val="FootnoteReference"/>
        </w:rPr>
        <w:footnoteRef/>
      </w:r>
      <w:r w:rsidRPr="00DE45DF">
        <w:rPr>
          <w:lang w:val="pt-PT"/>
        </w:rPr>
        <w:t xml:space="preserve"> </w:t>
      </w:r>
      <w:r w:rsidRPr="00DE45DF">
        <w:rPr>
          <w:lang w:val="pt-PT"/>
        </w:rPr>
        <w:tab/>
      </w:r>
      <w:hyperlink r:id="rId7">
        <w:r w:rsidRPr="00DE45DF">
          <w:rPr>
            <w:rStyle w:val="Hyperlink"/>
            <w:lang w:val="pt-PT"/>
          </w:rPr>
          <w:t>http://europa.eu/rapid/press-release_IP-17-5105_fr.htm</w:t>
        </w:r>
      </w:hyperlink>
      <w:r w:rsidRPr="00DE45DF">
        <w:rPr>
          <w:lang w:val="pt-PT"/>
        </w:rPr>
        <w:t xml:space="preserve"> </w:t>
      </w:r>
    </w:p>
  </w:footnote>
  <w:footnote w:id="45">
    <w:p w:rsidR="005E240D" w:rsidRPr="00DE45DF" w:rsidRDefault="00DE45DF">
      <w:pPr>
        <w:pStyle w:val="FootnoteText"/>
        <w:ind w:left="357" w:hanging="357"/>
      </w:pPr>
      <w:r w:rsidRPr="00DE45DF">
        <w:rPr>
          <w:rStyle w:val="FootnoteReference"/>
        </w:rPr>
        <w:footnoteRef/>
      </w:r>
      <w:r w:rsidRPr="00DE45DF">
        <w:t xml:space="preserve"> </w:t>
      </w:r>
      <w:r w:rsidRPr="00DE45DF">
        <w:tab/>
        <w:t xml:space="preserve">Twitter a indiqué que les trois quarts des </w:t>
      </w:r>
      <w:r w:rsidRPr="00DE45DF">
        <w:t>300</w:t>
      </w:r>
      <w:r w:rsidRPr="00DE45DF">
        <w:t> </w:t>
      </w:r>
      <w:r w:rsidRPr="00DE45DF">
        <w:t>000</w:t>
      </w:r>
      <w:r w:rsidRPr="00DE45DF">
        <w:t> comptes supprimés entre janvier et juin </w:t>
      </w:r>
      <w:r w:rsidRPr="00DE45DF">
        <w:t>2017</w:t>
      </w:r>
      <w:r w:rsidRPr="00DE45DF">
        <w:t xml:space="preserve"> l’avaient été avant que leur premier contenu ne soit publié. Selon YouTube, plus de </w:t>
      </w:r>
      <w:r w:rsidRPr="00DE45DF">
        <w:t>150</w:t>
      </w:r>
      <w:r w:rsidRPr="00DE45DF">
        <w:t> </w:t>
      </w:r>
      <w:r w:rsidRPr="00DE45DF">
        <w:t>000</w:t>
      </w:r>
      <w:r w:rsidRPr="00DE45DF">
        <w:t> vidéos ont été retirées depuis juin </w:t>
      </w:r>
      <w:r w:rsidRPr="00DE45DF">
        <w:t>2017</w:t>
      </w:r>
      <w:r w:rsidRPr="00DE45DF">
        <w:t xml:space="preserve">. Après avoir identifié un contenu terroriste, Facebook supprime </w:t>
      </w:r>
      <w:r w:rsidRPr="00DE45DF">
        <w:t>83</w:t>
      </w:r>
      <w:r w:rsidRPr="00DE45DF">
        <w:t> % des copies dans l’heure qui suit leur chargement.</w:t>
      </w:r>
    </w:p>
  </w:footnote>
  <w:footnote w:id="46">
    <w:p w:rsidR="005E240D" w:rsidRPr="00DE45DF" w:rsidRDefault="00DE45DF">
      <w:pPr>
        <w:pStyle w:val="FootnoteText"/>
        <w:ind w:left="357" w:hanging="357"/>
      </w:pPr>
      <w:r w:rsidRPr="00DE45DF">
        <w:rPr>
          <w:rStyle w:val="FootnoteReference"/>
        </w:rPr>
        <w:footnoteRef/>
      </w:r>
      <w:r w:rsidRPr="00DE45DF">
        <w:t xml:space="preserve"> </w:t>
      </w:r>
      <w:r w:rsidRPr="00DE45DF">
        <w:tab/>
      </w:r>
      <w:r w:rsidRPr="00DE45DF">
        <w:t>COM(</w:t>
      </w:r>
      <w:r w:rsidRPr="00DE45DF">
        <w:t>2017</w:t>
      </w:r>
      <w:r w:rsidRPr="00DE45DF">
        <w:t>) </w:t>
      </w:r>
      <w:r w:rsidRPr="00DE45DF">
        <w:t>650</w:t>
      </w:r>
      <w:r w:rsidRPr="00DE45DF">
        <w:t xml:space="preserve"> </w:t>
      </w:r>
      <w:proofErr w:type="gramStart"/>
      <w:r w:rsidRPr="00DE45DF">
        <w:t>final</w:t>
      </w:r>
      <w:proofErr w:type="gramEnd"/>
      <w:r w:rsidRPr="00DE45DF">
        <w:t xml:space="preserve"> du </w:t>
      </w:r>
      <w:r w:rsidRPr="00DE45DF">
        <w:t>24</w:t>
      </w:r>
      <w:r w:rsidRPr="00DE45DF">
        <w:t>.</w:t>
      </w:r>
      <w:r w:rsidRPr="00DE45DF">
        <w:t>10</w:t>
      </w:r>
      <w:r w:rsidRPr="00DE45DF">
        <w:t>.</w:t>
      </w:r>
      <w:r w:rsidRPr="00DE45DF">
        <w:t>2017</w:t>
      </w:r>
      <w:r w:rsidRPr="00DE45DF">
        <w:t>.</w:t>
      </w:r>
    </w:p>
  </w:footnote>
  <w:footnote w:id="47">
    <w:p w:rsidR="005E240D" w:rsidRDefault="00DE45DF">
      <w:pPr>
        <w:pStyle w:val="FootnoteText"/>
        <w:ind w:left="357" w:hanging="357"/>
        <w:rPr>
          <w:rStyle w:val="FootnoteReference"/>
          <w:vertAlign w:val="baseline"/>
        </w:rPr>
      </w:pPr>
      <w:r w:rsidRPr="00DE45DF">
        <w:rPr>
          <w:rStyle w:val="FootnoteReference"/>
        </w:rPr>
        <w:footnoteRef/>
      </w:r>
      <w:r w:rsidRPr="00DE45DF">
        <w:rPr>
          <w:rStyle w:val="FootnoteReference"/>
        </w:rPr>
        <w:t xml:space="preserve"> </w:t>
      </w:r>
      <w:r w:rsidRPr="00DE45DF">
        <w:rPr>
          <w:rStyle w:val="FootnoteReference"/>
        </w:rPr>
        <w:tab/>
      </w:r>
      <w:r w:rsidRPr="00DE45DF">
        <w:rPr>
          <w:rStyle w:val="FootnoteReference"/>
          <w:vertAlign w:val="baseline"/>
        </w:rPr>
        <w:t>En réponse à la demande de rapports biannuels formulée par les ministres des deux organisations, le premier rapport sur l’état d’avancement de la mise en œuvre des propositions a été présenté aux Conseils respectifs en</w:t>
      </w:r>
      <w:r w:rsidRPr="00DE45DF">
        <w:rPr>
          <w:rStyle w:val="FootnoteReference"/>
          <w:vertAlign w:val="baseline"/>
        </w:rPr>
        <w:t xml:space="preserve"> juin </w:t>
      </w:r>
      <w:r w:rsidRPr="00DE45DF">
        <w:rPr>
          <w:rStyle w:val="FootnoteReference"/>
          <w:vertAlign w:val="baseline"/>
        </w:rPr>
        <w:t>2017</w:t>
      </w:r>
      <w:r w:rsidRPr="00DE45DF">
        <w:rPr>
          <w:rStyle w:val="FootnoteReference"/>
          <w:vertAlign w:val="baseline"/>
        </w:rPr>
        <w:t>. Le deuxième rapport d’étape couvrira la période juillet-décembre </w:t>
      </w:r>
      <w:r w:rsidRPr="00DE45DF">
        <w:rPr>
          <w:rStyle w:val="FootnoteReference"/>
          <w:vertAlign w:val="baseline"/>
        </w:rPr>
        <w:t>2017</w:t>
      </w:r>
      <w:r w:rsidRPr="00DE45DF">
        <w:rPr>
          <w:rStyle w:val="FootnoteReference"/>
          <w:vertAlign w:val="baseline"/>
        </w:rPr>
        <w:t>.</w:t>
      </w:r>
    </w:p>
    <w:p w:rsidR="005E240D" w:rsidRDefault="005E240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0D" w:rsidRDefault="005E24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0D" w:rsidRDefault="005E240D">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0D" w:rsidRDefault="005E240D">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0D" w:rsidRDefault="005E240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0D" w:rsidRDefault="005E240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0D" w:rsidRDefault="005E24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711DA"/>
    <w:multiLevelType w:val="hybridMultilevel"/>
    <w:tmpl w:val="2A42987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nsid w:val="096D4686"/>
    <w:multiLevelType w:val="hybridMultilevel"/>
    <w:tmpl w:val="A4DE73C6"/>
    <w:lvl w:ilvl="0" w:tplc="08090013">
      <w:start w:val="1"/>
      <w:numFmt w:val="upp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CBE0621"/>
    <w:multiLevelType w:val="hybridMultilevel"/>
    <w:tmpl w:val="A266CD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D6B67F8"/>
    <w:multiLevelType w:val="hybridMultilevel"/>
    <w:tmpl w:val="D1BA7B34"/>
    <w:lvl w:ilvl="0" w:tplc="402EA07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0E0C1316"/>
    <w:multiLevelType w:val="hybridMultilevel"/>
    <w:tmpl w:val="B1101FFE"/>
    <w:lvl w:ilvl="0" w:tplc="08090005">
      <w:start w:val="1"/>
      <w:numFmt w:val="bullet"/>
      <w:lvlText w:val=""/>
      <w:lvlJc w:val="left"/>
      <w:pPr>
        <w:ind w:left="-2136" w:hanging="360"/>
      </w:pPr>
      <w:rPr>
        <w:rFonts w:ascii="Wingdings" w:hAnsi="Wingdings" w:hint="default"/>
      </w:rPr>
    </w:lvl>
    <w:lvl w:ilvl="1" w:tplc="08090003" w:tentative="1">
      <w:start w:val="1"/>
      <w:numFmt w:val="bullet"/>
      <w:lvlText w:val="o"/>
      <w:lvlJc w:val="left"/>
      <w:pPr>
        <w:ind w:left="-1416" w:hanging="360"/>
      </w:pPr>
      <w:rPr>
        <w:rFonts w:ascii="Courier New" w:hAnsi="Courier New" w:cs="Courier New" w:hint="default"/>
      </w:rPr>
    </w:lvl>
    <w:lvl w:ilvl="2" w:tplc="08090005" w:tentative="1">
      <w:start w:val="1"/>
      <w:numFmt w:val="bullet"/>
      <w:lvlText w:val=""/>
      <w:lvlJc w:val="left"/>
      <w:pPr>
        <w:ind w:left="-696" w:hanging="360"/>
      </w:pPr>
      <w:rPr>
        <w:rFonts w:ascii="Wingdings" w:hAnsi="Wingdings" w:hint="default"/>
      </w:rPr>
    </w:lvl>
    <w:lvl w:ilvl="3" w:tplc="08090001" w:tentative="1">
      <w:start w:val="1"/>
      <w:numFmt w:val="bullet"/>
      <w:lvlText w:val=""/>
      <w:lvlJc w:val="left"/>
      <w:pPr>
        <w:ind w:left="24" w:hanging="360"/>
      </w:pPr>
      <w:rPr>
        <w:rFonts w:ascii="Symbol" w:hAnsi="Symbol" w:hint="default"/>
      </w:rPr>
    </w:lvl>
    <w:lvl w:ilvl="4" w:tplc="08090003" w:tentative="1">
      <w:start w:val="1"/>
      <w:numFmt w:val="bullet"/>
      <w:lvlText w:val="o"/>
      <w:lvlJc w:val="left"/>
      <w:pPr>
        <w:ind w:left="744" w:hanging="360"/>
      </w:pPr>
      <w:rPr>
        <w:rFonts w:ascii="Courier New" w:hAnsi="Courier New" w:cs="Courier New" w:hint="default"/>
      </w:rPr>
    </w:lvl>
    <w:lvl w:ilvl="5" w:tplc="08090005" w:tentative="1">
      <w:start w:val="1"/>
      <w:numFmt w:val="bullet"/>
      <w:lvlText w:val=""/>
      <w:lvlJc w:val="left"/>
      <w:pPr>
        <w:ind w:left="1464" w:hanging="360"/>
      </w:pPr>
      <w:rPr>
        <w:rFonts w:ascii="Wingdings" w:hAnsi="Wingdings" w:hint="default"/>
      </w:rPr>
    </w:lvl>
    <w:lvl w:ilvl="6" w:tplc="08090001" w:tentative="1">
      <w:start w:val="1"/>
      <w:numFmt w:val="bullet"/>
      <w:lvlText w:val=""/>
      <w:lvlJc w:val="left"/>
      <w:pPr>
        <w:ind w:left="2184" w:hanging="360"/>
      </w:pPr>
      <w:rPr>
        <w:rFonts w:ascii="Symbol" w:hAnsi="Symbol" w:hint="default"/>
      </w:rPr>
    </w:lvl>
    <w:lvl w:ilvl="7" w:tplc="08090003" w:tentative="1">
      <w:start w:val="1"/>
      <w:numFmt w:val="bullet"/>
      <w:lvlText w:val="o"/>
      <w:lvlJc w:val="left"/>
      <w:pPr>
        <w:ind w:left="2904" w:hanging="360"/>
      </w:pPr>
      <w:rPr>
        <w:rFonts w:ascii="Courier New" w:hAnsi="Courier New" w:cs="Courier New" w:hint="default"/>
      </w:rPr>
    </w:lvl>
    <w:lvl w:ilvl="8" w:tplc="08090005" w:tentative="1">
      <w:start w:val="1"/>
      <w:numFmt w:val="bullet"/>
      <w:lvlText w:val=""/>
      <w:lvlJc w:val="left"/>
      <w:pPr>
        <w:ind w:left="3624" w:hanging="360"/>
      </w:pPr>
      <w:rPr>
        <w:rFonts w:ascii="Wingdings" w:hAnsi="Wingdings" w:hint="default"/>
      </w:rPr>
    </w:lvl>
  </w:abstractNum>
  <w:abstractNum w:abstractNumId="5">
    <w:nsid w:val="0E237974"/>
    <w:multiLevelType w:val="hybridMultilevel"/>
    <w:tmpl w:val="454604F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E5C16DB"/>
    <w:multiLevelType w:val="hybridMultilevel"/>
    <w:tmpl w:val="3A18F49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11825784"/>
    <w:multiLevelType w:val="hybridMultilevel"/>
    <w:tmpl w:val="3DE0206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AE45F1D"/>
    <w:multiLevelType w:val="hybridMultilevel"/>
    <w:tmpl w:val="1CDC88B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1BB821B2"/>
    <w:multiLevelType w:val="hybridMultilevel"/>
    <w:tmpl w:val="A3160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D672271"/>
    <w:multiLevelType w:val="hybridMultilevel"/>
    <w:tmpl w:val="EBEC46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4A638EF"/>
    <w:multiLevelType w:val="hybridMultilevel"/>
    <w:tmpl w:val="D5269E1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53F0E5B"/>
    <w:multiLevelType w:val="hybridMultilevel"/>
    <w:tmpl w:val="ECDA0EE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DE02EA6"/>
    <w:multiLevelType w:val="hybridMultilevel"/>
    <w:tmpl w:val="A8E027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1BB1686"/>
    <w:multiLevelType w:val="hybridMultilevel"/>
    <w:tmpl w:val="948C2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0FA720F"/>
    <w:multiLevelType w:val="hybridMultilevel"/>
    <w:tmpl w:val="E4A88B7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1A80529"/>
    <w:multiLevelType w:val="hybridMultilevel"/>
    <w:tmpl w:val="BFF6BC7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481E65BC"/>
    <w:multiLevelType w:val="hybridMultilevel"/>
    <w:tmpl w:val="59CEC28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48511FDC"/>
    <w:multiLevelType w:val="hybridMultilevel"/>
    <w:tmpl w:val="CBC0F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C7D0EFC"/>
    <w:multiLevelType w:val="hybridMultilevel"/>
    <w:tmpl w:val="0AFCD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0CB3143"/>
    <w:multiLevelType w:val="hybridMultilevel"/>
    <w:tmpl w:val="49F46F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5DA842DD"/>
    <w:multiLevelType w:val="hybridMultilevel"/>
    <w:tmpl w:val="A4CCBC8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5EE96287"/>
    <w:multiLevelType w:val="hybridMultilevel"/>
    <w:tmpl w:val="409AC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24B30FA"/>
    <w:multiLevelType w:val="hybridMultilevel"/>
    <w:tmpl w:val="9552DC2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62FD4507"/>
    <w:multiLevelType w:val="hybridMultilevel"/>
    <w:tmpl w:val="D14626EE"/>
    <w:lvl w:ilvl="0" w:tplc="402EA07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64F66B5B"/>
    <w:multiLevelType w:val="hybridMultilevel"/>
    <w:tmpl w:val="8CCE470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3C350CE"/>
    <w:multiLevelType w:val="hybridMultilevel"/>
    <w:tmpl w:val="3A18F49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74081965"/>
    <w:multiLevelType w:val="hybridMultilevel"/>
    <w:tmpl w:val="D9008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9E17035"/>
    <w:multiLevelType w:val="hybridMultilevel"/>
    <w:tmpl w:val="00DAEEB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7BF35B20"/>
    <w:multiLevelType w:val="hybridMultilevel"/>
    <w:tmpl w:val="58F62C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2"/>
  </w:num>
  <w:num w:numId="2">
    <w:abstractNumId w:val="17"/>
  </w:num>
  <w:num w:numId="3">
    <w:abstractNumId w:val="22"/>
  </w:num>
  <w:num w:numId="4">
    <w:abstractNumId w:val="13"/>
  </w:num>
  <w:num w:numId="5">
    <w:abstractNumId w:val="7"/>
  </w:num>
  <w:num w:numId="6">
    <w:abstractNumId w:val="20"/>
  </w:num>
  <w:num w:numId="7">
    <w:abstractNumId w:val="15"/>
  </w:num>
  <w:num w:numId="8">
    <w:abstractNumId w:val="10"/>
  </w:num>
  <w:num w:numId="9">
    <w:abstractNumId w:val="8"/>
  </w:num>
  <w:num w:numId="10">
    <w:abstractNumId w:val="18"/>
  </w:num>
  <w:num w:numId="11">
    <w:abstractNumId w:val="16"/>
  </w:num>
  <w:num w:numId="12">
    <w:abstractNumId w:val="14"/>
  </w:num>
  <w:num w:numId="13">
    <w:abstractNumId w:val="5"/>
  </w:num>
  <w:num w:numId="14">
    <w:abstractNumId w:val="29"/>
  </w:num>
  <w:num w:numId="15">
    <w:abstractNumId w:val="25"/>
  </w:num>
  <w:num w:numId="16">
    <w:abstractNumId w:val="3"/>
  </w:num>
  <w:num w:numId="17">
    <w:abstractNumId w:val="1"/>
  </w:num>
  <w:num w:numId="18">
    <w:abstractNumId w:val="26"/>
  </w:num>
  <w:num w:numId="19">
    <w:abstractNumId w:val="6"/>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
  </w:num>
  <w:num w:numId="23">
    <w:abstractNumId w:val="30"/>
  </w:num>
  <w:num w:numId="24">
    <w:abstractNumId w:val="28"/>
  </w:num>
  <w:num w:numId="25">
    <w:abstractNumId w:val="24"/>
  </w:num>
  <w:num w:numId="26">
    <w:abstractNumId w:val="4"/>
  </w:num>
  <w:num w:numId="27">
    <w:abstractNumId w:val="11"/>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1"/>
  </w:num>
  <w:num w:numId="31">
    <w:abstractNumId w:val="27"/>
  </w:num>
  <w:num w:numId="32">
    <w:abstractNumId w:val="19"/>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proofState w:spelling="clean" w:grammar="clean"/>
  <w:defaultTabStop w:val="720"/>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089EEE44-93B9-4E8A-A821-020DE6DB6E32"/>
    <w:docVar w:name="LW_COVERPAGE_TYPE" w:val="1"/>
    <w:docVar w:name="LW_CROSSREFERENCE" w:val="&lt;UNUSED&gt;"/>
    <w:docVar w:name="LW_DocType" w:val="NORMAL"/>
    <w:docVar w:name="LW_EMISSION" w:val="12.12.2017"/>
    <w:docVar w:name="LW_EMISSION_ISODATE" w:val="2017-12-12"/>
    <w:docVar w:name="LW_EMISSION_LOCATION" w:val="STR"/>
    <w:docVar w:name="LW_EMISSION_PREFIX" w:val="Strasbourg, le "/>
    <w:docVar w:name="LW_EMISSION_SUFFIX" w:val=" "/>
    <w:docVar w:name="LW_ID_DOCTYPE_NONLW" w:val="CP-001"/>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17) 77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Douzième rapport sur les progrès accomplis dans la mise en place d'une union de la sécurité réelle et effective"/>
    <w:docVar w:name="LW_TYPE.DOC.CP" w:val="COMMUNICATION DE LA COMMISSION"/>
    <w:docVar w:name="LW_TYPE.DOC.CP.USERTEXT" w:val="AU PARLEMENT EUROPÉEN, AU CONSEIL EUROPÉEN ET AU CONSEIL"/>
  </w:docVars>
  <w:rsids>
    <w:rsidRoot w:val="005E240D"/>
    <w:rsid w:val="005E240D"/>
    <w:rsid w:val="00DE45D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nhideWhenUsed/>
    <w:rPr>
      <w:color w:val="0000FF"/>
      <w:u w:val="single"/>
    </w:rPr>
  </w:style>
  <w:style w:type="paragraph" w:styleId="FootnoteText">
    <w:name w:val="footnote text"/>
    <w:basedOn w:val="Normal"/>
    <w:link w:val="FootnoteTextChar"/>
    <w:uiPriority w:val="99"/>
    <w:semiHidden/>
    <w:unhideWhenUsed/>
    <w:pPr>
      <w:spacing w:after="0" w:line="240" w:lineRule="auto"/>
      <w:ind w:left="720" w:hanging="720"/>
      <w:jc w:val="both"/>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Point0number">
    <w:name w:val="Point 0 (number)"/>
    <w:basedOn w:val="Normal"/>
    <w:pPr>
      <w:numPr>
        <w:numId w:val="20"/>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pPr>
      <w:numPr>
        <w:ilvl w:val="2"/>
        <w:numId w:val="20"/>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pPr>
      <w:numPr>
        <w:ilvl w:val="4"/>
        <w:numId w:val="20"/>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pPr>
      <w:numPr>
        <w:ilvl w:val="6"/>
        <w:numId w:val="20"/>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pPr>
      <w:numPr>
        <w:ilvl w:val="1"/>
        <w:numId w:val="20"/>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pPr>
      <w:numPr>
        <w:ilvl w:val="3"/>
        <w:numId w:val="20"/>
      </w:numPr>
      <w:spacing w:before="120" w:after="120" w:line="240" w:lineRule="auto"/>
      <w:jc w:val="both"/>
    </w:pPr>
    <w:rPr>
      <w:rFonts w:ascii="Times New Roman" w:hAnsi="Times New Roman" w:cs="Times New Roman"/>
      <w:sz w:val="24"/>
    </w:rPr>
  </w:style>
  <w:style w:type="paragraph" w:customStyle="1" w:styleId="Point2letter">
    <w:name w:val="Point 2 (letter)"/>
    <w:basedOn w:val="Normal"/>
    <w:pPr>
      <w:numPr>
        <w:ilvl w:val="5"/>
        <w:numId w:val="20"/>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pPr>
      <w:numPr>
        <w:ilvl w:val="7"/>
        <w:numId w:val="20"/>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pPr>
      <w:numPr>
        <w:ilvl w:val="8"/>
        <w:numId w:val="20"/>
      </w:numPr>
      <w:spacing w:before="120" w:after="120" w:line="240" w:lineRule="auto"/>
      <w:jc w:val="both"/>
    </w:pPr>
    <w:rPr>
      <w:rFonts w:ascii="Times New Roman" w:hAnsi="Times New Roman" w:cs="Times New Roman"/>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nhideWhenUsed/>
    <w:rPr>
      <w:color w:val="0000FF"/>
      <w:u w:val="single"/>
    </w:rPr>
  </w:style>
  <w:style w:type="paragraph" w:styleId="FootnoteText">
    <w:name w:val="footnote text"/>
    <w:basedOn w:val="Normal"/>
    <w:link w:val="FootnoteTextChar"/>
    <w:uiPriority w:val="99"/>
    <w:semiHidden/>
    <w:unhideWhenUsed/>
    <w:pPr>
      <w:spacing w:after="0" w:line="240" w:lineRule="auto"/>
      <w:ind w:left="720" w:hanging="720"/>
      <w:jc w:val="both"/>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Point0number">
    <w:name w:val="Point 0 (number)"/>
    <w:basedOn w:val="Normal"/>
    <w:pPr>
      <w:numPr>
        <w:numId w:val="20"/>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pPr>
      <w:numPr>
        <w:ilvl w:val="2"/>
        <w:numId w:val="20"/>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pPr>
      <w:numPr>
        <w:ilvl w:val="4"/>
        <w:numId w:val="20"/>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pPr>
      <w:numPr>
        <w:ilvl w:val="6"/>
        <w:numId w:val="20"/>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pPr>
      <w:numPr>
        <w:ilvl w:val="1"/>
        <w:numId w:val="20"/>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pPr>
      <w:numPr>
        <w:ilvl w:val="3"/>
        <w:numId w:val="20"/>
      </w:numPr>
      <w:spacing w:before="120" w:after="120" w:line="240" w:lineRule="auto"/>
      <w:jc w:val="both"/>
    </w:pPr>
    <w:rPr>
      <w:rFonts w:ascii="Times New Roman" w:hAnsi="Times New Roman" w:cs="Times New Roman"/>
      <w:sz w:val="24"/>
    </w:rPr>
  </w:style>
  <w:style w:type="paragraph" w:customStyle="1" w:styleId="Point2letter">
    <w:name w:val="Point 2 (letter)"/>
    <w:basedOn w:val="Normal"/>
    <w:pPr>
      <w:numPr>
        <w:ilvl w:val="5"/>
        <w:numId w:val="20"/>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pPr>
      <w:numPr>
        <w:ilvl w:val="7"/>
        <w:numId w:val="20"/>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pPr>
      <w:numPr>
        <w:ilvl w:val="8"/>
        <w:numId w:val="20"/>
      </w:numPr>
      <w:spacing w:before="120" w:after="120" w:line="240" w:lineRule="auto"/>
      <w:jc w:val="both"/>
    </w:pPr>
    <w:rPr>
      <w:rFonts w:ascii="Times New Roman" w:hAnsi="Times New Roman" w:cs="Times New Roman"/>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50679">
      <w:bodyDiv w:val="1"/>
      <w:marLeft w:val="0"/>
      <w:marRight w:val="0"/>
      <w:marTop w:val="0"/>
      <w:marBottom w:val="0"/>
      <w:divBdr>
        <w:top w:val="none" w:sz="0" w:space="0" w:color="auto"/>
        <w:left w:val="none" w:sz="0" w:space="0" w:color="auto"/>
        <w:bottom w:val="none" w:sz="0" w:space="0" w:color="auto"/>
        <w:right w:val="none" w:sz="0" w:space="0" w:color="auto"/>
      </w:divBdr>
    </w:div>
    <w:div w:id="37052683">
      <w:bodyDiv w:val="1"/>
      <w:marLeft w:val="0"/>
      <w:marRight w:val="0"/>
      <w:marTop w:val="0"/>
      <w:marBottom w:val="0"/>
      <w:divBdr>
        <w:top w:val="none" w:sz="0" w:space="0" w:color="auto"/>
        <w:left w:val="none" w:sz="0" w:space="0" w:color="auto"/>
        <w:bottom w:val="none" w:sz="0" w:space="0" w:color="auto"/>
        <w:right w:val="none" w:sz="0" w:space="0" w:color="auto"/>
      </w:divBdr>
    </w:div>
    <w:div w:id="319504620">
      <w:bodyDiv w:val="1"/>
      <w:marLeft w:val="0"/>
      <w:marRight w:val="0"/>
      <w:marTop w:val="0"/>
      <w:marBottom w:val="0"/>
      <w:divBdr>
        <w:top w:val="none" w:sz="0" w:space="0" w:color="auto"/>
        <w:left w:val="none" w:sz="0" w:space="0" w:color="auto"/>
        <w:bottom w:val="none" w:sz="0" w:space="0" w:color="auto"/>
        <w:right w:val="none" w:sz="0" w:space="0" w:color="auto"/>
      </w:divBdr>
    </w:div>
    <w:div w:id="505634201">
      <w:bodyDiv w:val="1"/>
      <w:marLeft w:val="0"/>
      <w:marRight w:val="0"/>
      <w:marTop w:val="0"/>
      <w:marBottom w:val="0"/>
      <w:divBdr>
        <w:top w:val="none" w:sz="0" w:space="0" w:color="auto"/>
        <w:left w:val="none" w:sz="0" w:space="0" w:color="auto"/>
        <w:bottom w:val="none" w:sz="0" w:space="0" w:color="auto"/>
        <w:right w:val="none" w:sz="0" w:space="0" w:color="auto"/>
      </w:divBdr>
    </w:div>
    <w:div w:id="541206789">
      <w:bodyDiv w:val="1"/>
      <w:marLeft w:val="0"/>
      <w:marRight w:val="0"/>
      <w:marTop w:val="0"/>
      <w:marBottom w:val="0"/>
      <w:divBdr>
        <w:top w:val="none" w:sz="0" w:space="0" w:color="auto"/>
        <w:left w:val="none" w:sz="0" w:space="0" w:color="auto"/>
        <w:bottom w:val="none" w:sz="0" w:space="0" w:color="auto"/>
        <w:right w:val="none" w:sz="0" w:space="0" w:color="auto"/>
      </w:divBdr>
    </w:div>
    <w:div w:id="889533579">
      <w:bodyDiv w:val="1"/>
      <w:marLeft w:val="0"/>
      <w:marRight w:val="0"/>
      <w:marTop w:val="0"/>
      <w:marBottom w:val="0"/>
      <w:divBdr>
        <w:top w:val="none" w:sz="0" w:space="0" w:color="auto"/>
        <w:left w:val="none" w:sz="0" w:space="0" w:color="auto"/>
        <w:bottom w:val="none" w:sz="0" w:space="0" w:color="auto"/>
        <w:right w:val="none" w:sz="0" w:space="0" w:color="auto"/>
      </w:divBdr>
    </w:div>
    <w:div w:id="1017267359">
      <w:bodyDiv w:val="1"/>
      <w:marLeft w:val="0"/>
      <w:marRight w:val="0"/>
      <w:marTop w:val="0"/>
      <w:marBottom w:val="0"/>
      <w:divBdr>
        <w:top w:val="none" w:sz="0" w:space="0" w:color="auto"/>
        <w:left w:val="none" w:sz="0" w:space="0" w:color="auto"/>
        <w:bottom w:val="none" w:sz="0" w:space="0" w:color="auto"/>
        <w:right w:val="none" w:sz="0" w:space="0" w:color="auto"/>
      </w:divBdr>
    </w:div>
    <w:div w:id="1397900684">
      <w:bodyDiv w:val="1"/>
      <w:marLeft w:val="0"/>
      <w:marRight w:val="0"/>
      <w:marTop w:val="0"/>
      <w:marBottom w:val="0"/>
      <w:divBdr>
        <w:top w:val="none" w:sz="0" w:space="0" w:color="auto"/>
        <w:left w:val="none" w:sz="0" w:space="0" w:color="auto"/>
        <w:bottom w:val="none" w:sz="0" w:space="0" w:color="auto"/>
        <w:right w:val="none" w:sz="0" w:space="0" w:color="auto"/>
      </w:divBdr>
    </w:div>
    <w:div w:id="1639336877">
      <w:bodyDiv w:val="1"/>
      <w:marLeft w:val="0"/>
      <w:marRight w:val="0"/>
      <w:marTop w:val="0"/>
      <w:marBottom w:val="0"/>
      <w:divBdr>
        <w:top w:val="none" w:sz="0" w:space="0" w:color="auto"/>
        <w:left w:val="none" w:sz="0" w:space="0" w:color="auto"/>
        <w:bottom w:val="none" w:sz="0" w:space="0" w:color="auto"/>
        <w:right w:val="none" w:sz="0" w:space="0" w:color="auto"/>
      </w:divBdr>
    </w:div>
    <w:div w:id="1710839653">
      <w:bodyDiv w:val="1"/>
      <w:marLeft w:val="0"/>
      <w:marRight w:val="0"/>
      <w:marTop w:val="0"/>
      <w:marBottom w:val="0"/>
      <w:divBdr>
        <w:top w:val="none" w:sz="0" w:space="0" w:color="auto"/>
        <w:left w:val="none" w:sz="0" w:space="0" w:color="auto"/>
        <w:bottom w:val="none" w:sz="0" w:space="0" w:color="auto"/>
        <w:right w:val="none" w:sz="0" w:space="0" w:color="auto"/>
      </w:divBdr>
    </w:div>
    <w:div w:id="2076707965">
      <w:bodyDiv w:val="1"/>
      <w:marLeft w:val="0"/>
      <w:marRight w:val="0"/>
      <w:marTop w:val="0"/>
      <w:marBottom w:val="0"/>
      <w:divBdr>
        <w:top w:val="none" w:sz="0" w:space="0" w:color="auto"/>
        <w:left w:val="none" w:sz="0" w:space="0" w:color="auto"/>
        <w:bottom w:val="none" w:sz="0" w:space="0" w:color="auto"/>
        <w:right w:val="none" w:sz="0" w:space="0" w:color="auto"/>
      </w:divBdr>
    </w:div>
    <w:div w:id="209447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transparency/regexpert/index.cfm?do=groupDetail.groupDetailDoc&amp;id=32600&amp;no=1" TargetMode="External"/><Relationship Id="rId7" Type="http://schemas.openxmlformats.org/officeDocument/2006/relationships/hyperlink" Target="http://europa.eu/rapid/press-release_IP-17-5105_fr.htm" TargetMode="External"/><Relationship Id="rId2" Type="http://schemas.openxmlformats.org/officeDocument/2006/relationships/hyperlink" Target="http://ec.europa.eu/commfrontoffice/publicopinion/index.cfm/Survey/getSurveyDetail/instruments/SPECIAL/surveyKy/1569" TargetMode="External"/><Relationship Id="rId1" Type="http://schemas.openxmlformats.org/officeDocument/2006/relationships/hyperlink" Target="http://www.consilium.europa.eu/media/21597/bratislava-implementation-report.pdf" TargetMode="External"/><Relationship Id="rId6" Type="http://schemas.openxmlformats.org/officeDocument/2006/relationships/hyperlink" Target="https://ec.europa.eu/digital-single-market/en/policies/cybersecurity" TargetMode="External"/><Relationship Id="rId5" Type="http://schemas.openxmlformats.org/officeDocument/2006/relationships/hyperlink" Target="http://data.consilium.europa.eu/doc/document/ST-14-2017-INIT/fr/pdf" TargetMode="External"/><Relationship Id="rId4" Type="http://schemas.openxmlformats.org/officeDocument/2006/relationships/hyperlink" Target="http://ec.europa.eu/research/participants/data/ref/other_eu_prog/other/home/call-fiche/isfp-call-fiche-2017-ag-terfin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27274-7C43-45A2-9743-C3592C10D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17</Pages>
  <Words>7501</Words>
  <Characters>42762</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Stefanie Heilemann</cp:lastModifiedBy>
  <cp:revision>19</cp:revision>
  <cp:lastPrinted>2017-12-08T14:57:00Z</cp:lastPrinted>
  <dcterms:created xsi:type="dcterms:W3CDTF">2017-12-12T13:43:00Z</dcterms:created>
  <dcterms:modified xsi:type="dcterms:W3CDTF">2018-01-09T09:00:00Z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ies>
</file>