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60204" w14:textId="0D347375" w:rsidR="00B871C4" w:rsidRPr="00047543" w:rsidRDefault="003E44E5" w:rsidP="003E44E5">
      <w:pPr>
        <w:pStyle w:val="Pagedecouverture"/>
        <w:rPr>
          <w:noProof/>
        </w:rPr>
      </w:pPr>
      <w:bookmarkStart w:id="0" w:name="_Hlk213507269"/>
      <w:r>
        <w:rPr>
          <w:noProof/>
        </w:rPr>
        <w:pict w14:anchorId="65B32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169FEE8-60B0-4342-A50E-C759EEA5DAA1" style="width:455.25pt;height:357.75pt">
            <v:imagedata r:id="rId8" o:title=""/>
          </v:shape>
        </w:pict>
      </w:r>
    </w:p>
    <w:p w14:paraId="436FF5BB" w14:textId="44009178" w:rsidR="00EA6D00" w:rsidRPr="00047543" w:rsidRDefault="00EA6D00" w:rsidP="00EA6D00">
      <w:pPr>
        <w:pStyle w:val="Pagedecouverture"/>
        <w:rPr>
          <w:noProof/>
        </w:rPr>
        <w:sectPr w:rsidR="00EA6D00" w:rsidRPr="00047543" w:rsidSect="003E44E5">
          <w:footerReference w:type="even" r:id="rId9"/>
          <w:footerReference w:type="default" r:id="rId10"/>
          <w:pgSz w:w="11907" w:h="16839"/>
          <w:pgMar w:top="1134" w:right="1417" w:bottom="1134" w:left="1417" w:header="709" w:footer="709" w:gutter="0"/>
          <w:pgNumType w:start="0"/>
          <w:cols w:space="720"/>
          <w:docGrid w:linePitch="360"/>
        </w:sectPr>
      </w:pPr>
    </w:p>
    <w:p w14:paraId="53D1E90B" w14:textId="77777777" w:rsidR="0040501D" w:rsidRPr="00047543" w:rsidRDefault="0040501D">
      <w:pPr>
        <w:pStyle w:val="Exposdesmotifstitre"/>
        <w:rPr>
          <w:noProof/>
        </w:rPr>
      </w:pPr>
      <w:bookmarkStart w:id="1" w:name="_GoBack"/>
      <w:bookmarkEnd w:id="0"/>
      <w:bookmarkEnd w:id="1"/>
      <w:r w:rsidRPr="00047543">
        <w:rPr>
          <w:noProof/>
        </w:rPr>
        <w:lastRenderedPageBreak/>
        <w:t>MOTIVERING</w:t>
      </w:r>
    </w:p>
    <w:p w14:paraId="36E61DCB" w14:textId="77777777" w:rsidR="0040501D" w:rsidRPr="00047543" w:rsidRDefault="0040501D">
      <w:pPr>
        <w:pStyle w:val="ManualHeading1"/>
        <w:rPr>
          <w:noProof/>
        </w:rPr>
      </w:pPr>
      <w:r w:rsidRPr="00047543">
        <w:rPr>
          <w:noProof/>
        </w:rPr>
        <w:t>1.</w:t>
      </w:r>
      <w:r w:rsidRPr="00047543">
        <w:rPr>
          <w:noProof/>
        </w:rPr>
        <w:tab/>
        <w:t>BAKGRUND TILL FÖRSLAGET</w:t>
      </w:r>
    </w:p>
    <w:p w14:paraId="3511C392" w14:textId="77777777" w:rsidR="0040501D" w:rsidRPr="00047543" w:rsidRDefault="0040501D">
      <w:pPr>
        <w:pStyle w:val="ManualHeading2"/>
        <w:rPr>
          <w:rFonts w:eastAsia="Arial Unicode MS"/>
          <w:noProof/>
        </w:rPr>
      </w:pPr>
      <w:r w:rsidRPr="00047543">
        <w:rPr>
          <w:noProof/>
          <w:color w:val="000000"/>
          <w:u w:color="000000"/>
          <w:bdr w:val="nil"/>
        </w:rPr>
        <w:t>•</w:t>
      </w:r>
      <w:r w:rsidRPr="00047543">
        <w:rPr>
          <w:noProof/>
        </w:rPr>
        <w:tab/>
        <w:t>Motiv och syfte med förslaget</w:t>
      </w:r>
    </w:p>
    <w:p w14:paraId="0588952E" w14:textId="77777777" w:rsidR="00E90308" w:rsidRPr="00047543" w:rsidRDefault="00E90308" w:rsidP="00E90308">
      <w:pPr>
        <w:pBdr>
          <w:top w:val="nil"/>
          <w:left w:val="nil"/>
          <w:bottom w:val="nil"/>
          <w:right w:val="nil"/>
          <w:between w:val="nil"/>
          <w:bar w:val="nil"/>
        </w:pBdr>
        <w:spacing w:before="0" w:after="240"/>
        <w:rPr>
          <w:noProof/>
        </w:rPr>
      </w:pPr>
      <w:r w:rsidRPr="00047543">
        <w:rPr>
          <w:noProof/>
        </w:rPr>
        <w:t>Att se till att människor i hela EU kan gå i pension med värdighet, säkerhet och tillräcklig inkomst står i centrum för EU:s sociala och ekonomiska agenda. I takt med att EU-medborgarna lever allt längre har utmaningen med att upprätthålla en anständig levnadsstandard efter pensioneringen blivit alltmer angelägen. Medborgarna förväntar sig att de efter ett liv av arbete ska ha tillgång till en stabil inkomst som är tillräcklig för att upprätthålla en anständig livskvalitet. Samtidigt medför det demografiska åldrandet och nya arbetsformer allt större påfrestningar för pensionssystemens hållbarhet och pensionsinkomsternas tillräcklighet i hela unionen. EU:s befolkning lever allt längre, medan befolkningen i arbetsför ålder minskar. Denna strukturella förändring innebär att färre arbetstagare kommer att finnas tillgängliga för att finansiera pensionerna för ett ökande antal pensionärer, vilket skapar skattemässiga och sociala påfrestningar, som skulle kunna urholka levnadsstandarden och rättvisan mellan generationerna om man inte tar itu med dem.</w:t>
      </w:r>
    </w:p>
    <w:p w14:paraId="63CFB0B8" w14:textId="77777777" w:rsidR="00033049" w:rsidRPr="00047543" w:rsidRDefault="004178EF" w:rsidP="00033049">
      <w:pPr>
        <w:spacing w:before="0" w:after="160" w:line="259" w:lineRule="auto"/>
        <w:rPr>
          <w:noProof/>
        </w:rPr>
      </w:pPr>
      <w:r w:rsidRPr="00047543">
        <w:rPr>
          <w:noProof/>
        </w:rPr>
        <w:t>EU måste därför agera för att hjälpa medborgarna att trygga sin pensionsinkomst och bevara sin levnadsstandard i en situation präglad av ogynnsam demografisk utveckling, dämpad produktivitetstillväxt och mer omfattande omvälvande utmaningar i samband med klimatförändringar, digitalisering och geopolitisk osäkerhet. Kapaciteten att hantera pensionsutmaningen på ett effektivt sätt kommer att forma EU:s ekonomiska motståndskraft och sociala sammanhållning under de kommande årtiondena.</w:t>
      </w:r>
    </w:p>
    <w:p w14:paraId="31BB66B9" w14:textId="77777777" w:rsidR="00A27A51" w:rsidRPr="00047543" w:rsidRDefault="00A27A51" w:rsidP="00A27A51">
      <w:pPr>
        <w:pBdr>
          <w:top w:val="nil"/>
          <w:left w:val="nil"/>
          <w:bottom w:val="nil"/>
          <w:right w:val="nil"/>
          <w:between w:val="nil"/>
          <w:bar w:val="nil"/>
        </w:pBdr>
        <w:spacing w:before="0" w:after="240"/>
        <w:rPr>
          <w:noProof/>
        </w:rPr>
      </w:pPr>
      <w:r w:rsidRPr="00047543">
        <w:rPr>
          <w:noProof/>
        </w:rPr>
        <w:t>Pensionsutmaningen är därför central för EU:s ekonomiska och sociala framtid, och handlar om hur en växande andel av befolkningen ska kunna upprätthålla tillräcklig levnadsstandard efter pensioneringen samtidigt som bördan för framtida generationer förblir hållbar. I den europeiska pelaren för sociala rättigheter</w:t>
      </w:r>
      <w:r w:rsidRPr="00047543">
        <w:rPr>
          <w:rStyle w:val="FootnoteReference"/>
          <w:rFonts w:eastAsia="Arial Unicode MS"/>
          <w:noProof/>
        </w:rPr>
        <w:footnoteReference w:id="2"/>
      </w:r>
      <w:r w:rsidRPr="00047543">
        <w:rPr>
          <w:noProof/>
        </w:rPr>
        <w:t>, särskilt princip 15 om åldersinkomst och ålderspensioner, fastställs arbetstagares och egenföretagares rätt till en pension som står i proportion till deras inbetalningar och säkerställer en tillräcklig inkomst, med lika möjligheter för kvinnor och män att förvärva pensionsrättigheter.</w:t>
      </w:r>
    </w:p>
    <w:p w14:paraId="7D60A5EA" w14:textId="77777777" w:rsidR="00C3323E" w:rsidRPr="00047543" w:rsidRDefault="00C3323E" w:rsidP="00C3323E">
      <w:pPr>
        <w:pBdr>
          <w:top w:val="nil"/>
          <w:left w:val="nil"/>
          <w:bottom w:val="nil"/>
          <w:right w:val="nil"/>
          <w:between w:val="nil"/>
          <w:bar w:val="nil"/>
        </w:pBdr>
        <w:spacing w:before="0" w:after="240"/>
        <w:rPr>
          <w:noProof/>
        </w:rPr>
      </w:pPr>
      <w:r w:rsidRPr="00047543">
        <w:rPr>
          <w:noProof/>
        </w:rPr>
        <w:t>Löftet om en adekvat och hållbar pension är fortfarande under press, trots många reformer på nationell nivå. Många medlemsstater har minskat de offentliga pensionsersättningsnivåerna, höjt den lagstadgade pensionsåldern eller övergått från förmånsbestämda till avgiftsbestämda pensionsplaner. Människor förväntas därför i allt högre grad komplettera de lagstadgade pensionerna med yrkessparande eller privata besparingar, vilket medför en ”dubbel börda” för befolkningen i arbetsför ålder, som måste finansiera nuvarande pensionärer och samtidigt spara för sina egna pensionsinkomster.</w:t>
      </w:r>
    </w:p>
    <w:p w14:paraId="7FC9F29F" w14:textId="77777777" w:rsidR="00025E90" w:rsidRPr="00047543" w:rsidRDefault="00025E90" w:rsidP="00025E90">
      <w:pPr>
        <w:pBdr>
          <w:top w:val="nil"/>
          <w:left w:val="nil"/>
          <w:bottom w:val="nil"/>
          <w:right w:val="nil"/>
          <w:between w:val="nil"/>
          <w:bar w:val="nil"/>
        </w:pBdr>
        <w:spacing w:before="0" w:after="240"/>
        <w:rPr>
          <w:noProof/>
        </w:rPr>
      </w:pPr>
      <w:r w:rsidRPr="00047543">
        <w:rPr>
          <w:noProof/>
        </w:rPr>
        <w:t>Människor måste kunna få tillgång till säkra, effektiva, transparenta och högpresterande pensionsprodukter för att kunna bygga upp tillräckliga pensionssparanden. Att omfördela hushållens besparingar från lågavkastande insättningar till kompletterande pensionsprodukter som erbjuder långsiktiga investeringsmöjligheter kan hjälpa enskilda personer att uppnå en högre och stabilare pensionsinkomst. Samtidigt utgör dessa besparingar, när de kanaliseras genom välstyrda och effektivt förvaltade pensionsinstitut, en viktig källa till långsiktigt kapital för den europeiska ekonomin. Den kompletterande pensionssektorn spelar en dubbel roll: skydda enskilda personers ekonomiska trygghet efter pensioneringen och bidra till EU:s långsiktiga ekonomiska hållbarhet.</w:t>
      </w:r>
    </w:p>
    <w:p w14:paraId="016DBE45" w14:textId="77777777" w:rsidR="00033049" w:rsidRPr="00047543" w:rsidRDefault="00FA3559" w:rsidP="00033049">
      <w:pPr>
        <w:spacing w:before="0" w:after="160" w:line="259" w:lineRule="auto"/>
        <w:rPr>
          <w:noProof/>
        </w:rPr>
      </w:pPr>
      <w:r w:rsidRPr="00047543">
        <w:rPr>
          <w:noProof/>
        </w:rPr>
        <w:t>I nyligen genomförda analyser på hög nivå betonas vikten av att stärka denna kanal mellan besparingar och investeringar. I Mario Draghis</w:t>
      </w:r>
      <w:r w:rsidRPr="00047543">
        <w:rPr>
          <w:rStyle w:val="FootnoteReference"/>
          <w:rFonts w:eastAsia="Arial Unicode MS"/>
          <w:noProof/>
        </w:rPr>
        <w:footnoteReference w:id="3"/>
      </w:r>
      <w:r w:rsidRPr="00047543">
        <w:rPr>
          <w:noProof/>
        </w:rPr>
        <w:t xml:space="preserve"> och Enrico Lettas</w:t>
      </w:r>
      <w:r w:rsidRPr="00047543">
        <w:rPr>
          <w:rStyle w:val="FootnoteReference"/>
          <w:rFonts w:eastAsia="Arial Unicode MS"/>
          <w:noProof/>
        </w:rPr>
        <w:footnoteReference w:id="4"/>
      </w:r>
      <w:r w:rsidRPr="00047543">
        <w:rPr>
          <w:noProof/>
        </w:rPr>
        <w:t xml:space="preserve"> rapporter understryks behovet av större produktivitet och ökade investeringar för att upprätthålla EU:s levnadsstandard i en situation där arbetskraften minskar. I Draghirapporten efterlystes särskilt en mer effektiv mobilisering av hushållsbesparingar genom långsiktiga sparprodukter, såsom pensioner. Den stärker därmed idén att förbättrat tillträde till effektiva, transparenta och överkomliga möjligheter för pensionssparande inte bara är ett socialt mål, utan även en ekonomisk nödvändighet. EU bör därför främja deltagande från privatpersoner genom tillgängliga, väl utformade kompletterande pensionssystem, efter framgångsrika nationella exempel.</w:t>
      </w:r>
    </w:p>
    <w:p w14:paraId="6A28FDF5" w14:textId="77777777" w:rsidR="00380898" w:rsidRPr="00047543" w:rsidRDefault="00380898" w:rsidP="00B871C4">
      <w:pPr>
        <w:pBdr>
          <w:top w:val="nil"/>
          <w:left w:val="nil"/>
          <w:bottom w:val="nil"/>
          <w:right w:val="nil"/>
          <w:between w:val="nil"/>
          <w:bar w:val="nil"/>
        </w:pBdr>
        <w:spacing w:before="0" w:after="240"/>
        <w:rPr>
          <w:noProof/>
        </w:rPr>
      </w:pPr>
      <w:r w:rsidRPr="00047543">
        <w:rPr>
          <w:noProof/>
        </w:rPr>
        <w:t>Det finns ett starkt behov av att stärka de kompletterande pensionerna som en del av EU:s bredare sociala kontrakt. I Europeiska rådets slutsatser av den 17–18 april 2024</w:t>
      </w:r>
      <w:r w:rsidRPr="00047543">
        <w:rPr>
          <w:rStyle w:val="FootnoteReference"/>
          <w:rFonts w:eastAsia="Arial Unicode MS"/>
          <w:noProof/>
        </w:rPr>
        <w:footnoteReference w:id="5"/>
      </w:r>
      <w:r w:rsidRPr="00047543">
        <w:rPr>
          <w:noProof/>
        </w:rPr>
        <w:t xml:space="preserve"> efterlystes ytterligare arbete för att utveckla pensioner och långsiktiga sparprodukter, med erkännande av deras bidrag till den gröna och den digitala omställningen och till EU-företagens tillväxt. I Europeiska rådets slutsatser av den 20 mars 2025</w:t>
      </w:r>
      <w:r w:rsidRPr="00047543">
        <w:rPr>
          <w:rStyle w:val="FootnoteReference"/>
          <w:rFonts w:eastAsia="Arial Unicode MS"/>
          <w:noProof/>
        </w:rPr>
        <w:footnoteReference w:id="6"/>
      </w:r>
      <w:r w:rsidRPr="00047543">
        <w:rPr>
          <w:noProof/>
        </w:rPr>
        <w:t xml:space="preserve"> upprepades vikten av att öka deltagandet av privat kapital för att stödja investeringar och konkurrenskraft, och kommissionen uppmanades att främja ett större deltagande från privatpersoner och mindre företag på kapitalmarknaderna, bland annat genom pensionsprodukter.</w:t>
      </w:r>
    </w:p>
    <w:p w14:paraId="41A3963E" w14:textId="77777777" w:rsidR="00122166" w:rsidRPr="00047543" w:rsidRDefault="00122166" w:rsidP="00122166">
      <w:pPr>
        <w:pBdr>
          <w:top w:val="nil"/>
          <w:left w:val="nil"/>
          <w:bottom w:val="nil"/>
          <w:right w:val="nil"/>
          <w:between w:val="nil"/>
          <w:bar w:val="nil"/>
        </w:pBdr>
        <w:spacing w:before="0" w:after="240"/>
        <w:rPr>
          <w:noProof/>
        </w:rPr>
      </w:pPr>
      <w:r w:rsidRPr="00047543">
        <w:rPr>
          <w:noProof/>
        </w:rPr>
        <w:t>I de politiska riktlinjerna 2024–2029</w:t>
      </w:r>
      <w:r w:rsidRPr="00047543">
        <w:rPr>
          <w:rStyle w:val="FootnoteReference"/>
          <w:rFonts w:eastAsia="Arial Unicode MS"/>
          <w:noProof/>
        </w:rPr>
        <w:footnoteReference w:id="7"/>
      </w:r>
      <w:r w:rsidRPr="00047543">
        <w:rPr>
          <w:noProof/>
        </w:rPr>
        <w:t xml:space="preserve"> tillkännagav ordförande Ursula von der Leyen inrättandet av en europeisk spar- och investeringsunion som ska göra EU:s besparingar effektivare för långsiktig tillväxt och välstånd. I sitt meddelande av den 19 mars 2025 om spar- och investeringsunionen erkände kommissionen att sektorn för kompletterande pensioner kan bidra till detta mål genom att mobilisera privata besparingar för produktiva investeringar och se till att fördelarna med sådana investeringar kanaliseras tillbaka till medborgarna i form av högre och tillförlitliga pensionsinkomster. I uppdragsbeskrivningen</w:t>
      </w:r>
      <w:r w:rsidRPr="00047543">
        <w:rPr>
          <w:rStyle w:val="FootnoteReference"/>
          <w:noProof/>
        </w:rPr>
        <w:footnoteReference w:id="8"/>
      </w:r>
      <w:r w:rsidRPr="00047543">
        <w:rPr>
          <w:noProof/>
        </w:rPr>
        <w:t xml:space="preserve"> till den dåvarande kommissionsledamoten med ansvar för finansiella tjänster och spar- och investeringsunionen betonade ordförande Ursula von der Leyen dessutom vikten av att utnyttja potentialen hos privata pensioner och tjänstepensioner för att stödja EU-medborgarna i deras pensionering och underlätta kanaliseringen av besparingar till ekonomin i stort.</w:t>
      </w:r>
    </w:p>
    <w:p w14:paraId="3BC79F97" w14:textId="77777777" w:rsidR="00033049" w:rsidRPr="00047543" w:rsidRDefault="00691BE3" w:rsidP="00033049">
      <w:pPr>
        <w:spacing w:before="0" w:after="160" w:line="259" w:lineRule="auto"/>
        <w:rPr>
          <w:noProof/>
        </w:rPr>
      </w:pPr>
      <w:r w:rsidRPr="00047543">
        <w:rPr>
          <w:noProof/>
        </w:rPr>
        <w:t>Europeiska revisionsrätten konstaterade 2024</w:t>
      </w:r>
      <w:r w:rsidRPr="00047543">
        <w:rPr>
          <w:rStyle w:val="FootnoteReference"/>
          <w:noProof/>
        </w:rPr>
        <w:footnoteReference w:id="9"/>
      </w:r>
      <w:r w:rsidRPr="00047543">
        <w:rPr>
          <w:noProof/>
        </w:rPr>
        <w:t xml:space="preserve"> att EU:s åtgärder inte är ändamålsenliga när det gäller att stärka tjänstepensionerna och inrätta en paneuropeisk privat pensionsprodukt. Den underströk behovet av förnyade insatser på detta område för att bättre tillgodose medborgarnas pensionsbehov.</w:t>
      </w:r>
    </w:p>
    <w:p w14:paraId="7442403D" w14:textId="77777777" w:rsidR="007E7999" w:rsidRPr="00047543" w:rsidRDefault="00512201" w:rsidP="007E7999">
      <w:pPr>
        <w:spacing w:before="0" w:after="160" w:line="259" w:lineRule="auto"/>
        <w:rPr>
          <w:noProof/>
        </w:rPr>
      </w:pPr>
      <w:r w:rsidRPr="00047543">
        <w:rPr>
          <w:noProof/>
        </w:rPr>
        <w:t>Förordning (EU) 2019/1238 om en paneuropeisk privat pensionsprodukt (PEPP-produkt)</w:t>
      </w:r>
      <w:r w:rsidRPr="00047543">
        <w:rPr>
          <w:rStyle w:val="FootnoteReference"/>
          <w:noProof/>
        </w:rPr>
        <w:footnoteReference w:id="10"/>
      </w:r>
      <w:r w:rsidRPr="00047543">
        <w:rPr>
          <w:noProof/>
        </w:rPr>
        <w:t xml:space="preserve"> antogs för att ta itu med den fragmenterade och ojämna utvecklingen av marknaderna för privata pensioner i hela EU. Personer som vill komplettera sina lagstadgade pensioner och tjänstepensioner hade endast begränsad och ojämlik tillgång till överkomliga och attraktiva privata pensionsprodukter. Marknadsfragmentering försvårade för tillhandahållare att uppnå stordriftsfördelar, sprida risker och främja innovation. Detta minskade i sin tur konsumenternas valmöjligheter och ökade kostnaderna för spararna. Avsaknaden av en harmoniserad ram begränsade även gränsöverskridande verksamhet, med få tillhandahållare eller sparare verksamma utanför de nationella marknaderna. Denna situation begränsade djupet och likviditeten på EU:s kapitalmarknader jämfört med andra jurisdiktioner, där pensionsfonder har en mer framträdande roll som institutionella investerare.</w:t>
      </w:r>
    </w:p>
    <w:p w14:paraId="2CA762F1" w14:textId="5B04943B" w:rsidR="00D712AD" w:rsidRPr="00047543" w:rsidRDefault="006C2045" w:rsidP="00EE0FA2">
      <w:pPr>
        <w:spacing w:before="0" w:after="160" w:line="259" w:lineRule="auto"/>
        <w:rPr>
          <w:noProof/>
        </w:rPr>
      </w:pPr>
      <w:r w:rsidRPr="00047543">
        <w:rPr>
          <w:noProof/>
        </w:rPr>
        <w:t xml:space="preserve">Översynen av PEPP-förordningen syftar till att säkerställa att regelverket fungerar bättre för EU:s medborgare. PEPP-produkter uppnådde initialt inte den förväntade kommersiella framgången, och denna översyn syftar till att förbättra PEPP-produktens funktionalitet och praktiska effektivitet genom att etablera en solid och effektiv grund för en individuell pensionsplan som kompletterar medlemsstaternas lagstadgade pensionssystem och tjänstepensionssystem. Det reviderade regelverket syftar till att göra PEPP-produkten till ett mer attraktivt och tillgängligt alternativ för sparare i hela unionen, med hänsyn till olika preferenser för pensionssparande, och säkerställa att det finns ett tydligt erbjudande om en enkel plan som är transparent och kostnadseffektiv, vilket håller produktions- och distributionskostnaderna låga. Regelverket kommer inte bara att förenkla utvecklingen av en effektiviserad grundprodukt, utan också underlätta utvecklingen av en mer sofistikerad PEPP-produkt med ytterligare investerings- och/eller riskhanteringsalternativ, vilket gör det möjligt för tillhandahållare att erbjuda mer skräddarsydda lösningar som återspeglar olika riskpreferenser, marknadsförhållanden och nationella kontexter. Beroende på den exakta utformningen skulle PEPP-produkter i princip också kunna investera i mer diversifierade tillgångsklasser, såsom bredare kategorier av aktieinvesteringar. Detta skulle göra det möjligt för PEPP-produkter att bättre finansiera EU-företag i enlighet med EU:s prioriteringar, inklusive tillgångar som omfattas av InvestEU-programmet och som främjar den digitala och den gröna omställningen. </w:t>
      </w:r>
    </w:p>
    <w:p w14:paraId="2C8B77EA" w14:textId="77777777" w:rsidR="0040501D" w:rsidRPr="00047543" w:rsidRDefault="0040501D">
      <w:pPr>
        <w:pStyle w:val="ManualHeading2"/>
        <w:rPr>
          <w:rFonts w:eastAsia="Arial Unicode MS"/>
          <w:noProof/>
          <w:color w:val="000000"/>
          <w:u w:color="000000"/>
          <w:bdr w:val="nil"/>
        </w:rPr>
      </w:pPr>
      <w:r w:rsidRPr="00047543">
        <w:rPr>
          <w:noProof/>
          <w:color w:val="000000"/>
          <w:u w:color="000000"/>
          <w:bdr w:val="nil"/>
        </w:rPr>
        <w:t>•</w:t>
      </w:r>
      <w:r w:rsidRPr="00047543">
        <w:rPr>
          <w:noProof/>
        </w:rPr>
        <w:tab/>
        <w:t>Förenlighet med befintliga bestämmelser inom området</w:t>
      </w:r>
    </w:p>
    <w:p w14:paraId="7D8426F8" w14:textId="77777777" w:rsidR="001A7524" w:rsidRPr="00047543" w:rsidRDefault="00AD3E83" w:rsidP="001A7524">
      <w:pPr>
        <w:pBdr>
          <w:top w:val="nil"/>
          <w:left w:val="nil"/>
          <w:bottom w:val="nil"/>
          <w:right w:val="nil"/>
          <w:between w:val="nil"/>
          <w:bar w:val="nil"/>
        </w:pBdr>
        <w:spacing w:before="0" w:after="240"/>
        <w:rPr>
          <w:rFonts w:eastAsia="Arial Unicode MS"/>
          <w:noProof/>
        </w:rPr>
      </w:pPr>
      <w:r w:rsidRPr="00047543">
        <w:rPr>
          <w:noProof/>
        </w:rPr>
        <w:t>EU har genomfört flera viktiga initiativ för att stärka marknaden för kompletterande pensioner:</w:t>
      </w:r>
    </w:p>
    <w:p w14:paraId="51D7E590" w14:textId="77777777" w:rsidR="001A7524" w:rsidRPr="00047543" w:rsidRDefault="001A7524" w:rsidP="002B3F0A">
      <w:pPr>
        <w:pStyle w:val="ListBullet1"/>
        <w:rPr>
          <w:rFonts w:eastAsia="Arial Unicode MS"/>
          <w:noProof/>
        </w:rPr>
      </w:pPr>
      <w:r w:rsidRPr="00047543">
        <w:rPr>
          <w:noProof/>
        </w:rPr>
        <w:t>Direktiv 98/49/EG av den 29 juni 1998 om skydd av kompletterande pensionsrättigheter för anställda och egenföretagare som flyttar inom gemenskapen</w:t>
      </w:r>
      <w:r w:rsidRPr="00047543">
        <w:rPr>
          <w:rStyle w:val="FootnoteReference"/>
          <w:noProof/>
        </w:rPr>
        <w:footnoteReference w:id="11"/>
      </w:r>
      <w:r w:rsidRPr="00047543">
        <w:rPr>
          <w:noProof/>
        </w:rPr>
        <w:t>.</w:t>
      </w:r>
    </w:p>
    <w:p w14:paraId="628EADB0" w14:textId="77777777" w:rsidR="001A7524" w:rsidRPr="00047543" w:rsidRDefault="001A7524" w:rsidP="002B3F0A">
      <w:pPr>
        <w:pStyle w:val="ListBullet1"/>
        <w:rPr>
          <w:rFonts w:eastAsia="Arial Unicode MS"/>
          <w:noProof/>
        </w:rPr>
      </w:pPr>
      <w:r w:rsidRPr="00047543">
        <w:rPr>
          <w:noProof/>
        </w:rPr>
        <w:t>Direktiv 2014/50/EU av den 16 april 2014 om minimikrav för ökad rörlighet mellan medlemsstaterna för arbetstagare genom förbättrade villkor för intjänande och bevarande av kompletterande pensionsrättigheter</w:t>
      </w:r>
      <w:r w:rsidRPr="00047543">
        <w:rPr>
          <w:rStyle w:val="FootnoteReference"/>
          <w:noProof/>
        </w:rPr>
        <w:footnoteReference w:id="12"/>
      </w:r>
      <w:r w:rsidRPr="00047543">
        <w:rPr>
          <w:noProof/>
        </w:rPr>
        <w:t>.</w:t>
      </w:r>
    </w:p>
    <w:p w14:paraId="16AA13C1" w14:textId="77777777" w:rsidR="001A7524" w:rsidRPr="00047543" w:rsidRDefault="001A7524" w:rsidP="002B3F0A">
      <w:pPr>
        <w:pStyle w:val="ListBullet1"/>
        <w:rPr>
          <w:rFonts w:eastAsia="Arial Unicode MS"/>
          <w:noProof/>
        </w:rPr>
      </w:pPr>
      <w:r w:rsidRPr="00047543">
        <w:rPr>
          <w:noProof/>
        </w:rPr>
        <w:t>Direktiv (EU) 2016/2341 av den 14 december 2016 om verksamhet i och tillsyn över tjänstepensionsinstitut, även kallat det andra direktivet om tjänstepensionsinstitut, som stärker styrningen, offentliggörandet av information och de gränsöverskridande kraven för tjänstepensionsinstitut</w:t>
      </w:r>
      <w:r w:rsidRPr="00047543">
        <w:rPr>
          <w:rStyle w:val="FootnoteReference"/>
          <w:noProof/>
        </w:rPr>
        <w:footnoteReference w:id="13"/>
      </w:r>
      <w:r w:rsidRPr="00047543">
        <w:rPr>
          <w:noProof/>
        </w:rPr>
        <w:t>.</w:t>
      </w:r>
    </w:p>
    <w:p w14:paraId="15C48C49" w14:textId="77777777" w:rsidR="001A7524" w:rsidRPr="00047543" w:rsidRDefault="001A7524" w:rsidP="002B3F0A">
      <w:pPr>
        <w:pStyle w:val="ListBullet1"/>
        <w:rPr>
          <w:rFonts w:eastAsia="Arial Unicode MS"/>
          <w:noProof/>
        </w:rPr>
      </w:pPr>
      <w:r w:rsidRPr="00047543">
        <w:rPr>
          <w:noProof/>
        </w:rPr>
        <w:t>Förordning (EU) 2019/1238 av den 20 juni 2019 om en paneuropeisk privat pensionsprodukt (</w:t>
      </w:r>
      <w:r w:rsidRPr="00047543">
        <w:rPr>
          <w:i/>
          <w:iCs/>
          <w:noProof/>
        </w:rPr>
        <w:t>PEPP-förordningen</w:t>
      </w:r>
      <w:r w:rsidRPr="00047543">
        <w:rPr>
          <w:noProof/>
        </w:rPr>
        <w:t>), genom vilken en frivillig, standardiserad privat pensionsram i hela EU inrättades</w:t>
      </w:r>
      <w:r w:rsidRPr="00047543">
        <w:rPr>
          <w:rStyle w:val="FootnoteReference"/>
          <w:noProof/>
        </w:rPr>
        <w:footnoteReference w:id="14"/>
      </w:r>
      <w:r w:rsidRPr="00047543">
        <w:rPr>
          <w:noProof/>
        </w:rPr>
        <w:t>.</w:t>
      </w:r>
    </w:p>
    <w:p w14:paraId="304696B3" w14:textId="77777777" w:rsidR="0040501D" w:rsidRPr="00047543" w:rsidRDefault="00011862">
      <w:pPr>
        <w:pBdr>
          <w:top w:val="nil"/>
          <w:left w:val="nil"/>
          <w:bottom w:val="nil"/>
          <w:right w:val="nil"/>
          <w:between w:val="nil"/>
          <w:bar w:val="nil"/>
        </w:pBdr>
        <w:spacing w:before="0" w:after="240"/>
        <w:rPr>
          <w:noProof/>
        </w:rPr>
      </w:pPr>
      <w:r w:rsidRPr="00047543">
        <w:rPr>
          <w:noProof/>
        </w:rPr>
        <w:t>Detta förslag bygger på och stärker det regelverk för en PEPP-produkt som fastställs i PEPP-förordningen. Detta förklaras närmare i avsnitt 3 nedan. Det är en del av ett bredare pensionspaket som omfattar översynen av direktiv (EU) 2016/2341 (</w:t>
      </w:r>
      <w:r w:rsidRPr="00047543">
        <w:rPr>
          <w:i/>
          <w:iCs/>
          <w:noProof/>
        </w:rPr>
        <w:t>det andra direktivet om tjänstepensionsinstitut</w:t>
      </w:r>
      <w:r w:rsidRPr="00047543">
        <w:rPr>
          <w:noProof/>
        </w:rPr>
        <w:t>), kommissionens rekommendationer om resultattavlor för pensioner, system för insamling av pensionsuppgifter och automatisk försäkringsanslutning samt det övergripande meddelandet om paketet för kompletterande pensioner. Pensionspaketet är ett av de viktigaste resultaten inom ramen för agendan för en spar- och investeringsunion. De föreslagna ändringarna och rekommendationerna har utarbetats för att säkerställa samstämmighet mellan de olika rättsakterna och med samma allmänna mål i åtanke.</w:t>
      </w:r>
    </w:p>
    <w:p w14:paraId="1F102420" w14:textId="77777777" w:rsidR="0040501D" w:rsidRPr="00047543" w:rsidRDefault="0040501D">
      <w:pPr>
        <w:pStyle w:val="ManualHeading2"/>
        <w:rPr>
          <w:rFonts w:eastAsia="Arial Unicode MS"/>
          <w:noProof/>
        </w:rPr>
      </w:pPr>
      <w:r w:rsidRPr="00047543">
        <w:rPr>
          <w:noProof/>
          <w:color w:val="000000"/>
          <w:u w:color="000000"/>
          <w:bdr w:val="nil"/>
        </w:rPr>
        <w:t>•</w:t>
      </w:r>
      <w:r w:rsidRPr="00047543">
        <w:rPr>
          <w:noProof/>
        </w:rPr>
        <w:tab/>
        <w:t>Förenlighet med EU:s politik inom andra områden</w:t>
      </w:r>
    </w:p>
    <w:p w14:paraId="4946A3F6" w14:textId="77777777" w:rsidR="00BF2386" w:rsidRPr="00047543" w:rsidRDefault="00BF2386" w:rsidP="00BF2386">
      <w:pPr>
        <w:rPr>
          <w:noProof/>
        </w:rPr>
      </w:pPr>
      <w:r w:rsidRPr="00047543">
        <w:rPr>
          <w:noProof/>
        </w:rPr>
        <w:t>Genomförandet av spar- och investeringsunionen kommer att kräva en heltäckande uppsättning olika politiska åtgärder som kommer att påverka olika aspekter av EU:s finansiella system. Dessa politiska åtgärder kan delas in under fyra olika, men sammanhängande, rubriker, närmare bestämt a) allmänheten och sparande, b) investeringar och finansiering, c) integration och skaleffekter, och d) effektiv tillsyn på den inre marknaden. Var och en av dessa rubriker behandlas i följande avsnitt.</w:t>
      </w:r>
    </w:p>
    <w:p w14:paraId="360CE105" w14:textId="77777777" w:rsidR="00F562C1" w:rsidRPr="00047543" w:rsidRDefault="00BF2386" w:rsidP="00EE0FA2">
      <w:pPr>
        <w:pBdr>
          <w:top w:val="nil"/>
          <w:left w:val="nil"/>
          <w:bottom w:val="nil"/>
          <w:right w:val="nil"/>
          <w:between w:val="nil"/>
          <w:bar w:val="nil"/>
        </w:pBdr>
        <w:spacing w:before="0" w:after="240"/>
        <w:rPr>
          <w:noProof/>
        </w:rPr>
      </w:pPr>
      <w:r w:rsidRPr="00047543">
        <w:rPr>
          <w:noProof/>
        </w:rPr>
        <w:t>Pensionspaketet omfattas av rubriken ”Allmänheten och sparande”, den första pelaren i strategin för spar- och investeringsunionen, som lyfter fram vikten av att tillgodose människors behov och bidra till deras ekonomiska trygghet. Paketet följer på offentliggörandet av kommissionens strategi för finansiell kompetens för EU</w:t>
      </w:r>
      <w:r w:rsidRPr="00047543">
        <w:rPr>
          <w:rStyle w:val="FootnoteReference"/>
          <w:noProof/>
        </w:rPr>
        <w:footnoteReference w:id="15"/>
      </w:r>
      <w:r w:rsidRPr="00047543">
        <w:rPr>
          <w:noProof/>
        </w:rPr>
        <w:t xml:space="preserve"> samt kommissionens rekommendation om investeringssparkonton</w:t>
      </w:r>
      <w:r w:rsidRPr="00047543">
        <w:rPr>
          <w:rStyle w:val="FootnoteReference"/>
          <w:noProof/>
        </w:rPr>
        <w:footnoteReference w:id="16"/>
      </w:r>
      <w:r w:rsidRPr="00047543">
        <w:rPr>
          <w:noProof/>
        </w:rPr>
        <w:t>. Genom att föreslå en förstärkning av regelverket för den paneuropeiska privata pensionsprodukten (</w:t>
      </w:r>
      <w:r w:rsidRPr="00047543">
        <w:rPr>
          <w:i/>
          <w:iCs/>
          <w:noProof/>
        </w:rPr>
        <w:t>PEPP-produkt</w:t>
      </w:r>
      <w:r w:rsidRPr="00047543">
        <w:rPr>
          <w:noProof/>
        </w:rPr>
        <w:t xml:space="preserve">) fortsätter kommissionen att bidra till målet för spar- och investeringsunionen att ge medborgarna möjlighet att spara och investera för sin framtid genom transparenta, konkurrenskraftiga och tillgängliga produkter. En förstärkning av regelverket för PEPP-produkten kommer att främja konkurrens mellan tillhandahållare och i slutändan erbjuda icke-professionella investerare och sparare ett bredare utbud av produkter som bättre motsvarar deras preferenser avseende pensionssparande, investeringsrisk och försäkringsskydd. Genom att underlätta ett större deltagande av småsparare på kapitalmarknaderna bidrar pensionspaketet också till att uppnå den europeiska spar- och investeringsunionens allmänna mål att mobilisera hushållssparande för produktiva investeringar. Ökat deltagande på finansmarknaderna och starkare pensionsfonder kommer dessutom att bidra till att förbättra finansieringsmöjligheterna för EU-ekonomin och hjälpa finansinstituten att uppnå stordriftsfördelar och global konkurrenskraft. Detta stärker därmed EU:s kapacitet att tillgodose sina långsiktiga investeringsbehov, särskilt i samband med den gröna, den sociala och den digitala omställningen, som är avgörande för skapandet av arbetstillfällen och högre produktivitet. Översynen av PEPP-förordningen är därför också i linje med kommissionens allmänna strategi för att föryngra EU:s ekonomi, som beskrivs i </w:t>
      </w:r>
      <w:hyperlink r:id="rId11">
        <w:r w:rsidRPr="00047543">
          <w:rPr>
            <w:rStyle w:val="Hyperlink"/>
            <w:noProof/>
            <w:color w:val="auto"/>
            <w:u w:val="none"/>
          </w:rPr>
          <w:t>konkurrenskraftskompassen</w:t>
        </w:r>
        <w:r w:rsidRPr="00047543">
          <w:rPr>
            <w:rStyle w:val="FootnoteReference"/>
            <w:noProof/>
          </w:rPr>
          <w:footnoteReference w:id="17"/>
        </w:r>
      </w:hyperlink>
      <w:r w:rsidRPr="00047543">
        <w:rPr>
          <w:noProof/>
        </w:rPr>
        <w:t>.</w:t>
      </w:r>
    </w:p>
    <w:p w14:paraId="27214FB0" w14:textId="77777777" w:rsidR="00E255D3" w:rsidRPr="00047543" w:rsidRDefault="00E255D3" w:rsidP="00EE0FA2">
      <w:pPr>
        <w:pBdr>
          <w:top w:val="nil"/>
          <w:left w:val="nil"/>
          <w:bottom w:val="nil"/>
          <w:right w:val="nil"/>
          <w:between w:val="nil"/>
          <w:bar w:val="nil"/>
        </w:pBdr>
        <w:spacing w:before="0" w:after="240"/>
        <w:rPr>
          <w:noProof/>
        </w:rPr>
      </w:pPr>
      <w:r w:rsidRPr="00047543">
        <w:rPr>
          <w:noProof/>
        </w:rPr>
        <w:t>Översynen av förordningen om en paneuropeisk privat pensionsprodukt (PEPP-produkt) är förenlig med genomförandet av princip 15 i den europeiska pelaren för sociala rättigheter, om rätten till tillräckliga åldersinkomster och anständig levnadsstandard för pensionärer. Som en frivillig privat pensionsprodukt är PEPP-produkten avsedd att komplettera befintliga lagstadgade pensioner och tjänstepensioner.</w:t>
      </w:r>
    </w:p>
    <w:p w14:paraId="43FAE8BB" w14:textId="77777777" w:rsidR="0040501D" w:rsidRPr="00047543" w:rsidRDefault="0040501D">
      <w:pPr>
        <w:pStyle w:val="ManualHeading1"/>
        <w:rPr>
          <w:noProof/>
        </w:rPr>
      </w:pPr>
      <w:r w:rsidRPr="00047543">
        <w:rPr>
          <w:noProof/>
        </w:rPr>
        <w:t>2.</w:t>
      </w:r>
      <w:r w:rsidRPr="00047543">
        <w:rPr>
          <w:noProof/>
        </w:rPr>
        <w:tab/>
        <w:t>RÄTTSLIG GRUND, SUBSIDIARITETSPRINCIPEN OCH PROPORTIONALITETSPRINCIPEN</w:t>
      </w:r>
    </w:p>
    <w:p w14:paraId="0BBF26F4" w14:textId="77777777" w:rsidR="0040501D" w:rsidRPr="00047543" w:rsidRDefault="0040501D">
      <w:pPr>
        <w:pStyle w:val="ManualHeading2"/>
        <w:rPr>
          <w:rFonts w:eastAsia="Arial Unicode MS"/>
          <w:noProof/>
          <w:bdr w:val="nil"/>
        </w:rPr>
      </w:pPr>
      <w:r w:rsidRPr="00047543">
        <w:rPr>
          <w:noProof/>
          <w:bdr w:val="nil"/>
        </w:rPr>
        <w:t>•</w:t>
      </w:r>
      <w:r w:rsidRPr="00047543">
        <w:rPr>
          <w:noProof/>
        </w:rPr>
        <w:tab/>
      </w:r>
      <w:r w:rsidRPr="00047543">
        <w:rPr>
          <w:noProof/>
          <w:bdr w:val="nil"/>
        </w:rPr>
        <w:t>Rättslig grund</w:t>
      </w:r>
    </w:p>
    <w:p w14:paraId="3F460A06" w14:textId="77777777" w:rsidR="0056606F" w:rsidRPr="00047543" w:rsidRDefault="000C3F7D" w:rsidP="00EE0FA2">
      <w:pPr>
        <w:rPr>
          <w:rFonts w:eastAsia="Arial Unicode MS"/>
          <w:b/>
          <w:noProof/>
        </w:rPr>
      </w:pPr>
      <w:r w:rsidRPr="00047543">
        <w:rPr>
          <w:noProof/>
        </w:rPr>
        <w:t>Den rättsliga grunden för ändring av förordning (EU) 2019/1238 (</w:t>
      </w:r>
      <w:r w:rsidRPr="00047543">
        <w:rPr>
          <w:i/>
          <w:iCs/>
          <w:noProof/>
        </w:rPr>
        <w:t>PEPP-förordningen</w:t>
      </w:r>
      <w:r w:rsidRPr="00047543">
        <w:rPr>
          <w:noProof/>
        </w:rPr>
        <w:t>) är artikel 114 i fördraget om Europeiska unionens funktionssätt (</w:t>
      </w:r>
      <w:r w:rsidRPr="00047543">
        <w:rPr>
          <w:i/>
          <w:iCs/>
          <w:noProof/>
        </w:rPr>
        <w:t>EUF-fördraget</w:t>
      </w:r>
      <w:r w:rsidRPr="00047543">
        <w:rPr>
          <w:noProof/>
        </w:rPr>
        <w:t xml:space="preserve">), enligt vilken åtgärder kan beslutas för tillnärmning av nationella bestämmelser som syftar till att upprätta den inre marknaden och få den att fungera. Leverantörernas förmåga att utnyttja friheten att tillhandahålla tjänster hindras fortfarande av bristen på standardisering av befintliga privata pensionsprodukter. Förslaget förbättrar en i stort sett standardiserad paneuropeisk produkt, tillgänglig genom passförfarandet i samtliga medlemsstater, som ger konsumenterna möjlighet att fullt ut dra nytta av den inre marknaden genom att erbjuda ett större urval av tillhandahållare (inklusive i andra EU-medlemsstater). Genom förslaget revideras PEPP-produktens grundläggande egenskaper, såsom auktorisation, registrering, distribution och rådgivning, investeringspolicy samt tillsyn. </w:t>
      </w:r>
    </w:p>
    <w:p w14:paraId="7CFB6889" w14:textId="77777777" w:rsidR="0040501D" w:rsidRPr="00047543" w:rsidRDefault="0040501D">
      <w:pPr>
        <w:pStyle w:val="ManualHeading2"/>
        <w:rPr>
          <w:rFonts w:eastAsia="Arial Unicode MS"/>
          <w:noProof/>
          <w:u w:color="000000"/>
          <w:bdr w:val="nil"/>
        </w:rPr>
      </w:pPr>
      <w:r w:rsidRPr="00047543">
        <w:rPr>
          <w:noProof/>
          <w:u w:color="000000"/>
          <w:bdr w:val="nil"/>
        </w:rPr>
        <w:t>•</w:t>
      </w:r>
      <w:r w:rsidRPr="00047543">
        <w:rPr>
          <w:noProof/>
        </w:rPr>
        <w:tab/>
      </w:r>
      <w:r w:rsidRPr="00047543">
        <w:rPr>
          <w:noProof/>
          <w:u w:color="000000"/>
          <w:bdr w:val="nil"/>
        </w:rPr>
        <w:t xml:space="preserve">Subsidiaritetsprincipen </w:t>
      </w:r>
    </w:p>
    <w:p w14:paraId="53E6403C" w14:textId="77777777" w:rsidR="00440E30" w:rsidRPr="00047543" w:rsidRDefault="00440E30" w:rsidP="00440E30">
      <w:pPr>
        <w:pBdr>
          <w:top w:val="nil"/>
          <w:left w:val="nil"/>
          <w:bottom w:val="nil"/>
          <w:right w:val="nil"/>
          <w:between w:val="nil"/>
          <w:bar w:val="nil"/>
        </w:pBdr>
        <w:spacing w:before="0" w:after="240"/>
        <w:rPr>
          <w:rFonts w:eastAsia="Arial Unicode MS"/>
          <w:noProof/>
        </w:rPr>
      </w:pPr>
      <w:r w:rsidRPr="00047543">
        <w:rPr>
          <w:noProof/>
        </w:rPr>
        <w:t>Enligt subsidiaritetsprincipen får åtgärder på EU-nivå endast vidtas om medlemsstaterna på egen hand inte kan uppnå målen för den planerade åtgärden. PEPP-förordningen inrättades på EU-nivå 2019, eftersom endast EU-åtgärder kan fastställa ett gemensamt regelverk för PEPP-sparinstitut som omfattas av passförfarandet. I detta avseende är detta förslag, i likhet med den förordning som det syftar till att ändra, helt i överensstämmelse med subsidiaritetsprincipen.</w:t>
      </w:r>
    </w:p>
    <w:p w14:paraId="433B305D" w14:textId="77777777" w:rsidR="0040501D" w:rsidRPr="00047543" w:rsidRDefault="0040501D">
      <w:pPr>
        <w:pStyle w:val="ManualHeading2"/>
        <w:rPr>
          <w:rFonts w:eastAsia="Arial Unicode MS"/>
          <w:noProof/>
          <w:u w:color="000000"/>
          <w:bdr w:val="nil"/>
        </w:rPr>
      </w:pPr>
      <w:r w:rsidRPr="00047543">
        <w:rPr>
          <w:noProof/>
          <w:u w:color="000000"/>
          <w:bdr w:val="nil"/>
        </w:rPr>
        <w:t>•</w:t>
      </w:r>
      <w:r w:rsidRPr="00047543">
        <w:rPr>
          <w:noProof/>
        </w:rPr>
        <w:tab/>
      </w:r>
      <w:r w:rsidRPr="00047543">
        <w:rPr>
          <w:noProof/>
          <w:u w:color="000000"/>
          <w:bdr w:val="nil"/>
        </w:rPr>
        <w:t>Proportionalitetsprincipen</w:t>
      </w:r>
    </w:p>
    <w:p w14:paraId="50BB2F35" w14:textId="77777777" w:rsidR="00A33999" w:rsidRPr="00047543" w:rsidRDefault="00FD365D">
      <w:pPr>
        <w:pBdr>
          <w:top w:val="nil"/>
          <w:left w:val="nil"/>
          <w:bottom w:val="nil"/>
          <w:right w:val="nil"/>
          <w:between w:val="nil"/>
          <w:bar w:val="nil"/>
        </w:pBdr>
        <w:spacing w:before="0" w:after="240"/>
        <w:rPr>
          <w:noProof/>
        </w:rPr>
      </w:pPr>
      <w:r w:rsidRPr="00047543">
        <w:rPr>
          <w:noProof/>
        </w:rPr>
        <w:t xml:space="preserve">Enligt proportionalitetsprincipen ska unionens åtgärder till innehåll och form inte gå utöver vad som är nödvändigt för att uppnå målen i fördragen. </w:t>
      </w:r>
    </w:p>
    <w:p w14:paraId="380EF2C6" w14:textId="77777777" w:rsidR="00566622" w:rsidRPr="00047543" w:rsidRDefault="00B41256">
      <w:pPr>
        <w:pBdr>
          <w:top w:val="nil"/>
          <w:left w:val="nil"/>
          <w:bottom w:val="nil"/>
          <w:right w:val="nil"/>
          <w:between w:val="nil"/>
          <w:bar w:val="nil"/>
        </w:pBdr>
        <w:spacing w:before="0" w:after="240"/>
        <w:rPr>
          <w:noProof/>
        </w:rPr>
      </w:pPr>
      <w:r w:rsidRPr="00047543">
        <w:rPr>
          <w:noProof/>
        </w:rPr>
        <w:t xml:space="preserve">Privata pensionsprodukter kan i princip redan erbjudas i alla medlemsstater, men de har inte utnyttjat sin fulla potential när det gäller att kanalisera tillräckliga besparingar till kapitalmarknader och bidra till spar- och investeringsunionen. Detta är särskilt relevant med tanke på det demografiska trycket och det ökande behovet av att säkerställa hållbara och tillräckliga pensionsinkomster. </w:t>
      </w:r>
    </w:p>
    <w:p w14:paraId="30846CB3" w14:textId="77777777" w:rsidR="007130FB" w:rsidRPr="00047543" w:rsidRDefault="00566622">
      <w:pPr>
        <w:pBdr>
          <w:top w:val="nil"/>
          <w:left w:val="nil"/>
          <w:bottom w:val="nil"/>
          <w:right w:val="nil"/>
          <w:between w:val="nil"/>
          <w:bar w:val="nil"/>
        </w:pBdr>
        <w:spacing w:before="0" w:after="240"/>
        <w:rPr>
          <w:noProof/>
        </w:rPr>
      </w:pPr>
      <w:r w:rsidRPr="00047543">
        <w:rPr>
          <w:noProof/>
        </w:rPr>
        <w:t>Det regelverk som fastställts genom PEPP-förordningen har inte uppnått tillräcklig kommersiell genomslagskraft, huvudsakligen på grund av den starka konkurrensen från nationella produkter samt vissa begränsande inslag som fastställs i PEPP-förordningen. I det arbetsdokument från kommissionens avdelningar som åtföljer detta förslag undersöktes därför flera politiska alternativ.</w:t>
      </w:r>
    </w:p>
    <w:p w14:paraId="634ACF8A" w14:textId="77777777" w:rsidR="008466D8" w:rsidRPr="00047543" w:rsidRDefault="008466D8" w:rsidP="008466D8">
      <w:pPr>
        <w:pBdr>
          <w:top w:val="nil"/>
          <w:left w:val="nil"/>
          <w:bottom w:val="nil"/>
          <w:right w:val="nil"/>
          <w:between w:val="nil"/>
          <w:bar w:val="nil"/>
        </w:pBdr>
        <w:spacing w:before="0" w:after="240"/>
        <w:rPr>
          <w:noProof/>
        </w:rPr>
      </w:pPr>
      <w:r w:rsidRPr="00047543">
        <w:rPr>
          <w:noProof/>
        </w:rPr>
        <w:t>Scenariot ”inga EU-åtgärder” skulle misslyckas med att uppfylla EU:s mål. En fullständig harmonisering av de nationella individuella pensionssystemen skulle dock vara oproportionell med tanke på mångfalden hos de nationella marknaderna och de privata pensionssystemens varierande utvecklingsnivåer.</w:t>
      </w:r>
    </w:p>
    <w:p w14:paraId="4808CA08" w14:textId="77777777" w:rsidR="00BC2B59" w:rsidRPr="00047543" w:rsidRDefault="00FD365D">
      <w:pPr>
        <w:pBdr>
          <w:top w:val="nil"/>
          <w:left w:val="nil"/>
          <w:bottom w:val="nil"/>
          <w:right w:val="nil"/>
          <w:between w:val="nil"/>
          <w:bar w:val="nil"/>
        </w:pBdr>
        <w:spacing w:before="0" w:after="240"/>
        <w:rPr>
          <w:noProof/>
        </w:rPr>
      </w:pPr>
      <w:r w:rsidRPr="00047543">
        <w:rPr>
          <w:noProof/>
        </w:rPr>
        <w:t xml:space="preserve">I detta sammanhang är en riktad översyn av regelverket för PEPP-produkten ett proportionellt svar. Den föreslagna strategin kompletterar befintliga nationella system, men säkerställer också en tillräcklig harmoniseringsnivå för att underlätta gränsöverskridande tillhandahållande och förbättra konsumenternas valmöjligheter. De grundläggande egenskaperna – som omfattar distribution, investeringspolicy, byte av tillhandahållare och gränsöverskridande portabilitet – har utformats för att säkerställa tillräckligt konsumentskydd och konkurrenskraft utan att införa onödiga regelbördor. </w:t>
      </w:r>
    </w:p>
    <w:p w14:paraId="143B7A23" w14:textId="77777777" w:rsidR="00FD365D" w:rsidRPr="00047543" w:rsidRDefault="00FD365D">
      <w:pPr>
        <w:pBdr>
          <w:top w:val="nil"/>
          <w:left w:val="nil"/>
          <w:bottom w:val="nil"/>
          <w:right w:val="nil"/>
          <w:between w:val="nil"/>
          <w:bar w:val="nil"/>
        </w:pBdr>
        <w:spacing w:before="0" w:after="240"/>
        <w:rPr>
          <w:noProof/>
        </w:rPr>
      </w:pPr>
      <w:r w:rsidRPr="00047543">
        <w:rPr>
          <w:noProof/>
        </w:rPr>
        <w:t>Den administrativa bördan med förslaget förväntas förbli begränsad eftersom det endast justerar egenskaperna hos en befintlig EU-omfattande produktkategori. Detta gör produkten mer attraktiv för tillhandahållare av långsiktigt sparande, såsom försäkringsgivare, pensionsfonder, värdepappersföretag, kapitalförvaltare och banker. Dessa enheter är redan föremål för tillsyn av nationella behöriga myndigheter enligt befintliga sektorsspecifika ramar. Eventuella nya rapporteringsskyldigheter skulle stå i proportion till riskerna med en gränsöverskridande verksamhet och skulle stödja en effektiv marknadsövervakning och ett effektivt konsumentskydd.</w:t>
      </w:r>
    </w:p>
    <w:p w14:paraId="48C95367" w14:textId="77777777" w:rsidR="0040501D" w:rsidRPr="00047543" w:rsidRDefault="0040501D">
      <w:pPr>
        <w:pStyle w:val="ManualHeading2"/>
        <w:rPr>
          <w:rFonts w:eastAsia="Arial Unicode MS"/>
          <w:noProof/>
          <w:u w:color="000000"/>
          <w:bdr w:val="nil"/>
        </w:rPr>
      </w:pPr>
      <w:r w:rsidRPr="00047543">
        <w:rPr>
          <w:noProof/>
          <w:u w:color="000000"/>
          <w:bdr w:val="nil"/>
        </w:rPr>
        <w:t>•</w:t>
      </w:r>
      <w:r w:rsidRPr="00047543">
        <w:rPr>
          <w:noProof/>
        </w:rPr>
        <w:tab/>
      </w:r>
      <w:r w:rsidRPr="00047543">
        <w:rPr>
          <w:noProof/>
          <w:u w:color="000000"/>
          <w:bdr w:val="nil"/>
        </w:rPr>
        <w:t>Val av instrument</w:t>
      </w:r>
    </w:p>
    <w:p w14:paraId="6E916338" w14:textId="77777777" w:rsidR="0040501D" w:rsidRPr="00047543" w:rsidRDefault="00C614CC">
      <w:pPr>
        <w:pBdr>
          <w:top w:val="nil"/>
          <w:left w:val="nil"/>
          <w:bottom w:val="nil"/>
          <w:right w:val="nil"/>
          <w:between w:val="nil"/>
          <w:bar w:val="nil"/>
        </w:pBdr>
        <w:spacing w:before="0" w:after="240"/>
        <w:rPr>
          <w:noProof/>
        </w:rPr>
      </w:pPr>
      <w:r w:rsidRPr="00047543">
        <w:rPr>
          <w:noProof/>
        </w:rPr>
        <w:t>Detta förslag är en ändring av PEPP-förordningen. Det instrument som väljs är ett ändringsdirektiv eftersom inga andra medel – lagstiftningsmässiga eller operativa – kan användas för att uppnå målen i detta förslag.</w:t>
      </w:r>
    </w:p>
    <w:p w14:paraId="5A983C26" w14:textId="77777777" w:rsidR="0040501D" w:rsidRPr="00047543" w:rsidRDefault="0040501D">
      <w:pPr>
        <w:pStyle w:val="ManualHeading1"/>
        <w:rPr>
          <w:noProof/>
        </w:rPr>
      </w:pPr>
      <w:r w:rsidRPr="00047543">
        <w:rPr>
          <w:noProof/>
        </w:rPr>
        <w:t>3.</w:t>
      </w:r>
      <w:r w:rsidRPr="00047543">
        <w:rPr>
          <w:noProof/>
        </w:rPr>
        <w:tab/>
        <w:t>RESULTAT AV EFTERHANDSUTVÄRDERINGAR, SAMRÅD MED BERÖRDA PARTER OCH KONSEKVENSBEDÖMNINGAR</w:t>
      </w:r>
    </w:p>
    <w:p w14:paraId="1D4871B9" w14:textId="77777777" w:rsidR="0040501D" w:rsidRPr="00047543" w:rsidRDefault="0040501D">
      <w:pPr>
        <w:pStyle w:val="ManualHeading2"/>
        <w:rPr>
          <w:rFonts w:eastAsia="Arial Unicode MS"/>
          <w:noProof/>
          <w:u w:color="000000"/>
          <w:bdr w:val="nil"/>
        </w:rPr>
      </w:pPr>
      <w:r w:rsidRPr="00047543">
        <w:rPr>
          <w:noProof/>
          <w:u w:color="000000"/>
          <w:bdr w:val="nil"/>
        </w:rPr>
        <w:t>•</w:t>
      </w:r>
      <w:r w:rsidRPr="00047543">
        <w:rPr>
          <w:noProof/>
        </w:rPr>
        <w:tab/>
      </w:r>
      <w:r w:rsidRPr="00047543">
        <w:rPr>
          <w:noProof/>
          <w:u w:color="000000"/>
          <w:bdr w:val="nil"/>
        </w:rPr>
        <w:t>Samråd med berörda parter</w:t>
      </w:r>
    </w:p>
    <w:p w14:paraId="7F3F799B" w14:textId="77777777" w:rsidR="006A471C" w:rsidRPr="00047543" w:rsidRDefault="006A471C" w:rsidP="006A471C">
      <w:pPr>
        <w:pBdr>
          <w:top w:val="nil"/>
          <w:left w:val="nil"/>
          <w:bottom w:val="nil"/>
          <w:right w:val="nil"/>
          <w:between w:val="nil"/>
          <w:bar w:val="nil"/>
        </w:pBdr>
        <w:spacing w:before="0" w:after="240"/>
        <w:rPr>
          <w:noProof/>
        </w:rPr>
      </w:pPr>
      <w:r w:rsidRPr="00047543">
        <w:rPr>
          <w:noProof/>
        </w:rPr>
        <w:t>Kommissionen genomförde ett riktat offentligt samråd</w:t>
      </w:r>
      <w:r w:rsidRPr="00047543">
        <w:rPr>
          <w:rStyle w:val="FootnoteReference"/>
          <w:rFonts w:eastAsia="Arial Unicode MS"/>
          <w:noProof/>
        </w:rPr>
        <w:footnoteReference w:id="18"/>
      </w:r>
      <w:r w:rsidRPr="00047543">
        <w:rPr>
          <w:noProof/>
        </w:rPr>
        <w:t xml:space="preserve"> som pågick mellan den 13 juni 2025 och den 29 augusti 2025 för att få in synpunkter om eventuella ändringar av PEPP-förordningen. Samrådet mottog totalt 112 inlagor från en varierad grupp berörda parter, däribland näringslivsorganisationer, företag, konsumentorganisationer, icke-statliga organisationer, offentliga myndigheter och medborgare, från elva EU-medlemsstater och två länder utanför EU. De berörda parterna påpekade att vissa praktiska svårigheter hindrar det nuvarande PEPP-regelverkets genomslag och konkurrenskraft. Det fanns ett brett stöd för en översyn för att förenkla regelverket och stärka dess förmåga att bättre bidra till ett tillgängligt och hållbart tillhandahållande av pensioner inom EU.</w:t>
      </w:r>
    </w:p>
    <w:p w14:paraId="41292060" w14:textId="77777777" w:rsidR="001965FE" w:rsidRPr="00047543" w:rsidRDefault="004E3125">
      <w:pPr>
        <w:pBdr>
          <w:top w:val="nil"/>
          <w:left w:val="nil"/>
          <w:bottom w:val="nil"/>
          <w:right w:val="nil"/>
          <w:between w:val="nil"/>
          <w:bar w:val="nil"/>
        </w:pBdr>
        <w:spacing w:before="0" w:after="240"/>
        <w:rPr>
          <w:rFonts w:eastAsia="Arial Unicode MS"/>
          <w:noProof/>
        </w:rPr>
      </w:pPr>
      <w:r w:rsidRPr="00047543">
        <w:rPr>
          <w:noProof/>
        </w:rPr>
        <w:t>Kommissionen gick ut med en inbjudan att lämna synpunkter</w:t>
      </w:r>
      <w:r w:rsidRPr="00047543">
        <w:rPr>
          <w:rStyle w:val="FootnoteReference"/>
          <w:rFonts w:eastAsia="Arial Unicode MS"/>
          <w:noProof/>
        </w:rPr>
        <w:footnoteReference w:id="19"/>
      </w:r>
      <w:r w:rsidRPr="00047543">
        <w:rPr>
          <w:noProof/>
        </w:rPr>
        <w:t xml:space="preserve"> den 23 juni 2025, med tidsfrist den 21 juli 2025, för att samla in allmänna kommentarer, yttranden och synpunkter för att förbättra den befintliga ramen för kompletterande pensioner och utbyta uppgifter om bästa praxis. Totalt mottogs 47 inlagor med 35 olika svar från olika organisationer, såsom näringslivs- och arbetsgivarorganisationer, icke-statliga organisationer, konsumentorganisationer och medborgare (från tolv EU-medlemsstater och fyra länder utanför EU). På det hela taget enades de allra flesta uppgiftslämnare om att förbättringar av de kompletterande pensionerna är nödvändiga för att frigöra deras fulla potential till förmån för EU:s medborgare och ekonomi.</w:t>
      </w:r>
    </w:p>
    <w:p w14:paraId="61CBE075" w14:textId="77777777" w:rsidR="0040501D" w:rsidRPr="00047543" w:rsidRDefault="0040501D">
      <w:pPr>
        <w:pStyle w:val="ManualHeading2"/>
        <w:rPr>
          <w:rFonts w:eastAsia="Arial Unicode MS"/>
          <w:noProof/>
          <w:u w:color="000000"/>
          <w:bdr w:val="nil"/>
        </w:rPr>
      </w:pPr>
      <w:r w:rsidRPr="00047543">
        <w:rPr>
          <w:noProof/>
          <w:u w:color="000000"/>
          <w:bdr w:val="nil"/>
        </w:rPr>
        <w:t>•</w:t>
      </w:r>
      <w:r w:rsidRPr="00047543">
        <w:rPr>
          <w:noProof/>
        </w:rPr>
        <w:tab/>
      </w:r>
      <w:r w:rsidRPr="00047543">
        <w:rPr>
          <w:noProof/>
          <w:u w:color="000000"/>
          <w:bdr w:val="nil"/>
        </w:rPr>
        <w:t>Insamling och användning av sakkunnigutlåtanden</w:t>
      </w:r>
    </w:p>
    <w:p w14:paraId="656EE3AF" w14:textId="77777777" w:rsidR="00E7053F" w:rsidRPr="00047543" w:rsidRDefault="001D2146">
      <w:pPr>
        <w:pBdr>
          <w:top w:val="nil"/>
          <w:left w:val="nil"/>
          <w:bottom w:val="nil"/>
          <w:right w:val="nil"/>
          <w:between w:val="nil"/>
          <w:bar w:val="nil"/>
        </w:pBdr>
        <w:spacing w:before="0" w:after="240"/>
        <w:rPr>
          <w:noProof/>
        </w:rPr>
      </w:pPr>
      <w:r w:rsidRPr="00047543">
        <w:rPr>
          <w:noProof/>
        </w:rPr>
        <w:t>I ett arbetsdokument av den 11 september 2024 om den paneuropeiska privata pensionsprodukten</w:t>
      </w:r>
      <w:r w:rsidRPr="00047543">
        <w:rPr>
          <w:rStyle w:val="FootnoteReference"/>
          <w:rFonts w:eastAsia="Arial Unicode MS"/>
          <w:noProof/>
        </w:rPr>
        <w:footnoteReference w:id="20"/>
      </w:r>
      <w:r w:rsidRPr="00047543">
        <w:rPr>
          <w:noProof/>
        </w:rPr>
        <w:t xml:space="preserve"> föreslog Europeiska försäkrings- och tjänstepensionsmyndigheten (</w:t>
      </w:r>
      <w:r w:rsidRPr="00047543">
        <w:rPr>
          <w:i/>
          <w:iCs/>
          <w:noProof/>
        </w:rPr>
        <w:t>Eiopa</w:t>
      </w:r>
      <w:r w:rsidRPr="00047543">
        <w:rPr>
          <w:noProof/>
        </w:rPr>
        <w:t>) en omfattande reform av produkten för att öka dess attraktivitet, skalbarhet och kapacitet att bidra till tillhandahållande av kompletterande pensioner inom hela EU. De centrala inslagen i förslaget omfattar att behålla PEPP-produktens grundläggande egenskaper – enkelhet, transparens, kostnadseffektivitet, rörlighet och flexibilitet – samtidigt som hinder relaterade till utbud, efterfrågan och produktstruktur tas bort (till exempel genom att avskaffa kostnadstaket på 1 % och de obligatoriska nationella underkontona, samt genom att övergå från ett absolut kostnadstak till en ram baserad på valuta för pengarna).</w:t>
      </w:r>
    </w:p>
    <w:p w14:paraId="6A21A217" w14:textId="77777777" w:rsidR="00E82FB4" w:rsidRPr="00047543" w:rsidRDefault="0076736F">
      <w:pPr>
        <w:pBdr>
          <w:top w:val="nil"/>
          <w:left w:val="nil"/>
          <w:bottom w:val="nil"/>
          <w:right w:val="nil"/>
          <w:between w:val="nil"/>
          <w:bar w:val="nil"/>
        </w:pBdr>
        <w:spacing w:before="0" w:after="240"/>
        <w:rPr>
          <w:noProof/>
        </w:rPr>
      </w:pPr>
      <w:r w:rsidRPr="00047543">
        <w:rPr>
          <w:noProof/>
        </w:rPr>
        <w:t>Den 16 juni 2025 var kommissionen värd för ett forum med berörda parter</w:t>
      </w:r>
      <w:r w:rsidRPr="00047543">
        <w:rPr>
          <w:rStyle w:val="FootnoteReference"/>
          <w:rFonts w:eastAsia="Arial Unicode MS"/>
          <w:noProof/>
        </w:rPr>
        <w:footnoteReference w:id="21"/>
      </w:r>
      <w:r w:rsidRPr="00047543">
        <w:rPr>
          <w:noProof/>
        </w:rPr>
        <w:t xml:space="preserve"> för att undersöka framväxande tendenser när det gäller pensioner i hela EU. Forumet satte fokus på bästa praxis från medlemsstaterna och banar vägen för delning av framgångsrika strategier i hela EU. Med dessa konkreta exempel från verkligheten visades framgångshistorier om pensioner inom andra och tredje pelaren och undersöktes hur bästa praxis kan användas som vägledning för ytterligare reformer. Vid diskussionerna gavs återkoppling från alla berörda parter som tillhandahåller pensionsprodukter. Deltagarna enades om att en översyn av PEPP-förordningen var nödvändig för att förbättra PEPP-produkten.</w:t>
      </w:r>
    </w:p>
    <w:p w14:paraId="27542D51" w14:textId="77777777" w:rsidR="001D2146" w:rsidRPr="00047543" w:rsidRDefault="00C8447E" w:rsidP="009A2FC4">
      <w:pPr>
        <w:pBdr>
          <w:top w:val="nil"/>
          <w:left w:val="nil"/>
          <w:bottom w:val="nil"/>
          <w:right w:val="nil"/>
          <w:between w:val="nil"/>
          <w:bar w:val="nil"/>
        </w:pBdr>
        <w:spacing w:before="0" w:after="240"/>
        <w:rPr>
          <w:noProof/>
        </w:rPr>
      </w:pPr>
      <w:r w:rsidRPr="00047543">
        <w:rPr>
          <w:noProof/>
        </w:rPr>
        <w:t>Eiopa lämnade in tekniska synpunkter den 5 september 2025</w:t>
      </w:r>
      <w:r w:rsidRPr="00047543">
        <w:rPr>
          <w:rStyle w:val="FootnoteReference"/>
          <w:rFonts w:eastAsia="Arial Unicode MS"/>
          <w:noProof/>
        </w:rPr>
        <w:footnoteReference w:id="22"/>
      </w:r>
      <w:r w:rsidRPr="00047543">
        <w:rPr>
          <w:noProof/>
        </w:rPr>
        <w:t>, vilka kommissionen hade begärt för att stödja utvecklingen av kompletterande pensioner och förbättra det kompletterande pensionssystemet. Eiopa förespråkade i) förenkling av PEPP-produktens egenskaper för att förbättra medlemmarnas resultat genom att ändra det nuvarande kostnadstaket på 1 %, ii) införande av förenklad rådgivning, iii) strykning av de obligatoriska kraven på underkonton, och iv) en möjlighet för arbetsgivare att göra inbetalningar och införlivande av en strategi baserad på valuta för pengarna.</w:t>
      </w:r>
    </w:p>
    <w:p w14:paraId="635B318C" w14:textId="77777777" w:rsidR="0040501D" w:rsidRPr="00047543" w:rsidRDefault="0040501D">
      <w:pPr>
        <w:pStyle w:val="ManualHeading2"/>
        <w:rPr>
          <w:rFonts w:eastAsia="Arial Unicode MS"/>
          <w:noProof/>
          <w:u w:color="000000"/>
          <w:bdr w:val="nil"/>
        </w:rPr>
      </w:pPr>
      <w:r w:rsidRPr="00047543">
        <w:rPr>
          <w:noProof/>
          <w:u w:color="000000"/>
          <w:bdr w:val="nil"/>
        </w:rPr>
        <w:t>•</w:t>
      </w:r>
      <w:r w:rsidRPr="00047543">
        <w:rPr>
          <w:noProof/>
        </w:rPr>
        <w:tab/>
      </w:r>
      <w:r w:rsidRPr="00047543">
        <w:rPr>
          <w:noProof/>
          <w:u w:color="000000"/>
          <w:bdr w:val="nil"/>
        </w:rPr>
        <w:t>Konsekvensbedömning</w:t>
      </w:r>
    </w:p>
    <w:p w14:paraId="3C88BFBF" w14:textId="27BD3B2E" w:rsidR="0040501D" w:rsidRPr="00047543" w:rsidRDefault="49FFBBA5" w:rsidP="39E2EAE9">
      <w:pPr>
        <w:pBdr>
          <w:top w:val="nil"/>
          <w:left w:val="nil"/>
          <w:bottom w:val="nil"/>
          <w:right w:val="nil"/>
          <w:between w:val="nil"/>
          <w:bar w:val="nil"/>
        </w:pBdr>
        <w:spacing w:before="0" w:after="240"/>
        <w:rPr>
          <w:rFonts w:eastAsia="Arial Unicode MS"/>
          <w:noProof/>
        </w:rPr>
      </w:pPr>
      <w:r w:rsidRPr="00047543">
        <w:rPr>
          <w:noProof/>
        </w:rPr>
        <w:t xml:space="preserve">Förslaget stöds av ett arbetsdokument från kommissionens avdelningar där effekterna av de föreslagna ändringarna bedöms. I arbetsdokumentet undersöks fyra alternativ för ändringsförordningen: </w:t>
      </w:r>
    </w:p>
    <w:p w14:paraId="6530CDD6" w14:textId="77777777" w:rsidR="0040501D" w:rsidRPr="00047543" w:rsidRDefault="1B1E49EA" w:rsidP="695E7081">
      <w:pPr>
        <w:pBdr>
          <w:bar w:val="nil"/>
        </w:pBdr>
        <w:spacing w:before="0" w:after="240" w:line="257" w:lineRule="auto"/>
        <w:rPr>
          <w:noProof/>
        </w:rPr>
      </w:pPr>
      <w:r w:rsidRPr="00047543">
        <w:rPr>
          <w:b/>
          <w:bCs/>
          <w:noProof/>
        </w:rPr>
        <w:t>Alternativ 1</w:t>
      </w:r>
      <w:r w:rsidRPr="00047543">
        <w:rPr>
          <w:noProof/>
        </w:rPr>
        <w:t xml:space="preserve"> innebar att lämna PEPP-förordningen oförändrad och bygger på antagandet att det krävs mer tid för att PEPP-produkten ska få kommersiellt genomslag. Detta alternativ förkastades.</w:t>
      </w:r>
    </w:p>
    <w:p w14:paraId="1C558793" w14:textId="225096C0" w:rsidR="0040501D" w:rsidRPr="00047543" w:rsidRDefault="5FED0A18" w:rsidP="7464E7BC">
      <w:pPr>
        <w:spacing w:before="0" w:after="240"/>
        <w:rPr>
          <w:rFonts w:eastAsia="Times New Roman"/>
          <w:noProof/>
        </w:rPr>
      </w:pPr>
      <w:r w:rsidRPr="00047543">
        <w:rPr>
          <w:b/>
          <w:bCs/>
          <w:noProof/>
        </w:rPr>
        <w:t>Alternativ 2</w:t>
      </w:r>
      <w:r w:rsidRPr="00047543">
        <w:rPr>
          <w:noProof/>
        </w:rPr>
        <w:t xml:space="preserve"> skulle överlåta hela produktutformningen och distributionsformerna till PEPP-sparinstitutets skönsmässiga bedömning. Den enda regelmässiga begränsningen skulle vara att den framväxande produkten måste erbjudas inom ramen för ett ändrat avgiftstak, beräknat exklusive mervärdesskatt. Detta alternativ förkastades, eftersom de flesta intressenter i det riktade samrådet framhöll att avgiftstaket har hämmat ett brett genomslag för PEPP-produkten.</w:t>
      </w:r>
    </w:p>
    <w:p w14:paraId="183EDD69" w14:textId="539FF1FA" w:rsidR="00447526" w:rsidRPr="00047543" w:rsidRDefault="009B1EA7" w:rsidP="00095AF4">
      <w:pPr>
        <w:spacing w:before="0" w:after="240" w:line="257" w:lineRule="auto"/>
        <w:rPr>
          <w:rFonts w:eastAsia="Calibri"/>
          <w:noProof/>
        </w:rPr>
      </w:pPr>
      <w:r w:rsidRPr="00047543">
        <w:rPr>
          <w:b/>
          <w:bCs/>
          <w:noProof/>
        </w:rPr>
        <w:t>Alternativ 3</w:t>
      </w:r>
      <w:r w:rsidRPr="00047543">
        <w:rPr>
          <w:noProof/>
        </w:rPr>
        <w:t xml:space="preserve"> grundades därför på utgångspunkten att avgiftstaket skulle avskaffas. Detta alternativ skulle innebära en bas-PEPP-produkt som är utformad för att förbli ekonomiskt överkomlig, tillgänglig och enkel för dem som tecknar den, trots att avgiftstaket tas bort genom en effektiv ram för valuta för pengarna, med målet att undvika ytterligare regelbördor. Det innehåller en enkel livscykelbaserad gradvis nedsättning som möjliggör en minskning av riskfyllda tillgångar i takt med att pensioneringen närmar sig. Inom denna struktur skulle det även vara möjligt att erbjuda en begränsad andel onoterade tillgångar, upp till 5 % av den totala portföljen, i syfte att uppnå ytterligare diversifiering i livscykelns inledande skeden. Den något högre risknivån i denna tillgångsallokering motiveras av att sparare investerar i en PEPP-produkt under en period som sträcker sig över flera decennier. För att säkerställa kostnadseffektivitet får bas-PEPP-produkten inte innehålla några kapitalgarantier och ska vara lämplig att säljas utan ytterligare investeringsrådgivning, eftersom den är lämplig redan genom sin utformning. Arbetsgivare kan använda bas-PEPP-produkten i system för automatisk registrering som en kostnadseffektiv standardlösning. PEPP-sparinstitut får erbjuda skräddarsydda PEPP-produkter endast om de även erbjuder en bas-PEPP-produkt. Skräddarsydda PEPP-produkter skulle ha ytterligare inslag och mer sofistikerade investeringsstrategier men skulle, i likhet med bas-PEPP-produkter, omfattas av ramen för valuta för pengarna och vara upptagna i Eiopas register.</w:t>
      </w:r>
    </w:p>
    <w:p w14:paraId="3EC0B1CD" w14:textId="67FBA662" w:rsidR="00B554EE" w:rsidRPr="00047543" w:rsidRDefault="00B554EE" w:rsidP="00095AF4">
      <w:pPr>
        <w:spacing w:before="0" w:after="240" w:line="257" w:lineRule="auto"/>
        <w:rPr>
          <w:rFonts w:eastAsia="Calibri"/>
          <w:noProof/>
        </w:rPr>
      </w:pPr>
      <w:r w:rsidRPr="00047543">
        <w:rPr>
          <w:b/>
          <w:bCs/>
          <w:noProof/>
        </w:rPr>
        <w:t>Alternativ 4</w:t>
      </w:r>
      <w:r w:rsidRPr="00047543">
        <w:rPr>
          <w:noProof/>
        </w:rPr>
        <w:t xml:space="preserve"> motsvarar alternativ 3, med undantag för att kravet på att tillhandahållare ska kombinera distributionen av en skräddarsydd PEPP-produkt med en bas-PEPP-produkt slopas. Detta alternativ skulle möjliggöra en mer skräddarsydd ansats, men bygger samtidigt på antagandet att ett mer kostsamt pensionsupplägg motiveras av potentialen för högre avkastning. Alternativ 4 tar hänsyn till spararnas olika preferenser och skapar även kommersiella möjligheter för olika typer av tillhandahållare. </w:t>
      </w:r>
    </w:p>
    <w:p w14:paraId="0171E935" w14:textId="77777777" w:rsidR="000679FE" w:rsidRPr="00047543" w:rsidRDefault="000679FE" w:rsidP="00095AF4">
      <w:pPr>
        <w:spacing w:before="0" w:after="240" w:line="257" w:lineRule="auto"/>
        <w:rPr>
          <w:rFonts w:eastAsia="Calibri"/>
          <w:b/>
          <w:noProof/>
          <w:u w:val="single"/>
        </w:rPr>
      </w:pPr>
      <w:r w:rsidRPr="00047543">
        <w:rPr>
          <w:b/>
          <w:noProof/>
          <w:u w:val="single"/>
        </w:rPr>
        <w:t xml:space="preserve">Alternativ 4 är det valda alternativet. </w:t>
      </w:r>
    </w:p>
    <w:p w14:paraId="0A0C40AB" w14:textId="77777777" w:rsidR="0040501D" w:rsidRPr="00047543" w:rsidRDefault="00DC00C0" w:rsidP="00E46BA0">
      <w:pPr>
        <w:spacing w:before="0" w:after="240" w:line="257" w:lineRule="auto"/>
        <w:rPr>
          <w:rFonts w:eastAsia="Calibri"/>
          <w:noProof/>
        </w:rPr>
      </w:pPr>
      <w:r w:rsidRPr="00047543">
        <w:rPr>
          <w:noProof/>
        </w:rPr>
        <w:t xml:space="preserve">Utbetalningsfasen ändras inte enligt nationell lagstiftning i samförstånd med kunden. </w:t>
      </w:r>
    </w:p>
    <w:p w14:paraId="13198C42" w14:textId="77777777" w:rsidR="0040501D" w:rsidRPr="00047543" w:rsidRDefault="0040501D">
      <w:pPr>
        <w:pStyle w:val="ManualHeading2"/>
        <w:rPr>
          <w:rFonts w:eastAsia="Arial Unicode MS"/>
          <w:noProof/>
          <w:u w:color="000000"/>
          <w:bdr w:val="nil"/>
        </w:rPr>
      </w:pPr>
      <w:r w:rsidRPr="00047543">
        <w:rPr>
          <w:noProof/>
          <w:u w:color="000000"/>
          <w:bdr w:val="nil"/>
        </w:rPr>
        <w:t>•</w:t>
      </w:r>
      <w:r w:rsidRPr="00047543">
        <w:rPr>
          <w:noProof/>
        </w:rPr>
        <w:tab/>
      </w:r>
      <w:r w:rsidRPr="00047543">
        <w:rPr>
          <w:noProof/>
          <w:u w:color="000000"/>
          <w:bdr w:val="nil"/>
        </w:rPr>
        <w:t>Grundläggande rättigheter</w:t>
      </w:r>
    </w:p>
    <w:p w14:paraId="56267E6E" w14:textId="77777777" w:rsidR="0040501D" w:rsidRPr="00047543" w:rsidRDefault="00BF0BB7">
      <w:pPr>
        <w:pBdr>
          <w:top w:val="nil"/>
          <w:left w:val="nil"/>
          <w:bottom w:val="nil"/>
          <w:right w:val="nil"/>
          <w:between w:val="nil"/>
          <w:bar w:val="nil"/>
        </w:pBdr>
        <w:spacing w:before="0" w:after="240"/>
        <w:rPr>
          <w:rFonts w:eastAsia="Arial Unicode MS"/>
          <w:noProof/>
        </w:rPr>
      </w:pPr>
      <w:r w:rsidRPr="00047543">
        <w:rPr>
          <w:noProof/>
        </w:rPr>
        <w:t>Förslaget är förenligt med de grundläggande rättigheter och de principer som erkänns i Europeiska unionens stadga om de grundläggande rättigheterna, särskilt rätten till skydd av personuppgifter, rätten till egendom, näringsfriheten och principen om jämställdhet mellan kvinnor och män. Det bidrar till målen i artikel 38 i stadgan som föreskriver en hög konsumentskyddsnivå.</w:t>
      </w:r>
    </w:p>
    <w:p w14:paraId="1DCD17DE" w14:textId="77777777" w:rsidR="0040501D" w:rsidRPr="00047543" w:rsidRDefault="0040501D">
      <w:pPr>
        <w:pStyle w:val="ManualHeading1"/>
        <w:rPr>
          <w:noProof/>
        </w:rPr>
      </w:pPr>
      <w:r w:rsidRPr="00047543">
        <w:rPr>
          <w:noProof/>
        </w:rPr>
        <w:t>4.</w:t>
      </w:r>
      <w:r w:rsidRPr="00047543">
        <w:rPr>
          <w:noProof/>
        </w:rPr>
        <w:tab/>
        <w:t>BUDGETKONSEKVENSER</w:t>
      </w:r>
    </w:p>
    <w:p w14:paraId="60196FF8" w14:textId="77777777" w:rsidR="00EF7F9A" w:rsidRPr="00047543" w:rsidRDefault="00C62A3E" w:rsidP="00E46BA0">
      <w:pPr>
        <w:pBdr>
          <w:top w:val="nil"/>
          <w:left w:val="nil"/>
          <w:bottom w:val="nil"/>
          <w:right w:val="nil"/>
          <w:between w:val="nil"/>
          <w:bar w:val="nil"/>
        </w:pBdr>
        <w:spacing w:before="0" w:after="240"/>
        <w:rPr>
          <w:rFonts w:eastAsia="Arial Unicode MS"/>
          <w:noProof/>
        </w:rPr>
      </w:pPr>
      <w:r w:rsidRPr="00047543">
        <w:rPr>
          <w:noProof/>
        </w:rPr>
        <w:t>Förslaget har inga betydande konsekvenser för EU:s budget. Eiopas uppgifter i samband med registreringsprocessen har redan fastställts. Arbetsbördan i samband med de riktade justeringarna av ansökningsprocessen eller det befintliga registrets tillämpningsområde bör förbli begränsad och förväntas spridas över tiden i takt med att antalet PEPP-produkter ökar. Eiopa bör kunna hantera dessa ytterligare uppgifter inom ramen för sina befintliga resurser.</w:t>
      </w:r>
    </w:p>
    <w:p w14:paraId="4AE97282" w14:textId="77777777" w:rsidR="0040501D" w:rsidRPr="00047543" w:rsidRDefault="0040501D">
      <w:pPr>
        <w:pStyle w:val="ManualHeading1"/>
        <w:rPr>
          <w:noProof/>
        </w:rPr>
      </w:pPr>
      <w:r w:rsidRPr="00047543">
        <w:rPr>
          <w:noProof/>
        </w:rPr>
        <w:t>5.</w:t>
      </w:r>
      <w:r w:rsidRPr="00047543">
        <w:rPr>
          <w:noProof/>
        </w:rPr>
        <w:tab/>
        <w:t>ÖVRIGA INSLAG</w:t>
      </w:r>
    </w:p>
    <w:p w14:paraId="78DAB0E7" w14:textId="77777777" w:rsidR="0040501D" w:rsidRPr="00047543" w:rsidRDefault="0040501D">
      <w:pPr>
        <w:pStyle w:val="ManualHeading2"/>
        <w:rPr>
          <w:rFonts w:eastAsia="Arial Unicode MS"/>
          <w:noProof/>
          <w:u w:color="000000"/>
          <w:bdr w:val="nil"/>
        </w:rPr>
      </w:pPr>
      <w:r w:rsidRPr="00047543">
        <w:rPr>
          <w:noProof/>
          <w:u w:color="000000"/>
          <w:bdr w:val="nil"/>
        </w:rPr>
        <w:t>•</w:t>
      </w:r>
      <w:r w:rsidRPr="00047543">
        <w:rPr>
          <w:noProof/>
        </w:rPr>
        <w:tab/>
      </w:r>
      <w:r w:rsidRPr="00047543">
        <w:rPr>
          <w:noProof/>
          <w:u w:color="000000"/>
          <w:bdr w:val="nil"/>
        </w:rPr>
        <w:t>Genomförandeplaner samt åtgärder för övervakning, utvärdering och rapportering</w:t>
      </w:r>
    </w:p>
    <w:p w14:paraId="78C17949" w14:textId="77777777" w:rsidR="00696CD6" w:rsidRPr="00047543" w:rsidRDefault="00696CD6">
      <w:pPr>
        <w:pBdr>
          <w:top w:val="nil"/>
          <w:left w:val="nil"/>
          <w:bottom w:val="nil"/>
          <w:right w:val="nil"/>
          <w:between w:val="nil"/>
          <w:bar w:val="nil"/>
        </w:pBdr>
        <w:spacing w:before="0" w:after="240"/>
        <w:rPr>
          <w:noProof/>
        </w:rPr>
      </w:pPr>
      <w:r w:rsidRPr="00047543">
        <w:rPr>
          <w:noProof/>
        </w:rPr>
        <w:t xml:space="preserve">När denna förordning har trätt i kraft kommer kommissionen att övervaka viktiga prestandaindikatorer på medellång sikt för målen. Dessa indikatorer kommer att omfatta följande: </w:t>
      </w:r>
    </w:p>
    <w:p w14:paraId="3156F0F6" w14:textId="77777777" w:rsidR="00696CD6" w:rsidRPr="00047543" w:rsidRDefault="00696CD6" w:rsidP="00755F34">
      <w:pPr>
        <w:pStyle w:val="Tiret0"/>
        <w:numPr>
          <w:ilvl w:val="0"/>
          <w:numId w:val="20"/>
        </w:numPr>
        <w:rPr>
          <w:noProof/>
        </w:rPr>
      </w:pPr>
      <w:r w:rsidRPr="00047543">
        <w:rPr>
          <w:noProof/>
        </w:rPr>
        <w:t xml:space="preserve">Det totala utnyttjandet av privata pensionsprodukter, mätt i förvaltade tillgångar, samt den geografiska och sektoriella fördelningen av PEPP-sparinstitut och investeringar, inklusive den relativa fördelningen mellan bas-PEPP-produkter och alternativa PEPP-produkter. Denna indikator visar hur PEPP-produkten bidrar till att öka investeringarna i EU och till att fullborda spar- och investeringsunionen. </w:t>
      </w:r>
    </w:p>
    <w:p w14:paraId="6F66E88D" w14:textId="77777777" w:rsidR="00B65321" w:rsidRPr="00047543" w:rsidRDefault="00696CD6" w:rsidP="00B871C4">
      <w:pPr>
        <w:pStyle w:val="Tiret0"/>
        <w:rPr>
          <w:noProof/>
        </w:rPr>
      </w:pPr>
      <w:r w:rsidRPr="00047543">
        <w:rPr>
          <w:noProof/>
        </w:rPr>
        <w:t xml:space="preserve">Antalet PEPP-registreringar och den relativa andelen privata pensionsprodukter (inklusive nationella produkter och PEPP-produkter) som andel av hushållens finansiella tillgångar (målet att förbättra produktegenskaperna på marknaden för privata pensionsprodukter).  </w:t>
      </w:r>
    </w:p>
    <w:p w14:paraId="59F46B99" w14:textId="77777777" w:rsidR="00D6417C" w:rsidRPr="00047543" w:rsidRDefault="00696CD6" w:rsidP="00B871C4">
      <w:pPr>
        <w:pStyle w:val="Tiret0"/>
        <w:rPr>
          <w:rFonts w:eastAsia="Arial Unicode MS"/>
          <w:noProof/>
        </w:rPr>
      </w:pPr>
      <w:r w:rsidRPr="00047543">
        <w:rPr>
          <w:noProof/>
        </w:rPr>
        <w:t>Antalet tillhandahållare som använder ett pass för gränsöverskridande verksamhet. De uppgifter som samlas in av de europeiska tillsynsmyndigheterna kommer att användas för bedömningen av valuta för pengarna. Dessutom kommer kommissionen att bedöma i vilken utsträckning medlemsstaterna har infört förmånlig skattebehandling för PEPP-produkten genom nationell lagstiftning.</w:t>
      </w:r>
    </w:p>
    <w:p w14:paraId="10D0A886" w14:textId="77777777" w:rsidR="0040501D" w:rsidRPr="00047543" w:rsidRDefault="0040501D">
      <w:pPr>
        <w:pStyle w:val="ManualHeading2"/>
        <w:rPr>
          <w:rFonts w:eastAsia="Arial Unicode MS"/>
          <w:noProof/>
          <w:u w:color="000000"/>
          <w:bdr w:val="nil"/>
        </w:rPr>
      </w:pPr>
      <w:r w:rsidRPr="00047543">
        <w:rPr>
          <w:noProof/>
          <w:u w:color="000000"/>
          <w:bdr w:val="nil"/>
        </w:rPr>
        <w:t>•</w:t>
      </w:r>
      <w:r w:rsidRPr="00047543">
        <w:rPr>
          <w:noProof/>
        </w:rPr>
        <w:tab/>
      </w:r>
      <w:r w:rsidRPr="00047543">
        <w:rPr>
          <w:noProof/>
          <w:u w:color="000000"/>
          <w:bdr w:val="nil"/>
        </w:rPr>
        <w:t>Ingående redogörelse för de specifika bestämmelserna i förslaget</w:t>
      </w:r>
    </w:p>
    <w:p w14:paraId="2FDDCB49" w14:textId="77777777" w:rsidR="00D44B17" w:rsidRPr="00047543" w:rsidRDefault="00D44B17" w:rsidP="00D44B17">
      <w:pPr>
        <w:rPr>
          <w:noProof/>
        </w:rPr>
      </w:pPr>
      <w:r w:rsidRPr="00047543">
        <w:rPr>
          <w:noProof/>
        </w:rPr>
        <w:t>Detta förslag till förordning om ändring av förordning (EU) 2019/1238 (</w:t>
      </w:r>
      <w:r w:rsidRPr="00047543">
        <w:rPr>
          <w:i/>
          <w:iCs/>
          <w:noProof/>
        </w:rPr>
        <w:t>PEPP-förordningen</w:t>
      </w:r>
      <w:r w:rsidRPr="00047543">
        <w:rPr>
          <w:noProof/>
        </w:rPr>
        <w:t>) illustrerar kommissionens ansträngningar för att göra PEPP-produkten till en mer attraktiv och tillgänglig privat pensionsprodukt i hela EU. De föreslagna ändringarna bör ses som ett samlat paket som hanterar utbuds- och efterfrågeutmaningar, stärker konsumentskyddet och transparensen samt ökar PEPP-produkternas attraktionskraft på marknaden.</w:t>
      </w:r>
    </w:p>
    <w:p w14:paraId="6ACC889B" w14:textId="77777777" w:rsidR="00D44B17" w:rsidRPr="00047543" w:rsidRDefault="00D44B17" w:rsidP="00D44B17">
      <w:pPr>
        <w:rPr>
          <w:b/>
          <w:bCs/>
          <w:noProof/>
        </w:rPr>
      </w:pPr>
    </w:p>
    <w:p w14:paraId="43A1A163" w14:textId="77777777" w:rsidR="00D44B17" w:rsidRPr="00047543" w:rsidRDefault="00D44B17" w:rsidP="00D44B17">
      <w:pPr>
        <w:rPr>
          <w:noProof/>
          <w:u w:val="single"/>
        </w:rPr>
      </w:pPr>
      <w:r w:rsidRPr="00047543">
        <w:rPr>
          <w:b/>
          <w:bCs/>
          <w:noProof/>
          <w:u w:val="single"/>
        </w:rPr>
        <w:t>Definitioner</w:t>
      </w:r>
      <w:r w:rsidRPr="00047543">
        <w:rPr>
          <w:noProof/>
          <w:u w:val="single"/>
        </w:rPr>
        <w:t xml:space="preserve"> (artikel 2 i PEPP-förordningen)</w:t>
      </w:r>
    </w:p>
    <w:p w14:paraId="2AB92F34" w14:textId="3C2AFC15" w:rsidR="00D44B17" w:rsidRPr="00047543" w:rsidRDefault="00147FA1" w:rsidP="00D44B17">
      <w:pPr>
        <w:spacing w:before="0" w:after="160" w:line="278" w:lineRule="auto"/>
        <w:rPr>
          <w:noProof/>
        </w:rPr>
      </w:pPr>
      <w:r w:rsidRPr="00047543">
        <w:rPr>
          <w:noProof/>
        </w:rPr>
        <w:t>Ytterligare definitioner införs för centrala begrepp såsom ”rådgivning på oberoende grund” – som har samma innebörd som enligt direktiv 2014/65/EU</w:t>
      </w:r>
      <w:r w:rsidRPr="00047543">
        <w:rPr>
          <w:rStyle w:val="FootnoteReference"/>
          <w:noProof/>
        </w:rPr>
        <w:footnoteReference w:id="23"/>
      </w:r>
      <w:r w:rsidRPr="00047543">
        <w:rPr>
          <w:noProof/>
        </w:rPr>
        <w:t xml:space="preserve"> – och ”livscykelbaserad investeringsstrategi”, vilka ska tillämpas inom ramen för det reviderade PEPP-regelverket. Dessa definitioner klargör förväntningarna på tillhandahållarna och bidrar till ett konsekvent genomförande i hela unionen.</w:t>
      </w:r>
    </w:p>
    <w:p w14:paraId="1D54A85F" w14:textId="77777777" w:rsidR="00D44B17" w:rsidRPr="00047543" w:rsidRDefault="00D44B17" w:rsidP="00D44B17">
      <w:pPr>
        <w:rPr>
          <w:b/>
          <w:bCs/>
          <w:noProof/>
        </w:rPr>
      </w:pPr>
    </w:p>
    <w:p w14:paraId="53CC0D1E" w14:textId="77777777" w:rsidR="00D44B17" w:rsidRPr="00047543" w:rsidRDefault="00D44B17" w:rsidP="00D44B17">
      <w:pPr>
        <w:rPr>
          <w:b/>
          <w:bCs/>
          <w:noProof/>
          <w:u w:val="single"/>
        </w:rPr>
      </w:pPr>
      <w:r w:rsidRPr="00047543">
        <w:rPr>
          <w:b/>
          <w:bCs/>
          <w:noProof/>
          <w:u w:val="single"/>
        </w:rPr>
        <w:t>Skattemässig behandling</w:t>
      </w:r>
      <w:r w:rsidRPr="00047543">
        <w:rPr>
          <w:noProof/>
          <w:u w:val="single"/>
        </w:rPr>
        <w:t xml:space="preserve"> (artikel 3 i PEPP-förordningen)</w:t>
      </w:r>
    </w:p>
    <w:p w14:paraId="5620121C" w14:textId="77777777" w:rsidR="00D44B17" w:rsidRPr="00047543" w:rsidRDefault="00D44B17" w:rsidP="00D44B17">
      <w:pPr>
        <w:spacing w:before="0" w:after="160" w:line="278" w:lineRule="auto"/>
        <w:rPr>
          <w:noProof/>
        </w:rPr>
      </w:pPr>
      <w:r w:rsidRPr="00047543">
        <w:rPr>
          <w:noProof/>
        </w:rPr>
        <w:t>För att stödja utnyttjandet av PEPP-produkter krävs det i förslaget att medlemsstaterna säkerställer att den skattemässiga behandlingen av PEPP-produkter är jämförbar med den som tillämpas på nationella privata pensionsprodukter.</w:t>
      </w:r>
    </w:p>
    <w:p w14:paraId="2763B0B0" w14:textId="77777777" w:rsidR="00D44B17" w:rsidRPr="00047543" w:rsidRDefault="00D44B17" w:rsidP="00D44B17">
      <w:pPr>
        <w:rPr>
          <w:b/>
          <w:bCs/>
          <w:noProof/>
        </w:rPr>
      </w:pPr>
    </w:p>
    <w:p w14:paraId="367E14B9" w14:textId="77777777" w:rsidR="00D44B17" w:rsidRPr="00047543" w:rsidRDefault="00D44B17" w:rsidP="00D44B17">
      <w:pPr>
        <w:rPr>
          <w:b/>
          <w:bCs/>
          <w:noProof/>
          <w:u w:val="single"/>
        </w:rPr>
      </w:pPr>
      <w:r w:rsidRPr="00047543">
        <w:rPr>
          <w:b/>
          <w:bCs/>
          <w:noProof/>
          <w:u w:val="single"/>
        </w:rPr>
        <w:t>Registreringsprocess</w:t>
      </w:r>
      <w:r w:rsidRPr="00047543">
        <w:rPr>
          <w:noProof/>
          <w:u w:val="single"/>
        </w:rPr>
        <w:t xml:space="preserve"> (artikel 6 i PEPP-förordningen)</w:t>
      </w:r>
    </w:p>
    <w:p w14:paraId="1DEDCD4F" w14:textId="77777777" w:rsidR="00D44B17" w:rsidRPr="00047543" w:rsidRDefault="00D44B17" w:rsidP="00D44B17">
      <w:pPr>
        <w:spacing w:before="0" w:after="160" w:line="278" w:lineRule="auto"/>
        <w:rPr>
          <w:noProof/>
        </w:rPr>
      </w:pPr>
      <w:r w:rsidRPr="00047543">
        <w:rPr>
          <w:noProof/>
        </w:rPr>
        <w:t>Genom ändringarna tydliggörs att sökande, som en del av registreringsprocessen, måste visa sin förmåga att erbjuda valuta för pengarna. Vid ofullständig ansökan ges sökanden 15 arbetsdagar för att inkomma med de saknade uppgifterna.</w:t>
      </w:r>
    </w:p>
    <w:p w14:paraId="46EA09D8" w14:textId="77777777" w:rsidR="00D44B17" w:rsidRPr="00047543" w:rsidRDefault="00D44B17" w:rsidP="00D44B17">
      <w:pPr>
        <w:spacing w:before="0" w:after="160" w:line="278" w:lineRule="auto"/>
        <w:rPr>
          <w:noProof/>
        </w:rPr>
      </w:pPr>
    </w:p>
    <w:p w14:paraId="1B887B83" w14:textId="77777777" w:rsidR="00D44B17" w:rsidRPr="00047543" w:rsidRDefault="00D44B17" w:rsidP="00D44B17">
      <w:pPr>
        <w:rPr>
          <w:noProof/>
          <w:u w:val="single"/>
        </w:rPr>
      </w:pPr>
      <w:r w:rsidRPr="00047543">
        <w:rPr>
          <w:b/>
          <w:bCs/>
          <w:noProof/>
          <w:u w:val="single"/>
        </w:rPr>
        <w:t>Avregistrering</w:t>
      </w:r>
      <w:r w:rsidRPr="00047543">
        <w:rPr>
          <w:noProof/>
          <w:u w:val="single"/>
        </w:rPr>
        <w:t xml:space="preserve"> (artikel 8 i PEPP-förordningen)</w:t>
      </w:r>
    </w:p>
    <w:p w14:paraId="5DF71479" w14:textId="77777777" w:rsidR="00D44B17" w:rsidRPr="00047543" w:rsidRDefault="00D44B17" w:rsidP="00D44B17">
      <w:pPr>
        <w:spacing w:before="0" w:after="160" w:line="278" w:lineRule="auto"/>
        <w:rPr>
          <w:noProof/>
        </w:rPr>
      </w:pPr>
      <w:r w:rsidRPr="00047543">
        <w:rPr>
          <w:noProof/>
        </w:rPr>
        <w:t>Förslaget kräver att PEPP-sparinstitutet omedelbart informerar PEPP-spararna om ett beslut om avregistrering samt om de alternativ som står till buds, inbegripet möjligheten att utan dröjsmål eller kostnad byta PEPP-sparinstitut för sitt ackumulerade kapital eller överföra det till en annan privat pensionsprodukt.</w:t>
      </w:r>
    </w:p>
    <w:p w14:paraId="6AD95586" w14:textId="77777777" w:rsidR="00D44B17" w:rsidRPr="00047543" w:rsidRDefault="00D44B17" w:rsidP="00D44B17">
      <w:pPr>
        <w:spacing w:before="0" w:after="160" w:line="278" w:lineRule="auto"/>
        <w:rPr>
          <w:noProof/>
        </w:rPr>
      </w:pPr>
    </w:p>
    <w:p w14:paraId="2EB2E147" w14:textId="77777777" w:rsidR="00D44B17" w:rsidRPr="00047543" w:rsidRDefault="00D44B17" w:rsidP="00D44B17">
      <w:pPr>
        <w:rPr>
          <w:b/>
          <w:bCs/>
          <w:noProof/>
          <w:u w:val="single"/>
        </w:rPr>
      </w:pPr>
      <w:r w:rsidRPr="00047543">
        <w:rPr>
          <w:b/>
          <w:bCs/>
          <w:noProof/>
          <w:u w:val="single"/>
        </w:rPr>
        <w:t>Centralt offentligt register</w:t>
      </w:r>
      <w:r w:rsidRPr="00047543">
        <w:rPr>
          <w:noProof/>
          <w:u w:val="single"/>
        </w:rPr>
        <w:t xml:space="preserve"> (artikel 13 i PEPP-förordningen)</w:t>
      </w:r>
    </w:p>
    <w:p w14:paraId="1F793457" w14:textId="77777777" w:rsidR="00D44B17" w:rsidRPr="00047543" w:rsidRDefault="00D44B17" w:rsidP="00D44B17">
      <w:pPr>
        <w:spacing w:before="0" w:after="160" w:line="278" w:lineRule="auto"/>
        <w:rPr>
          <w:noProof/>
        </w:rPr>
      </w:pPr>
      <w:r w:rsidRPr="00047543">
        <w:rPr>
          <w:noProof/>
        </w:rPr>
        <w:t>Ändringarna utvidgar tillämpningsområdet för det centrala offentliga register som förs av Eiopa till att även omfatta historiska uppgifter om kostnader, resultat och den sammanfattande riskindikatorn.</w:t>
      </w:r>
    </w:p>
    <w:p w14:paraId="07D9B564" w14:textId="77777777" w:rsidR="00D44B17" w:rsidRPr="00047543" w:rsidRDefault="00D44B17" w:rsidP="00D44B17">
      <w:pPr>
        <w:spacing w:before="0" w:after="160" w:line="278" w:lineRule="auto"/>
        <w:rPr>
          <w:noProof/>
        </w:rPr>
      </w:pPr>
    </w:p>
    <w:p w14:paraId="46107141" w14:textId="77777777" w:rsidR="00D44B17" w:rsidRPr="00047543" w:rsidRDefault="00D44B17" w:rsidP="00D44B17">
      <w:pPr>
        <w:rPr>
          <w:b/>
          <w:bCs/>
          <w:noProof/>
          <w:u w:val="single"/>
        </w:rPr>
      </w:pPr>
      <w:r w:rsidRPr="00047543">
        <w:rPr>
          <w:b/>
          <w:bCs/>
          <w:noProof/>
          <w:u w:val="single"/>
        </w:rPr>
        <w:t>Underkonton</w:t>
      </w:r>
      <w:r w:rsidRPr="00047543">
        <w:rPr>
          <w:noProof/>
          <w:u w:val="single"/>
        </w:rPr>
        <w:t xml:space="preserve"> (artikel 18 i PEPP-förordningen)</w:t>
      </w:r>
    </w:p>
    <w:p w14:paraId="7FD59FBA" w14:textId="77777777" w:rsidR="00D44B17" w:rsidRPr="00047543" w:rsidRDefault="00D44B17" w:rsidP="00D44B17">
      <w:pPr>
        <w:spacing w:before="0" w:after="160" w:line="278" w:lineRule="auto"/>
        <w:rPr>
          <w:noProof/>
        </w:rPr>
      </w:pPr>
      <w:r w:rsidRPr="00047543">
        <w:rPr>
          <w:noProof/>
        </w:rPr>
        <w:t>Genom förslaget avskaffas kravet på att öppna minst två underkonton, vilket förenklar kontohanteringen för PEPP-sparinstitut.</w:t>
      </w:r>
    </w:p>
    <w:p w14:paraId="415DAFF6" w14:textId="77777777" w:rsidR="00D44B17" w:rsidRPr="00047543" w:rsidRDefault="00D44B17" w:rsidP="00D44B17">
      <w:pPr>
        <w:spacing w:before="0" w:after="160" w:line="278" w:lineRule="auto"/>
        <w:rPr>
          <w:noProof/>
        </w:rPr>
      </w:pPr>
    </w:p>
    <w:p w14:paraId="423440EA" w14:textId="77777777" w:rsidR="00D44B17" w:rsidRPr="00047543" w:rsidRDefault="00D44B17" w:rsidP="00D44B17">
      <w:pPr>
        <w:rPr>
          <w:b/>
          <w:bCs/>
          <w:noProof/>
          <w:u w:val="single"/>
        </w:rPr>
      </w:pPr>
      <w:r w:rsidRPr="00047543">
        <w:rPr>
          <w:b/>
          <w:bCs/>
          <w:noProof/>
          <w:u w:val="single"/>
        </w:rPr>
        <w:t>Produktövervaknings- och styrningskrav samt valuta för pengarna</w:t>
      </w:r>
      <w:r w:rsidRPr="00047543">
        <w:rPr>
          <w:noProof/>
          <w:u w:val="single"/>
        </w:rPr>
        <w:t xml:space="preserve"> (artikel 25 i PEPP-förordningen)</w:t>
      </w:r>
    </w:p>
    <w:p w14:paraId="69AB34F6" w14:textId="77777777" w:rsidR="00D44B17" w:rsidRPr="00047543" w:rsidRDefault="00D44B17" w:rsidP="00D44B17">
      <w:pPr>
        <w:spacing w:before="0" w:after="160" w:line="278" w:lineRule="auto"/>
        <w:rPr>
          <w:noProof/>
        </w:rPr>
      </w:pPr>
      <w:r w:rsidRPr="00047543">
        <w:rPr>
          <w:noProof/>
        </w:rPr>
        <w:t>Ramen för produktövervakning och styrning revideras för att integrera överväganden om valuta för pengarna, i linje med de pågående diskussionerna om strategin för icke-professionella investeringar. Eftersom förhandlingarna om strategin för icke-professionella investeringar fortfarande pågår innehåller förslaget en allmän hänvisning till artikel 25 i direktiv (EU) 2016/97</w:t>
      </w:r>
      <w:r w:rsidRPr="00047543">
        <w:rPr>
          <w:rStyle w:val="FootnoteReference"/>
          <w:noProof/>
        </w:rPr>
        <w:footnoteReference w:id="24"/>
      </w:r>
      <w:r w:rsidRPr="00047543">
        <w:rPr>
          <w:noProof/>
        </w:rPr>
        <w:t xml:space="preserve"> (</w:t>
      </w:r>
      <w:r w:rsidRPr="00047543">
        <w:rPr>
          <w:i/>
          <w:iCs/>
          <w:noProof/>
        </w:rPr>
        <w:t>direktivet om försäkringsdistribution</w:t>
      </w:r>
      <w:r w:rsidRPr="00047543">
        <w:rPr>
          <w:noProof/>
        </w:rPr>
        <w:t xml:space="preserve">), som sannolikt kommer att ändras genom strategin för icke-professionella investeringar och därför bör gälla i tillämpliga delar. </w:t>
      </w:r>
    </w:p>
    <w:p w14:paraId="681BA70B" w14:textId="77777777" w:rsidR="00D44B17" w:rsidRPr="00047543" w:rsidRDefault="00D44B17" w:rsidP="00D44B17">
      <w:pPr>
        <w:rPr>
          <w:noProof/>
        </w:rPr>
      </w:pPr>
      <w:r w:rsidRPr="00047543">
        <w:rPr>
          <w:noProof/>
        </w:rPr>
        <w:t xml:space="preserve">Behöriga myndigheter ska övervaka efterlevnaden av kraven på valuta för pengarna. Vid underprestation ska PEPP-sparinstitut visa att deras kostnader och avgifter är motiverade och proportionella. Om leverantören inte kan göra detta ska tillsynsmyndigheterna kräva korrigerande åtgärder. Om sådana åtgärder uteblir ska den behöriga myndigheten utnyttja sina befogenheter, inbegripet att utfärda beslut om avregistrering. </w:t>
      </w:r>
    </w:p>
    <w:p w14:paraId="07E43D7F" w14:textId="77777777" w:rsidR="00C643D3" w:rsidRPr="00047543" w:rsidRDefault="00C643D3" w:rsidP="00C643D3">
      <w:pPr>
        <w:spacing w:before="0" w:after="160" w:line="278" w:lineRule="auto"/>
        <w:rPr>
          <w:noProof/>
        </w:rPr>
      </w:pPr>
      <w:r w:rsidRPr="00047543">
        <w:rPr>
          <w:noProof/>
        </w:rPr>
        <w:t xml:space="preserve">En delegerad akt ska fastställa metoden för att ta fram tillsynsmässiga referensvärden avseende PEPP-produkter. </w:t>
      </w:r>
    </w:p>
    <w:p w14:paraId="5A17E536" w14:textId="77777777" w:rsidR="00D6417C" w:rsidRPr="00047543" w:rsidRDefault="00D6417C" w:rsidP="00D44B17">
      <w:pPr>
        <w:rPr>
          <w:noProof/>
        </w:rPr>
      </w:pPr>
    </w:p>
    <w:p w14:paraId="61C12BAC" w14:textId="77777777" w:rsidR="00D44B17" w:rsidRPr="00047543" w:rsidRDefault="00D44B17" w:rsidP="00D44B17">
      <w:pPr>
        <w:rPr>
          <w:b/>
          <w:bCs/>
          <w:noProof/>
          <w:u w:val="single"/>
        </w:rPr>
      </w:pPr>
      <w:r w:rsidRPr="00047543">
        <w:rPr>
          <w:b/>
          <w:bCs/>
          <w:noProof/>
          <w:u w:val="single"/>
        </w:rPr>
        <w:t>Faktablad</w:t>
      </w:r>
      <w:r w:rsidRPr="00047543">
        <w:rPr>
          <w:noProof/>
          <w:u w:val="single"/>
        </w:rPr>
        <w:t xml:space="preserve"> (artikel 28 i PEPP-förordningen)</w:t>
      </w:r>
    </w:p>
    <w:p w14:paraId="4AB54445" w14:textId="77777777" w:rsidR="00650552" w:rsidRPr="00047543" w:rsidRDefault="00D44B17" w:rsidP="00D44B17">
      <w:pPr>
        <w:spacing w:before="0" w:after="160" w:line="278" w:lineRule="auto"/>
        <w:rPr>
          <w:noProof/>
        </w:rPr>
      </w:pPr>
      <w:r w:rsidRPr="00047543">
        <w:rPr>
          <w:noProof/>
        </w:rPr>
        <w:t>Innehållet i faktabladet utvidgas för PEPP-produkter som omfattas av automatisk registrering och uppdateras för att återspegla de reviderade egenskaperna hos bas-PEPP-produkter. För att säkerställa jämförbarhet krävs enligt förslaget att de totala sammanlagda kostnaderna redovisas både i ett penningbelopp och i procent, att den samlade inverkan av de totala kostnaderna på investeringen under de senaste tolv månaderna redovisas samt att en uppskattning lämnas av kostnadernas inverkan på det slutliga ackumulerade kapitalet. Förslaget kräver dessutom att kostnader som, i förekommande fall, är kopplade till kapitalgarantin redovisas uttryckligen och separat.</w:t>
      </w:r>
    </w:p>
    <w:p w14:paraId="2708DC4A" w14:textId="77777777" w:rsidR="00D6417C" w:rsidRPr="00047543" w:rsidRDefault="00D6417C" w:rsidP="00D44B17">
      <w:pPr>
        <w:spacing w:before="0" w:after="160" w:line="278" w:lineRule="auto"/>
        <w:rPr>
          <w:noProof/>
        </w:rPr>
      </w:pPr>
    </w:p>
    <w:p w14:paraId="19F7D8D4" w14:textId="77777777" w:rsidR="00D44B17" w:rsidRPr="00047543" w:rsidRDefault="00D44B17" w:rsidP="00D44B17">
      <w:pPr>
        <w:rPr>
          <w:b/>
          <w:bCs/>
          <w:noProof/>
          <w:u w:val="single"/>
        </w:rPr>
      </w:pPr>
      <w:r w:rsidRPr="00047543">
        <w:rPr>
          <w:b/>
          <w:bCs/>
          <w:noProof/>
          <w:u w:val="single"/>
        </w:rPr>
        <w:t>Rådgivning</w:t>
      </w:r>
      <w:r w:rsidRPr="00047543">
        <w:rPr>
          <w:noProof/>
          <w:u w:val="single"/>
        </w:rPr>
        <w:t xml:space="preserve"> (artiklarna 34 och 43 i PEPP-förordningen)</w:t>
      </w:r>
    </w:p>
    <w:p w14:paraId="5445FD9A" w14:textId="77777777" w:rsidR="00D44B17" w:rsidRPr="00047543" w:rsidRDefault="00D44B17" w:rsidP="00B871C4">
      <w:pPr>
        <w:rPr>
          <w:noProof/>
        </w:rPr>
      </w:pPr>
      <w:r w:rsidRPr="00047543">
        <w:rPr>
          <w:noProof/>
        </w:rPr>
        <w:t>PEPP-sparinstitut eller PEPP-distributörer ska tillhandahålla presumtiva sparare personliga prognoser över pensionsförmåner för de rekommenderade produkterna. Rådgivningen ska även ange förekomsten av det centrala register där kostnader och resultat kan jämföras.</w:t>
      </w:r>
    </w:p>
    <w:p w14:paraId="1C1EECD1" w14:textId="77777777" w:rsidR="00D44B17" w:rsidRPr="00047543" w:rsidRDefault="00D44B17" w:rsidP="00D44B17">
      <w:pPr>
        <w:rPr>
          <w:noProof/>
        </w:rPr>
      </w:pPr>
      <w:r w:rsidRPr="00047543">
        <w:rPr>
          <w:noProof/>
        </w:rPr>
        <w:t>I förslaget klargörs att ingen rådgivning krävs för bas-PEPP-produkter. Om rådgivning tillhandahålls på spararens begäran ska den ske på oberoende grund. Oberoende rådgivning för bas-PEPP-produkter kräver ingen bedömning av spararens kunskaper eller erfarenhet, i linje med de pågående diskussionerna inom ramen för strategin för icke-professionella investeringar.</w:t>
      </w:r>
    </w:p>
    <w:p w14:paraId="696FC8AB" w14:textId="77777777" w:rsidR="00D6417C" w:rsidRPr="00047543" w:rsidRDefault="00D6417C" w:rsidP="00D44B17">
      <w:pPr>
        <w:rPr>
          <w:noProof/>
        </w:rPr>
      </w:pPr>
    </w:p>
    <w:p w14:paraId="0072318D" w14:textId="77777777" w:rsidR="00D44B17" w:rsidRPr="00047543" w:rsidRDefault="00D44B17" w:rsidP="00D44B17">
      <w:pPr>
        <w:rPr>
          <w:noProof/>
          <w:u w:val="single"/>
        </w:rPr>
      </w:pPr>
      <w:r w:rsidRPr="00047543">
        <w:rPr>
          <w:b/>
          <w:bCs/>
          <w:noProof/>
          <w:u w:val="single"/>
        </w:rPr>
        <w:t>PEPP-pensionsbesked</w:t>
      </w:r>
      <w:r w:rsidRPr="00047543">
        <w:rPr>
          <w:noProof/>
          <w:u w:val="single"/>
        </w:rPr>
        <w:t xml:space="preserve"> (artikel 36 i PEPP-förordningen)</w:t>
      </w:r>
    </w:p>
    <w:p w14:paraId="37E39124" w14:textId="77777777" w:rsidR="00D44B17" w:rsidRPr="00047543" w:rsidRDefault="00D44B17" w:rsidP="00D44B17">
      <w:pPr>
        <w:rPr>
          <w:noProof/>
        </w:rPr>
      </w:pPr>
      <w:r w:rsidRPr="00047543">
        <w:rPr>
          <w:noProof/>
        </w:rPr>
        <w:t>Innehållet i PEPP-pensionsbeskedet utökas till att omfatta samtliga kostnader – både i monetära termer och i procent – för de föregående tolv månaderna samt för hela avtalets löptid. Förslaget kräver dessutom att det i PEPP-pensionsbeskedet anges att det finns ett centralt register för jämförelse av kostnader och resultat för PEPP-produkter.</w:t>
      </w:r>
    </w:p>
    <w:p w14:paraId="3043DE48" w14:textId="77777777" w:rsidR="00D6417C" w:rsidRPr="00047543" w:rsidRDefault="00D6417C" w:rsidP="00D44B17">
      <w:pPr>
        <w:rPr>
          <w:noProof/>
        </w:rPr>
      </w:pPr>
    </w:p>
    <w:p w14:paraId="36B34B0C" w14:textId="77777777" w:rsidR="00D44B17" w:rsidRPr="00047543" w:rsidRDefault="00D44B17" w:rsidP="00D44B17">
      <w:pPr>
        <w:spacing w:before="0" w:after="160" w:line="278" w:lineRule="auto"/>
        <w:rPr>
          <w:b/>
          <w:bCs/>
          <w:noProof/>
          <w:u w:val="single"/>
        </w:rPr>
      </w:pPr>
      <w:r w:rsidRPr="00047543">
        <w:rPr>
          <w:b/>
          <w:bCs/>
          <w:noProof/>
          <w:u w:val="single"/>
        </w:rPr>
        <w:t>Information före pensionering och information om utbetalning</w:t>
      </w:r>
      <w:r w:rsidRPr="00047543">
        <w:rPr>
          <w:noProof/>
          <w:u w:val="single"/>
        </w:rPr>
        <w:t xml:space="preserve"> (artiklarna 38 och 60 i PEPP-förordningen)</w:t>
      </w:r>
    </w:p>
    <w:p w14:paraId="1752CB80" w14:textId="513995CF" w:rsidR="00D44B17" w:rsidRPr="00047543" w:rsidRDefault="00D44B17" w:rsidP="00D44B17">
      <w:pPr>
        <w:rPr>
          <w:noProof/>
        </w:rPr>
      </w:pPr>
      <w:r w:rsidRPr="00047543">
        <w:rPr>
          <w:noProof/>
        </w:rPr>
        <w:t xml:space="preserve">Omfattningen av den information som ska tillhandahållas under tiden före pensionering och under utbetalningsfasen förtydligas och förbättras. Förslaget inför även ett krav på att samtliga sparinstitut för PEPP-produkter – inte enbart för tillhandahållare av bas-PEPP-produkter – ska tillhandahålla personligt stöd för pensionsplanering. </w:t>
      </w:r>
    </w:p>
    <w:p w14:paraId="5E55B38E" w14:textId="77777777" w:rsidR="00D6417C" w:rsidRPr="00047543" w:rsidRDefault="00D6417C" w:rsidP="00D44B17">
      <w:pPr>
        <w:rPr>
          <w:noProof/>
        </w:rPr>
      </w:pPr>
    </w:p>
    <w:p w14:paraId="18D6486C" w14:textId="77777777" w:rsidR="00D44B17" w:rsidRPr="00047543" w:rsidRDefault="00D44B17" w:rsidP="00D44B17">
      <w:pPr>
        <w:spacing w:before="0" w:after="160" w:line="278" w:lineRule="auto"/>
        <w:rPr>
          <w:b/>
          <w:bCs/>
          <w:noProof/>
          <w:u w:val="single"/>
        </w:rPr>
      </w:pPr>
      <w:r w:rsidRPr="00047543">
        <w:rPr>
          <w:b/>
          <w:bCs/>
          <w:noProof/>
          <w:u w:val="single"/>
        </w:rPr>
        <w:t>Investeringsregler för PEPP-produkter</w:t>
      </w:r>
      <w:r w:rsidRPr="00047543">
        <w:rPr>
          <w:noProof/>
          <w:u w:val="single"/>
        </w:rPr>
        <w:t xml:space="preserve"> (artikel 41 i PEPP-förordningen)</w:t>
      </w:r>
    </w:p>
    <w:p w14:paraId="6FA5180B" w14:textId="77777777" w:rsidR="00D44B17" w:rsidRPr="00047543" w:rsidRDefault="00D44B17" w:rsidP="00D44B17">
      <w:pPr>
        <w:spacing w:before="0" w:after="160" w:line="278" w:lineRule="auto"/>
        <w:rPr>
          <w:noProof/>
        </w:rPr>
      </w:pPr>
      <w:r w:rsidRPr="00047543">
        <w:rPr>
          <w:noProof/>
        </w:rPr>
        <w:t>Aktsamhetsprincipen ersätts med en aktsamhetsprincip där hänsyn uttryckligen ska tas till ESG-risker och investeringarnas långsiktiga effekter. Tillgångarna ska i huvudsak placeras inte bara på reglerade marknader utan även på multilaterala handelsplattformar eller organiserade handelsplattformar.</w:t>
      </w:r>
    </w:p>
    <w:p w14:paraId="2B9862C5" w14:textId="77777777" w:rsidR="00D6417C" w:rsidRPr="00047543" w:rsidRDefault="00D6417C" w:rsidP="00D44B17">
      <w:pPr>
        <w:spacing w:before="0" w:after="160" w:line="278" w:lineRule="auto"/>
        <w:rPr>
          <w:noProof/>
        </w:rPr>
      </w:pPr>
    </w:p>
    <w:p w14:paraId="1011F450" w14:textId="4B556621" w:rsidR="00D44B17" w:rsidRPr="00047543" w:rsidRDefault="00D44B17" w:rsidP="00D44B17">
      <w:pPr>
        <w:spacing w:before="0" w:after="160" w:line="278" w:lineRule="auto"/>
        <w:rPr>
          <w:b/>
          <w:bCs/>
          <w:noProof/>
          <w:u w:val="single"/>
        </w:rPr>
      </w:pPr>
      <w:r w:rsidRPr="00047543">
        <w:rPr>
          <w:b/>
          <w:bCs/>
          <w:noProof/>
          <w:u w:val="single"/>
        </w:rPr>
        <w:t>Egenskaper hos bas-PEPP-produkter och skräddarsydda PEPP-produkter</w:t>
      </w:r>
      <w:r w:rsidRPr="00047543">
        <w:rPr>
          <w:noProof/>
          <w:u w:val="single"/>
        </w:rPr>
        <w:t xml:space="preserve"> (artiklarna 4, 28, 42 och 46 i PEPP-förordningen)</w:t>
      </w:r>
    </w:p>
    <w:p w14:paraId="1BD66540" w14:textId="77777777" w:rsidR="00D44B17" w:rsidRPr="00047543" w:rsidRDefault="00D44B17" w:rsidP="00D44B17">
      <w:pPr>
        <w:spacing w:before="0" w:after="160" w:line="278" w:lineRule="auto"/>
        <w:rPr>
          <w:noProof/>
        </w:rPr>
      </w:pPr>
      <w:r w:rsidRPr="00047543">
        <w:rPr>
          <w:noProof/>
        </w:rPr>
        <w:t>Tillhandahållarna är inte längre skyldiga att erbjuda en bas-PEPP-produkt när de erbjuder mer sofistikerade PEPP-produkter, och det finns inga begränsningar för antalet PEPP-varianter.</w:t>
      </w:r>
    </w:p>
    <w:p w14:paraId="0AF706F8" w14:textId="77777777" w:rsidR="00D44B17" w:rsidRPr="00047543" w:rsidRDefault="00D44B17" w:rsidP="00D44B17">
      <w:pPr>
        <w:spacing w:before="0" w:after="160" w:line="278" w:lineRule="auto"/>
        <w:rPr>
          <w:noProof/>
        </w:rPr>
      </w:pPr>
      <w:r w:rsidRPr="00047543">
        <w:rPr>
          <w:noProof/>
        </w:rPr>
        <w:t>Bas-PEPP-produkter ska bygga på en livscykelbaserad investeringsstrategi i stället för en strikt garanti. De huvudsakliga kvalitativa egenskaperna för denna strategi definieras i förslaget. Investeringar annat än likvida medel ska göras till minst 95 % i finansiella instrument som anges i artikel 25.4 a i–iv i direktiv 2014/65/EU.</w:t>
      </w:r>
    </w:p>
    <w:p w14:paraId="41D30CD8" w14:textId="263BEBF6" w:rsidR="00D44B17" w:rsidRPr="00047543" w:rsidRDefault="00B31148" w:rsidP="00D44B17">
      <w:pPr>
        <w:spacing w:before="0" w:after="160" w:line="278" w:lineRule="auto"/>
        <w:rPr>
          <w:noProof/>
        </w:rPr>
      </w:pPr>
      <w:r w:rsidRPr="00047543">
        <w:rPr>
          <w:noProof/>
        </w:rPr>
        <w:t>Förslaget kräver att skräddarsydda PEPP-produkter, på samma sätt som bas-PEPP-produkter, säkerställer en lämplig nivå av skydd för PEPP-spararna. Ett sådant skydd kan dock uppnås genom ett bredare spektrum av riskreduceringstekniker, i stället för att vara begränsat till livscykelbaserade investeringsstrategier.</w:t>
      </w:r>
    </w:p>
    <w:p w14:paraId="58A08F83" w14:textId="77777777" w:rsidR="00D44B17" w:rsidRPr="00047543" w:rsidRDefault="00D44B17" w:rsidP="00D44B17">
      <w:pPr>
        <w:rPr>
          <w:noProof/>
        </w:rPr>
      </w:pPr>
      <w:r w:rsidRPr="00047543">
        <w:rPr>
          <w:noProof/>
        </w:rPr>
        <w:t>Flera bestämmelser i delegerad förordning (EU) 2021/473 upphävs för att anpassa regelverket till den nya ramen.</w:t>
      </w:r>
    </w:p>
    <w:p w14:paraId="22AE74A6" w14:textId="77777777" w:rsidR="00D6417C" w:rsidRPr="00047543" w:rsidRDefault="00D6417C" w:rsidP="00D44B17">
      <w:pPr>
        <w:rPr>
          <w:noProof/>
        </w:rPr>
      </w:pPr>
    </w:p>
    <w:p w14:paraId="19BDD8E7" w14:textId="77777777" w:rsidR="00D44B17" w:rsidRPr="00047543" w:rsidRDefault="00D44B17" w:rsidP="00D44B17">
      <w:pPr>
        <w:spacing w:before="0" w:after="160" w:line="278" w:lineRule="auto"/>
        <w:rPr>
          <w:b/>
          <w:bCs/>
          <w:noProof/>
          <w:u w:val="single"/>
        </w:rPr>
      </w:pPr>
      <w:r w:rsidRPr="00047543">
        <w:rPr>
          <w:b/>
          <w:bCs/>
          <w:noProof/>
          <w:u w:val="single"/>
        </w:rPr>
        <w:t>PEPP-produkter på arbetsplatsen</w:t>
      </w:r>
      <w:r w:rsidRPr="00047543">
        <w:rPr>
          <w:noProof/>
          <w:u w:val="single"/>
        </w:rPr>
        <w:t xml:space="preserve"> (artiklarna 33, 39a, 47 och 57 i PEPP-förordningen)</w:t>
      </w:r>
    </w:p>
    <w:p w14:paraId="2336CC2B" w14:textId="3D7DDD05" w:rsidR="00D44B17" w:rsidRPr="00047543" w:rsidRDefault="00D44B17" w:rsidP="00D44B17">
      <w:pPr>
        <w:spacing w:before="0" w:after="160" w:line="278" w:lineRule="auto"/>
        <w:rPr>
          <w:noProof/>
        </w:rPr>
      </w:pPr>
      <w:r w:rsidRPr="00047543">
        <w:rPr>
          <w:noProof/>
        </w:rPr>
        <w:t>Enligt förslaget ska medlemsstaterna inte hindra arbetsgivaravgifter till en PEPP-produkt, inklusive i system för automatisk registrering, med förbehåll för nationell social- och arbetsmarknadslagstiftning. I fråga om automatisk registrering, där detta tillåts enligt nationell social- och arbetsmarknadslagstiftning, kan arbetsgivarna fastställa standardiserade utbetalningsvägar.</w:t>
      </w:r>
    </w:p>
    <w:p w14:paraId="08435495" w14:textId="77777777" w:rsidR="00D44B17" w:rsidRPr="00047543" w:rsidRDefault="00D44B17" w:rsidP="00D44B17">
      <w:pPr>
        <w:spacing w:before="0" w:after="160" w:line="278" w:lineRule="auto"/>
        <w:rPr>
          <w:noProof/>
        </w:rPr>
      </w:pPr>
      <w:r w:rsidRPr="00047543">
        <w:rPr>
          <w:noProof/>
        </w:rPr>
        <w:t>Arbetsgivare ska omedelbart vidarebefordra nyckelinformation, inklusive faktabladet, till de anställda vid automatisk registrering. PEPP-pensionsbesked för PEPP-produkter på arbetsplatsen ska dessutom innehålla information om arbetsgivaravgifter samt kumulativa kostnader.</w:t>
      </w:r>
    </w:p>
    <w:p w14:paraId="1A108C22" w14:textId="77777777" w:rsidR="00D6417C" w:rsidRPr="00047543" w:rsidRDefault="00D6417C" w:rsidP="00D44B17">
      <w:pPr>
        <w:spacing w:before="0" w:after="160" w:line="278" w:lineRule="auto"/>
        <w:rPr>
          <w:noProof/>
        </w:rPr>
      </w:pPr>
    </w:p>
    <w:p w14:paraId="07DCAA14" w14:textId="77777777" w:rsidR="00D44B17" w:rsidRPr="00047543" w:rsidRDefault="00D44B17" w:rsidP="00D44B17">
      <w:pPr>
        <w:spacing w:before="0" w:after="160" w:line="278" w:lineRule="auto"/>
        <w:rPr>
          <w:b/>
          <w:bCs/>
          <w:noProof/>
          <w:u w:val="single"/>
        </w:rPr>
      </w:pPr>
      <w:r w:rsidRPr="00047543">
        <w:rPr>
          <w:b/>
          <w:bCs/>
          <w:noProof/>
          <w:u w:val="single"/>
        </w:rPr>
        <w:t>System för insamling av pensionsuppgifter</w:t>
      </w:r>
      <w:r w:rsidRPr="00047543">
        <w:rPr>
          <w:noProof/>
          <w:u w:val="single"/>
        </w:rPr>
        <w:t xml:space="preserve"> (artikel 51a i PEPP-förordningen)</w:t>
      </w:r>
    </w:p>
    <w:p w14:paraId="37757DCF" w14:textId="77777777" w:rsidR="00D44B17" w:rsidRPr="00047543" w:rsidRDefault="00D44B17" w:rsidP="00D44B17">
      <w:pPr>
        <w:spacing w:before="0" w:after="160" w:line="278" w:lineRule="auto"/>
        <w:rPr>
          <w:noProof/>
        </w:rPr>
      </w:pPr>
      <w:r w:rsidRPr="00047543">
        <w:rPr>
          <w:noProof/>
        </w:rPr>
        <w:t>PEPP-sparinstitut och PEPP-distributörer måste överföra all nödvändig information till system för insamling av pensionsuppgifter i ett standardiserat och interoperabelt format som möjliggör en exakt aggregering av ackumulerat värde, intjänade rättigheter och beräknade förmåner. PEPP-sparinstitut förblir fullt ansvariga för uppgifternas riktighet.</w:t>
      </w:r>
    </w:p>
    <w:p w14:paraId="31683F0C" w14:textId="77777777" w:rsidR="00D6417C" w:rsidRPr="00047543" w:rsidRDefault="00D6417C" w:rsidP="00D44B17">
      <w:pPr>
        <w:spacing w:before="0" w:after="160" w:line="278" w:lineRule="auto"/>
        <w:rPr>
          <w:noProof/>
        </w:rPr>
      </w:pPr>
    </w:p>
    <w:p w14:paraId="074788D4" w14:textId="77777777" w:rsidR="00D44B17" w:rsidRPr="00047543" w:rsidRDefault="00D44B17" w:rsidP="00D44B17">
      <w:pPr>
        <w:spacing w:before="0" w:after="160" w:line="278" w:lineRule="auto"/>
        <w:rPr>
          <w:b/>
          <w:bCs/>
          <w:noProof/>
          <w:u w:val="single"/>
        </w:rPr>
      </w:pPr>
      <w:r w:rsidRPr="00047543">
        <w:rPr>
          <w:b/>
          <w:bCs/>
          <w:noProof/>
          <w:u w:val="single"/>
        </w:rPr>
        <w:t>Rättigheter avseende byten och överföringar</w:t>
      </w:r>
      <w:r w:rsidRPr="00047543">
        <w:rPr>
          <w:noProof/>
          <w:u w:val="single"/>
        </w:rPr>
        <w:t xml:space="preserve"> (artiklarna 56a och 56b i PEPP-förordningen)</w:t>
      </w:r>
    </w:p>
    <w:p w14:paraId="5E58DBD8" w14:textId="77777777" w:rsidR="00D44B17" w:rsidRPr="00047543" w:rsidRDefault="00D44B17" w:rsidP="00D44B17">
      <w:pPr>
        <w:spacing w:before="0" w:after="160" w:line="278" w:lineRule="auto"/>
        <w:rPr>
          <w:noProof/>
        </w:rPr>
      </w:pPr>
      <w:r w:rsidRPr="00047543">
        <w:rPr>
          <w:noProof/>
        </w:rPr>
        <w:t>Ändringarna säkerställer att PEPP-sparare har rätt att utan dröjsmål eller kostnad överföra sina besparingar till en annan PEPP-produkt eller till en nationell privat pensionsprodukt om deras PEPP-produkt avregistreras. Medlemsstaterna måste förhindra diskriminerande hinder för sådana överföringar.</w:t>
      </w:r>
    </w:p>
    <w:p w14:paraId="11F6DB77" w14:textId="77777777" w:rsidR="00D6417C" w:rsidRPr="00047543" w:rsidRDefault="00D6417C" w:rsidP="00D44B17">
      <w:pPr>
        <w:spacing w:before="0" w:after="160" w:line="278" w:lineRule="auto"/>
        <w:rPr>
          <w:noProof/>
        </w:rPr>
      </w:pPr>
    </w:p>
    <w:p w14:paraId="464E3095" w14:textId="77777777" w:rsidR="00D44B17" w:rsidRPr="00047543" w:rsidRDefault="00D44B17" w:rsidP="00D44B17">
      <w:pPr>
        <w:spacing w:before="0" w:after="160" w:line="278" w:lineRule="auto"/>
        <w:rPr>
          <w:b/>
          <w:bCs/>
          <w:noProof/>
          <w:u w:val="single"/>
        </w:rPr>
      </w:pPr>
      <w:r w:rsidRPr="00047543">
        <w:rPr>
          <w:b/>
          <w:bCs/>
          <w:noProof/>
          <w:u w:val="single"/>
        </w:rPr>
        <w:t>Tillsynsbefogenheter</w:t>
      </w:r>
      <w:r w:rsidRPr="00047543">
        <w:rPr>
          <w:noProof/>
          <w:u w:val="single"/>
        </w:rPr>
        <w:t xml:space="preserve"> (artiklarna 63–65 i PEPP-förordningen)</w:t>
      </w:r>
    </w:p>
    <w:p w14:paraId="40AAA17D" w14:textId="77777777" w:rsidR="00D44B17" w:rsidRPr="00047543" w:rsidRDefault="00D44B17" w:rsidP="00D44B17">
      <w:pPr>
        <w:spacing w:before="0" w:after="160" w:line="278" w:lineRule="auto"/>
        <w:rPr>
          <w:noProof/>
        </w:rPr>
      </w:pPr>
      <w:r w:rsidRPr="00047543">
        <w:rPr>
          <w:noProof/>
        </w:rPr>
        <w:t>Behöriga myndigheter får förbjuda eller begränsa PEPP-distributionen vid konsekvent underlåtenhet att tillhandahålla valuta för pengarna. Eiopa får ingripa direkt i vissa fall. Eiopa får också inrätta samarbetsplattformar, lösa tvister eller begära gemensamma inspektioner i PEPP-spararnas intresse.</w:t>
      </w:r>
    </w:p>
    <w:p w14:paraId="6D021EAF" w14:textId="77777777" w:rsidR="0040501D" w:rsidRPr="00047543" w:rsidRDefault="0040501D">
      <w:pPr>
        <w:rPr>
          <w:noProof/>
        </w:rPr>
        <w:sectPr w:rsidR="0040501D" w:rsidRPr="00047543" w:rsidSect="003E44E5">
          <w:headerReference w:type="even" r:id="rId12"/>
          <w:footerReference w:type="even" r:id="rId13"/>
          <w:footerReference w:type="default" r:id="rId14"/>
          <w:headerReference w:type="first" r:id="rId15"/>
          <w:footerReference w:type="first" r:id="rId16"/>
          <w:pgSz w:w="11907" w:h="16839"/>
          <w:pgMar w:top="1134" w:right="1417" w:bottom="1134" w:left="1417" w:header="709" w:footer="709" w:gutter="0"/>
          <w:cols w:space="708"/>
          <w:docGrid w:linePitch="360"/>
        </w:sectPr>
      </w:pPr>
    </w:p>
    <w:p w14:paraId="58315F8B" w14:textId="27EAAD87" w:rsidR="00DC58CE" w:rsidRPr="00047543" w:rsidRDefault="00047543" w:rsidP="00047543">
      <w:pPr>
        <w:pStyle w:val="Rfrenceinterinstitutionnelle"/>
        <w:rPr>
          <w:noProof/>
        </w:rPr>
      </w:pPr>
      <w:r>
        <w:rPr>
          <w:noProof/>
        </w:rPr>
        <w:t>2025/0363 (COD)</w:t>
      </w:r>
    </w:p>
    <w:p w14:paraId="05601D75" w14:textId="0AF4EAFA" w:rsidR="0040501D" w:rsidRPr="00047543" w:rsidRDefault="00047543" w:rsidP="00047543">
      <w:pPr>
        <w:pStyle w:val="Statut"/>
        <w:rPr>
          <w:noProof/>
        </w:rPr>
      </w:pPr>
      <w:r w:rsidRPr="00047543">
        <w:rPr>
          <w:noProof/>
        </w:rPr>
        <w:t>Förslag till</w:t>
      </w:r>
    </w:p>
    <w:p w14:paraId="5356CAF9" w14:textId="6E8CFD6F" w:rsidR="0040501D" w:rsidRPr="00047543" w:rsidRDefault="00047543" w:rsidP="00047543">
      <w:pPr>
        <w:pStyle w:val="Typedudocument"/>
        <w:rPr>
          <w:noProof/>
        </w:rPr>
      </w:pPr>
      <w:r w:rsidRPr="00047543">
        <w:rPr>
          <w:noProof/>
        </w:rPr>
        <w:t>EUROPAPARLAMENTETS OCH RÅDETS FÖRORDNING</w:t>
      </w:r>
    </w:p>
    <w:p w14:paraId="43B59882" w14:textId="01EB061A" w:rsidR="0040501D" w:rsidRPr="00047543" w:rsidRDefault="00047543" w:rsidP="00047543">
      <w:pPr>
        <w:pStyle w:val="Titreobjet"/>
        <w:rPr>
          <w:noProof/>
        </w:rPr>
      </w:pPr>
      <w:r w:rsidRPr="00047543">
        <w:rPr>
          <w:noProof/>
        </w:rPr>
        <w:t>om ändring av förordning (EU) 2019/1238 om en paneuropeisk privat pensionsprodukt (PEPP-produkt)</w:t>
      </w:r>
    </w:p>
    <w:p w14:paraId="28A89C34" w14:textId="6849A00D" w:rsidR="0040501D" w:rsidRPr="00047543" w:rsidRDefault="00047543" w:rsidP="00047543">
      <w:pPr>
        <w:pStyle w:val="IntrtEEE"/>
        <w:rPr>
          <w:noProof/>
        </w:rPr>
      </w:pPr>
      <w:r w:rsidRPr="00047543">
        <w:rPr>
          <w:noProof/>
        </w:rPr>
        <w:t>(Text av betydelse för EES)</w:t>
      </w:r>
    </w:p>
    <w:p w14:paraId="677D3CB9" w14:textId="77777777" w:rsidR="0040501D" w:rsidRPr="00047543" w:rsidRDefault="0040501D">
      <w:pPr>
        <w:pStyle w:val="Institutionquiagit"/>
        <w:rPr>
          <w:noProof/>
        </w:rPr>
      </w:pPr>
      <w:r w:rsidRPr="00047543">
        <w:rPr>
          <w:noProof/>
        </w:rPr>
        <w:t>EUROPAPARLAMENTET OCH EUROPEISKA UNIONENS RÅD HAR ANTAGIT DENNA FÖRORDNING</w:t>
      </w:r>
    </w:p>
    <w:p w14:paraId="4A8F6A23" w14:textId="77777777" w:rsidR="0040501D" w:rsidRPr="00047543" w:rsidRDefault="0040501D">
      <w:pPr>
        <w:rPr>
          <w:noProof/>
        </w:rPr>
      </w:pPr>
      <w:r w:rsidRPr="00047543">
        <w:rPr>
          <w:noProof/>
        </w:rPr>
        <w:t>med beaktande av fördraget om Europeiska unionens funktionssätt, särskilt artikel 114,</w:t>
      </w:r>
    </w:p>
    <w:p w14:paraId="7AE78DE3" w14:textId="77777777" w:rsidR="0040501D" w:rsidRPr="00047543" w:rsidRDefault="0040501D">
      <w:pPr>
        <w:rPr>
          <w:noProof/>
        </w:rPr>
      </w:pPr>
      <w:r w:rsidRPr="00047543">
        <w:rPr>
          <w:noProof/>
        </w:rPr>
        <w:t>med beaktande av Europeiska kommissionens förslag,</w:t>
      </w:r>
    </w:p>
    <w:p w14:paraId="026F4C2C" w14:textId="79050E96" w:rsidR="0039513E" w:rsidRPr="00047543" w:rsidRDefault="0039513E" w:rsidP="000C1C8F">
      <w:pPr>
        <w:rPr>
          <w:noProof/>
        </w:rPr>
      </w:pPr>
      <w:r w:rsidRPr="00047543">
        <w:rPr>
          <w:noProof/>
        </w:rPr>
        <w:t>efter översändande av utkastet till lagstiftningsakt till de nationella parlamenten,</w:t>
      </w:r>
    </w:p>
    <w:p w14:paraId="5AD6FC5F" w14:textId="30DBFC6A" w:rsidR="000C1C8F" w:rsidRPr="00047543" w:rsidRDefault="000C1C8F" w:rsidP="000C1C8F">
      <w:pPr>
        <w:rPr>
          <w:noProof/>
        </w:rPr>
      </w:pPr>
      <w:r w:rsidRPr="00047543">
        <w:rPr>
          <w:noProof/>
        </w:rPr>
        <w:t>med beaktande av Europeiska ekonomiska och sociala kommitténs yttrande</w:t>
      </w:r>
      <w:r w:rsidRPr="00047543">
        <w:rPr>
          <w:rStyle w:val="FootnoteReference"/>
          <w:noProof/>
        </w:rPr>
        <w:footnoteReference w:id="25"/>
      </w:r>
      <w:r w:rsidRPr="00047543">
        <w:rPr>
          <w:noProof/>
        </w:rPr>
        <w:t>,</w:t>
      </w:r>
    </w:p>
    <w:p w14:paraId="1731103B" w14:textId="06DD7EBD" w:rsidR="000C1C8F" w:rsidRPr="00047543" w:rsidRDefault="000C1C8F">
      <w:pPr>
        <w:rPr>
          <w:noProof/>
        </w:rPr>
      </w:pPr>
      <w:r w:rsidRPr="00047543">
        <w:rPr>
          <w:noProof/>
        </w:rPr>
        <w:t>efter att ha hört Europeiska datatillsynsmannen,</w:t>
      </w:r>
    </w:p>
    <w:p w14:paraId="203B411E" w14:textId="77777777" w:rsidR="005C40C7" w:rsidRPr="00047543" w:rsidRDefault="0040501D">
      <w:pPr>
        <w:rPr>
          <w:noProof/>
        </w:rPr>
      </w:pPr>
      <w:r w:rsidRPr="00047543">
        <w:rPr>
          <w:noProof/>
        </w:rPr>
        <w:t>i enlighet med det ordinarie lagstiftningsförfarandet</w:t>
      </w:r>
      <w:r w:rsidRPr="00047543">
        <w:rPr>
          <w:rStyle w:val="FootnoteReference"/>
          <w:noProof/>
        </w:rPr>
        <w:footnoteReference w:id="26"/>
      </w:r>
      <w:r w:rsidRPr="00047543">
        <w:rPr>
          <w:noProof/>
        </w:rPr>
        <w:t>, och</w:t>
      </w:r>
    </w:p>
    <w:p w14:paraId="1C3DD4EC" w14:textId="77777777" w:rsidR="0040501D" w:rsidRPr="00047543" w:rsidRDefault="0040501D">
      <w:pPr>
        <w:rPr>
          <w:noProof/>
        </w:rPr>
      </w:pPr>
      <w:r w:rsidRPr="00047543">
        <w:rPr>
          <w:noProof/>
        </w:rPr>
        <w:t>av följande skäl:</w:t>
      </w:r>
    </w:p>
    <w:p w14:paraId="0B1E1DFB" w14:textId="77777777" w:rsidR="00444B57" w:rsidRPr="00047543" w:rsidRDefault="00766863" w:rsidP="00A55DAF">
      <w:pPr>
        <w:pStyle w:val="ManualConsidrant"/>
        <w:rPr>
          <w:noProof/>
        </w:rPr>
      </w:pPr>
      <w:r>
        <w:rPr>
          <w:noProof/>
        </w:rPr>
        <w:t>(1)</w:t>
      </w:r>
      <w:r>
        <w:rPr>
          <w:noProof/>
        </w:rPr>
        <w:tab/>
      </w:r>
      <w:r w:rsidRPr="00047543">
        <w:rPr>
          <w:noProof/>
        </w:rPr>
        <w:t>Mot bakgrund av den åldrande befolkningen i Europeiska unionen och den stigande demografiska försörjningskvoten har det blivit nödvändigt att stärka kompletterande källor till pensionsinkomster för att bevara solidariteten mellan generationerna, den sociala sammanhållningen och den långsiktiga stabiliteten i pensionssystem med flera nivåer i hela unionen.</w:t>
      </w:r>
    </w:p>
    <w:p w14:paraId="1D70DB29" w14:textId="77777777" w:rsidR="00ED1FA9" w:rsidRPr="00047543" w:rsidRDefault="00ED1FA9" w:rsidP="00A55DAF">
      <w:pPr>
        <w:pStyle w:val="ManualConsidrant"/>
        <w:rPr>
          <w:noProof/>
        </w:rPr>
      </w:pPr>
      <w:r>
        <w:rPr>
          <w:noProof/>
        </w:rPr>
        <w:t>(2)</w:t>
      </w:r>
      <w:r>
        <w:rPr>
          <w:noProof/>
        </w:rPr>
        <w:tab/>
      </w:r>
      <w:r w:rsidRPr="00047543">
        <w:rPr>
          <w:noProof/>
        </w:rPr>
        <w:t>Pensionssystemens organisation är fortfarande en nationell behörighet, men pensionernas tillräcklighet och finansiella hållbarhet är av gemensamt intresse för unionens stabilitet och sammanhållning. Att säkerställa att medborgarna har tillgång till väl utformade privata pensionsprodukter bidrar både till individuell ekonomisk säkerhet och till motståndskraften i unionens ekonomi.</w:t>
      </w:r>
    </w:p>
    <w:p w14:paraId="0D94777C" w14:textId="77777777" w:rsidR="00ED1FA9" w:rsidRPr="00047543" w:rsidRDefault="00ED1FA9" w:rsidP="00ED1FA9">
      <w:pPr>
        <w:pStyle w:val="ManualConsidrant"/>
        <w:rPr>
          <w:noProof/>
        </w:rPr>
      </w:pPr>
      <w:r>
        <w:rPr>
          <w:noProof/>
        </w:rPr>
        <w:t>(3)</w:t>
      </w:r>
      <w:r>
        <w:rPr>
          <w:noProof/>
        </w:rPr>
        <w:tab/>
      </w:r>
      <w:r w:rsidRPr="00047543">
        <w:rPr>
          <w:noProof/>
        </w:rPr>
        <w:t xml:space="preserve">Trots att unionshushållen är bland världens största sparare har de fortfarande en stor del av sin finansiella förmögenhet i kortfristig bankinlåning med begränsad avkastning. Att utveckla attraktiva tjänstepensionsprodukter och privata pensionsprodukter kan bidra till att mobilisera en del av dessa sparmedel för långsiktiga investeringar, vilket ger högre avkastning för spararna och motsvarar deras pensionsbehov. </w:t>
      </w:r>
    </w:p>
    <w:p w14:paraId="13B87D62" w14:textId="77777777" w:rsidR="00A46B64" w:rsidRPr="00047543" w:rsidRDefault="00F30FDA" w:rsidP="004B36C6">
      <w:pPr>
        <w:pStyle w:val="ManualConsidrant"/>
        <w:rPr>
          <w:noProof/>
        </w:rPr>
      </w:pPr>
      <w:r>
        <w:rPr>
          <w:noProof/>
        </w:rPr>
        <w:t>(4)</w:t>
      </w:r>
      <w:r>
        <w:rPr>
          <w:noProof/>
        </w:rPr>
        <w:tab/>
      </w:r>
      <w:r w:rsidRPr="00047543">
        <w:rPr>
          <w:noProof/>
        </w:rPr>
        <w:t xml:space="preserve">Privata pensioner utgör en viktig länk mellan långsiktiga sparare och långsiktiga investeringsmöjligheter, vilket bidrar till att fördjupa kapitalmarknaderna och öka tillgången på stabil finansiering för den reala ekonomin. Pensionsfonder utgör en betydande kategori institutionella investerare som kan bidra till finansiering av produktiva investeringar och stödja tillväxt, innovation samt den gröna och den digitala omställningen, vilket i sin tur skapar bättre arbetsmöjligheter och högre produktivitet. </w:t>
      </w:r>
    </w:p>
    <w:p w14:paraId="27AEC7F5" w14:textId="77777777" w:rsidR="005B7AFE" w:rsidRPr="00047543" w:rsidRDefault="005B7AFE" w:rsidP="005B7AFE">
      <w:pPr>
        <w:pStyle w:val="ManualConsidrant"/>
        <w:rPr>
          <w:noProof/>
        </w:rPr>
      </w:pPr>
      <w:r>
        <w:rPr>
          <w:noProof/>
        </w:rPr>
        <w:t>(5)</w:t>
      </w:r>
      <w:r>
        <w:rPr>
          <w:noProof/>
        </w:rPr>
        <w:tab/>
      </w:r>
      <w:r w:rsidRPr="00047543">
        <w:rPr>
          <w:noProof/>
        </w:rPr>
        <w:t>Kommissionen tillkännagav i sitt meddelande av den 19 mars 2015</w:t>
      </w:r>
      <w:r w:rsidRPr="00047543">
        <w:rPr>
          <w:rStyle w:val="FootnoteReference"/>
          <w:noProof/>
        </w:rPr>
        <w:footnoteReference w:id="27"/>
      </w:r>
      <w:r w:rsidRPr="00047543">
        <w:rPr>
          <w:noProof/>
        </w:rPr>
        <w:t xml:space="preserve"> att spar- och investeringsunionen ska göra det möjligt för medborgarna att spara och investera för sin framtid, kanalisera investeringar till unionens prioriteringar, fördjupa integrationen och skaleffekterna på unionens kapitalmarknader och säkerställa effektiv tillsyn över den inre marknaden. Att hjälpa medborgarna att spara och investera för sin framtid är en av de fyra delarna av den europeiska spar- och investeringsunions ambitioner. Att se till att unionsmedborgarna kan bygga upp tillräckliga pensionsinkomster är ett av de mest konkreta sätten för unionen att göra skillnad i människors liv. Arbetet med kompletterande pensioner, särskilt privata pensioner, är ett uttryck för detta medborgarcentrerade synsätt. Den paneuropeiska privata pensionsprodukten (</w:t>
      </w:r>
      <w:r w:rsidRPr="00047543">
        <w:rPr>
          <w:i/>
          <w:iCs/>
          <w:noProof/>
        </w:rPr>
        <w:t>PEPP-produkt</w:t>
      </w:r>
      <w:r w:rsidRPr="00047543">
        <w:rPr>
          <w:noProof/>
        </w:rPr>
        <w:t>) är utformad för att ge unionsmedborgare tillgång till en enkel, transparent och portabel produkt som de kan lita på, vilket hjälper dem att spara med förtroende och planera för sin pension oavsett var de bor eller arbetar inom unionen. Genom att blåsa nytt liv i regelverket för PEPP-produkten strävar unionen inte bara efter att stärka medborgarnas ekonomiska trygghet, utan även efter att kanalisera långsiktigt sparande till produktiva investeringar som stöder unionens tillväxt och motståndskraft samt den gröna och den digitala omställningen.</w:t>
      </w:r>
    </w:p>
    <w:p w14:paraId="7739D40C" w14:textId="77777777" w:rsidR="005C40C7" w:rsidRPr="00047543" w:rsidRDefault="008815E9" w:rsidP="004B36C6">
      <w:pPr>
        <w:pStyle w:val="ManualConsidrant"/>
        <w:rPr>
          <w:noProof/>
        </w:rPr>
      </w:pPr>
      <w:r>
        <w:rPr>
          <w:noProof/>
        </w:rPr>
        <w:t>(6)</w:t>
      </w:r>
      <w:r>
        <w:rPr>
          <w:noProof/>
        </w:rPr>
        <w:tab/>
      </w:r>
      <w:r w:rsidRPr="00047543">
        <w:rPr>
          <w:noProof/>
        </w:rPr>
        <w:t>Erfarenheter av den paneuropeiska privata pensionsprodukten (</w:t>
      </w:r>
      <w:r w:rsidRPr="00047543">
        <w:rPr>
          <w:i/>
          <w:iCs/>
          <w:noProof/>
        </w:rPr>
        <w:t>PEPP-produkt</w:t>
      </w:r>
      <w:r w:rsidRPr="00047543">
        <w:rPr>
          <w:noProof/>
        </w:rPr>
        <w:t>), som infördes genom Europaparlamentets och rådets förordning (EU) 2019/1238</w:t>
      </w:r>
      <w:r w:rsidRPr="00047543">
        <w:rPr>
          <w:rStyle w:val="FootnoteReference"/>
          <w:noProof/>
        </w:rPr>
        <w:footnoteReference w:id="28"/>
      </w:r>
      <w:r w:rsidRPr="00047543">
        <w:rPr>
          <w:noProof/>
        </w:rPr>
        <w:t xml:space="preserve">, har visat på mycket begränsat utnyttjande, med endast två aktiva tillhandahållare i hela unionen vid slutet av 2025. </w:t>
      </w:r>
    </w:p>
    <w:p w14:paraId="0088CC98" w14:textId="77777777" w:rsidR="004B36C6" w:rsidRPr="00047543" w:rsidRDefault="004B36C6" w:rsidP="004B36C6">
      <w:pPr>
        <w:pStyle w:val="ManualConsidrant"/>
        <w:rPr>
          <w:noProof/>
        </w:rPr>
      </w:pPr>
      <w:r>
        <w:rPr>
          <w:noProof/>
        </w:rPr>
        <w:t>(7)</w:t>
      </w:r>
      <w:r>
        <w:rPr>
          <w:noProof/>
        </w:rPr>
        <w:tab/>
      </w:r>
      <w:r w:rsidRPr="00047543">
        <w:rPr>
          <w:noProof/>
        </w:rPr>
        <w:t>I sina slutsatser den 20 mars 2025</w:t>
      </w:r>
      <w:r w:rsidRPr="00047543">
        <w:rPr>
          <w:rStyle w:val="FootnoteReference"/>
          <w:noProof/>
        </w:rPr>
        <w:footnoteReference w:id="29"/>
      </w:r>
      <w:r w:rsidRPr="00047543">
        <w:rPr>
          <w:noProof/>
        </w:rPr>
        <w:t xml:space="preserve"> uppmanade Europeiska rådet kommissionen att snabbt föreslå förbättringar av den befintliga paneuropeiska privata pensionsprodukten under 2025. </w:t>
      </w:r>
    </w:p>
    <w:p w14:paraId="1B1D9CFE" w14:textId="77777777" w:rsidR="00D05860" w:rsidRPr="00047543" w:rsidRDefault="00D05860" w:rsidP="00D05860">
      <w:pPr>
        <w:pStyle w:val="ManualConsidrant"/>
        <w:rPr>
          <w:noProof/>
        </w:rPr>
      </w:pPr>
      <w:r>
        <w:rPr>
          <w:noProof/>
        </w:rPr>
        <w:t>(8)</w:t>
      </w:r>
      <w:r>
        <w:rPr>
          <w:noProof/>
        </w:rPr>
        <w:tab/>
      </w:r>
      <w:r w:rsidRPr="00047543">
        <w:rPr>
          <w:noProof/>
        </w:rPr>
        <w:t>För att återuppliva de ursprungliga målen med förordning (EU) 2019/1238, inklusive förbättringen av lika villkor för tillhandahållare av privata pensioner och integrationen av den inre marknaden för privata pensioner, samt för att stödja utvecklingen av hållbara pensionssparalternativ, är det nödvändigt att skapa ett mer flexibelt och innovationsvänligt ramverk. Ett sådant regelverk bör möjliggöra för PEPP-sparinstitut att erbjuda diversifierade och kostnadseffektiva produkter som ger valuta för pengarna och tillgodoser medborgarnas långsiktiga pensionsintressen, samt öka människors möjligheter till långsiktigt sparande i enlighet med deras finansieringsbehov vid pensionering.</w:t>
      </w:r>
    </w:p>
    <w:p w14:paraId="15DAA1C5" w14:textId="77777777" w:rsidR="000C1C8F" w:rsidRPr="00047543" w:rsidRDefault="000C1C8F" w:rsidP="000C1C8F">
      <w:pPr>
        <w:pStyle w:val="ManualConsidrant"/>
        <w:rPr>
          <w:noProof/>
        </w:rPr>
      </w:pPr>
      <w:r>
        <w:rPr>
          <w:noProof/>
        </w:rPr>
        <w:t>(9)</w:t>
      </w:r>
      <w:r>
        <w:rPr>
          <w:noProof/>
        </w:rPr>
        <w:tab/>
      </w:r>
      <w:r w:rsidRPr="00047543">
        <w:rPr>
          <w:noProof/>
        </w:rPr>
        <w:t>I flera medlemsstater spelar skatteincitament en viktig roll för att uppmuntra privata pensionsprodukter. Skatteincitament för privata pensionsprodukter kan utformas på olika sätt. I många medlemsstater berättigar inbetalningarna för privata pensionsprodukter till någon form av skattelättnad. På liknande sätt beskattas i många medlemsstater inte avkastningen på en privat pensionsprodukt genom att det antingen finns en uttrycklig skattebefrielse eller en de facto-skattebefrielse, om pensionsgivaren är skattskyldig men får dra av inbetalningarna till pensionsreserven från sitt beskattningsunderlag. Det kan även finnas skatteincitament under utbetalningsfasen genom att utbetalningarna av den privata pensionen blir föremål för en förmånlig beskattning. Principen om nationell behandling gäller för PEPP-sparare. Det bör därför vara möjligt för en PEPP-produkt som objektivt kan jämföras med en privat pensionsprodukt som marknadsförs i en viss medlemsstat att omfattas av samma skattelättnad som ges till den privata pensionsprodukten i den medlemsstaten. Detta bör även gälla när PEPP-produkten tillhandahålls av en tillhandahållare från en annan medlemsstat. Samma behandling som inte är mindre gynnsam bör även gälla åtgärder enligt nationell lagstiftning som rör andra incitament för privata pensionsprodukter eller åtgärder med motsvarande syfte eller effekt.</w:t>
      </w:r>
    </w:p>
    <w:p w14:paraId="71B3B2AE" w14:textId="7F7CAD0C" w:rsidR="000C1C8F" w:rsidRPr="00047543" w:rsidRDefault="000C1C8F" w:rsidP="000C1C8F">
      <w:pPr>
        <w:pStyle w:val="ManualConsidrant"/>
        <w:rPr>
          <w:noProof/>
        </w:rPr>
      </w:pPr>
      <w:r>
        <w:rPr>
          <w:noProof/>
        </w:rPr>
        <w:t>(10)</w:t>
      </w:r>
      <w:r>
        <w:rPr>
          <w:noProof/>
        </w:rPr>
        <w:tab/>
      </w:r>
      <w:r w:rsidRPr="00047543">
        <w:rPr>
          <w:noProof/>
        </w:rPr>
        <w:t>För att främja utnyttjandet av PEPP-produkter är det avgörande att en PEPP-produkt ger valuta för pengarna till spararna och därigenom är attraktiv och konkurrenskraftig. För att säkerställa att potentiella PEPP-sparinstitut utformar produkter i linje med dessa mål bör ansökan om registrering av en PEPP-produkt visa kapacitet att uppfylla produktövervaknings- och styrningskraven samt redogöra för hur produkten är utformad för att ge valuta för pengarna till PEPP-spararna.</w:t>
      </w:r>
    </w:p>
    <w:p w14:paraId="1EF5CA4C" w14:textId="77777777" w:rsidR="00FC472E" w:rsidRPr="00047543" w:rsidRDefault="00B232F8" w:rsidP="00897704">
      <w:pPr>
        <w:pStyle w:val="ManualConsidrant"/>
        <w:rPr>
          <w:noProof/>
        </w:rPr>
      </w:pPr>
      <w:r>
        <w:rPr>
          <w:noProof/>
        </w:rPr>
        <w:t>(11)</w:t>
      </w:r>
      <w:r>
        <w:rPr>
          <w:noProof/>
        </w:rPr>
        <w:tab/>
      </w:r>
      <w:r w:rsidRPr="00047543">
        <w:rPr>
          <w:noProof/>
        </w:rPr>
        <w:t>För att säkerställa att de mest kostnadseffektiva produkterna attraherar en växande andel av sparandet, och därigenom bidra till konsolidering och utveckling av sektorn för privata pensionsprodukter, bör konkurrensen på PEPP-marknaden främjas. För att stödja detta mål och hjälpa presumtiva sparare att fatta välgrundade beslut bör det centrala offentliga register som förs av Eiopa utökas till att omfatta information om tidigare kostnader och resultat för PEPP-produkter. Denna utökning bör genomföras utan att skapa onödiga rapporteringsbördor för PEPP-sparinstituten, eftersom relevant information redan finns tillgänglig i faktabladet. För att säkerställa korrekthet och jämförbarhet ska informationen i registret uppdateras minst en gång per år.</w:t>
      </w:r>
    </w:p>
    <w:p w14:paraId="00AD16AA" w14:textId="726031DD" w:rsidR="00D30388" w:rsidRPr="00047543" w:rsidRDefault="00C67E93" w:rsidP="00C67E93">
      <w:pPr>
        <w:pStyle w:val="ManualConsidrant"/>
        <w:rPr>
          <w:noProof/>
        </w:rPr>
      </w:pPr>
      <w:r>
        <w:rPr>
          <w:noProof/>
        </w:rPr>
        <w:t>(12)</w:t>
      </w:r>
      <w:r>
        <w:rPr>
          <w:noProof/>
        </w:rPr>
        <w:tab/>
      </w:r>
      <w:r w:rsidRPr="00047543">
        <w:rPr>
          <w:noProof/>
        </w:rPr>
        <w:t>Effektiv tillsyn av gränsöverskridande PEPP-produkter är avgörande för att upprätthålla förtroendet för PEPP-produkterna och skydda spararna. För att säkerställa en enhetlig tillämpning av unionens regler och hantera fall där den behöriga myndigheten i hemmedlemsstaten inte vidtar lämpliga åtgärder är det nödvändigt att ge Eiopa befogenhet att direkt ingripa i problematiska gränsöverskridande fall. Sådana befogenheter bör omfatta möjligheten att lösa tvister i enlighet med artikel 19 i Europaparlamentets och rådets förordning (EU) nr 1094/2010, vilket säkerställer en konsekvent och effektiv tillsyn i hela unionen, eller att kräva att hemmyndigheten organiserar en gemensam inspektion på plats tillsammans med värdmyndigheter och Eiopa för att snabbt hantera risker för PEPP-sparare.</w:t>
      </w:r>
    </w:p>
    <w:p w14:paraId="045A7002" w14:textId="77777777" w:rsidR="00897704" w:rsidRPr="00047543" w:rsidRDefault="00686AA4" w:rsidP="00ED1FA9">
      <w:pPr>
        <w:pStyle w:val="ManualConsidrant"/>
        <w:rPr>
          <w:noProof/>
        </w:rPr>
      </w:pPr>
      <w:r>
        <w:rPr>
          <w:noProof/>
        </w:rPr>
        <w:t>(13)</w:t>
      </w:r>
      <w:r>
        <w:rPr>
          <w:noProof/>
        </w:rPr>
        <w:tab/>
      </w:r>
      <w:r w:rsidRPr="00047543">
        <w:rPr>
          <w:noProof/>
        </w:rPr>
        <w:t>Enligt artikel 18.3 i förordning (EU) 2019/1238 ska varje PEPP-sparinstitut erbjuda nationella underkonton för minst två medlemsstater. Detta krav medför operativ komplexitet och hindrar utvecklingen och framtagningen av PEPP-produkter. Det gör också att PEPP-produkter i praktiken blir en nischprodukt som endast riktar sig till en liten del av unionens befolkning i arbetsför ålder som kan behöva en gränsöverskridande pensionsprodukt, vilket därmed begränsar potentialen för stordriftsfördelar. Av dessa skäl bör kravet på att erbjuda minst två underkonton tas bort.</w:t>
      </w:r>
    </w:p>
    <w:p w14:paraId="1C87B7D9" w14:textId="77777777" w:rsidR="001935F5" w:rsidRPr="00047543" w:rsidRDefault="001935F5" w:rsidP="00ED1FA9">
      <w:pPr>
        <w:pStyle w:val="ManualConsidrant"/>
        <w:rPr>
          <w:noProof/>
        </w:rPr>
      </w:pPr>
      <w:r>
        <w:rPr>
          <w:noProof/>
        </w:rPr>
        <w:t>(14)</w:t>
      </w:r>
      <w:r>
        <w:rPr>
          <w:noProof/>
        </w:rPr>
        <w:tab/>
      </w:r>
      <w:r w:rsidRPr="00047543">
        <w:rPr>
          <w:noProof/>
        </w:rPr>
        <w:t>Nivån på kostnader och avgifter för privata pensionsprodukter kan ha en betydande påverkan på spararnas slutliga pensionsutfall och är inte alltid transparent eller lätt att jämföra. Avsaknaden av tydliga och harmoniserade kriterier för att bedöma om kostnader är motiverade och proportionella i förhållande till den avkastning som erbjuds riskerar att undergräva förtroendet för PEPP-produkter och avskräcka från deltagande. Det är därför nödvändigt att inrätta en strukturerad ramverk som säkerställer valuta för pengarna, som säkerställer att PEPP-produkter ger rättvisa resultat för spararna och att kostnader och resultat är proportionella i förhållande till produktens egenskaper, mål och risk- och avkastningsprofil, och därmed ger god valuta för pengarna.</w:t>
      </w:r>
    </w:p>
    <w:p w14:paraId="1DA4BF60" w14:textId="77777777" w:rsidR="00B82EB1" w:rsidRPr="00047543" w:rsidRDefault="006A4946" w:rsidP="00ED1FA9">
      <w:pPr>
        <w:pStyle w:val="ManualConsidrant"/>
        <w:rPr>
          <w:noProof/>
        </w:rPr>
      </w:pPr>
      <w:r>
        <w:rPr>
          <w:noProof/>
        </w:rPr>
        <w:t>(15)</w:t>
      </w:r>
      <w:r>
        <w:rPr>
          <w:noProof/>
        </w:rPr>
        <w:tab/>
      </w:r>
      <w:r w:rsidRPr="00047543">
        <w:rPr>
          <w:noProof/>
        </w:rPr>
        <w:t>För att säkerställa att PEPP-produkter utformas och distribueras i spararnas bästa intresse bör bedömningen av valuta för pengarna integreras i den bredare ramen för produktövervakning och styrning. Produktgodkännandeprocessen bör identifiera målmarknaden, spararnas mål och behov samt visa, innan produkten godkänns för distribution, att de totala kostnaderna och avgifterna är motiverade och proportionella med hänsyn till de förväntade fördelarna och resultaten. För att bygga upp konsumenternas förtroende för PEPP-produkter bör en PEPP-produkt som inte uppfyller dessa kriterier inte godkännas, utvecklas eller distribueras.</w:t>
      </w:r>
    </w:p>
    <w:p w14:paraId="544E7A8C" w14:textId="59F8E6FA" w:rsidR="00E82B95" w:rsidRPr="00047543" w:rsidRDefault="00D01146" w:rsidP="00ED1FA9">
      <w:pPr>
        <w:pStyle w:val="ManualConsidrant"/>
        <w:rPr>
          <w:noProof/>
        </w:rPr>
      </w:pPr>
      <w:r>
        <w:rPr>
          <w:noProof/>
        </w:rPr>
        <w:t>(16)</w:t>
      </w:r>
      <w:r>
        <w:rPr>
          <w:noProof/>
        </w:rPr>
        <w:tab/>
      </w:r>
      <w:r w:rsidRPr="00047543">
        <w:rPr>
          <w:noProof/>
        </w:rPr>
        <w:t>För att säkerställa en hög nivå av skydd för PEPP-sparare och främja enhetlig lagstiftning bör produktövervaknings- och styrningskraven för PEPP-sparinstitut skärpas. Detta motiverar en anpassning till de krav som anges i direktiv (EU) 2016/97</w:t>
      </w:r>
      <w:r w:rsidRPr="00047543">
        <w:rPr>
          <w:rStyle w:val="FootnoteReference"/>
          <w:noProof/>
        </w:rPr>
        <w:footnoteReference w:id="30"/>
      </w:r>
      <w:r w:rsidRPr="00047543">
        <w:rPr>
          <w:noProof/>
        </w:rPr>
        <w:t>, i dess ändrade lydelse inom ramen för strategin för icke-professionella investeringar, och att PEPP-produkters särdrag som en långsiktig sparprodukt beaktas.</w:t>
      </w:r>
    </w:p>
    <w:p w14:paraId="61C0414C" w14:textId="77777777" w:rsidR="009038A8" w:rsidRPr="00047543" w:rsidRDefault="00996411" w:rsidP="00ED1FA9">
      <w:pPr>
        <w:pStyle w:val="ManualConsidrant"/>
        <w:rPr>
          <w:noProof/>
        </w:rPr>
      </w:pPr>
      <w:r>
        <w:rPr>
          <w:noProof/>
        </w:rPr>
        <w:t>(17)</w:t>
      </w:r>
      <w:r>
        <w:rPr>
          <w:noProof/>
        </w:rPr>
        <w:tab/>
      </w:r>
      <w:r w:rsidRPr="00047543">
        <w:rPr>
          <w:noProof/>
        </w:rPr>
        <w:t>Eftersom registreringen av en PEPP-produkt sker innan det är möjligt att fastställa om produkten faktiskt ger valuta för pengarna till spararna i praktiken, kan vissa PEPP-produkter i själva verket ge lägre valuta för pengarna än vad som ursprungligen angavs. Behöriga myndigheter bör ha befogenheter att övervaka utvecklingen och kunna kräva korrigerande åtgärder vid behov.</w:t>
      </w:r>
    </w:p>
    <w:p w14:paraId="2795E4CA" w14:textId="77777777" w:rsidR="00FC4D2C" w:rsidRPr="00047543" w:rsidRDefault="00FF5F4D" w:rsidP="00FC4D2C">
      <w:pPr>
        <w:pStyle w:val="ManualConsidrant"/>
        <w:rPr>
          <w:noProof/>
        </w:rPr>
      </w:pPr>
      <w:r>
        <w:rPr>
          <w:noProof/>
        </w:rPr>
        <w:t>(18)</w:t>
      </w:r>
      <w:r>
        <w:rPr>
          <w:noProof/>
        </w:rPr>
        <w:tab/>
      </w:r>
      <w:r w:rsidRPr="00047543">
        <w:rPr>
          <w:noProof/>
        </w:rPr>
        <w:t>Enligt artikel 42 i förordning (EU) 2019/1238 ska PEPP-sparinstitut distribuera bas-PEPP-produkter om de även vill distribuera alternativa varianter. Det kravet begränsar vissa tillhandahållares möjlighet och intresse att distribuera PEPP-produkter, eftersom bas-PEPP-produkter kanske inte passar deras affärsmodell eller affärsstrategi. Dessutom begränsar den nuvarande maximala gränsen på fem alternativ tillhandahållarnas möjlighet att utforma produkter som återspeglar spararnas preferenser, omständigheter och riskprofiler. Att låta tillhandahållarna själva bestämma antal och typ av investeringsalternativ skulle göra det möjligt att erbjuda mer skräddarsydda lösningar, inklusive personliga PEPP-produkter anpassade för arbetsplatsarrangemang eller automatisk registrering. Det är därför nödvändigt att ge PEPP-sparinstituten större flexibilitet, samtidigt som transparens, jämförbarhet och konsumentskydd fortsatt säkerställs genom lämpliga krav på information och produktstyrning.</w:t>
      </w:r>
    </w:p>
    <w:p w14:paraId="3C76ED9A" w14:textId="3CC1F97C" w:rsidR="009E5334" w:rsidRPr="00047543" w:rsidRDefault="000F33C2" w:rsidP="00FC4D2C">
      <w:pPr>
        <w:pStyle w:val="ManualConsidrant"/>
        <w:rPr>
          <w:noProof/>
        </w:rPr>
      </w:pPr>
      <w:r>
        <w:rPr>
          <w:noProof/>
        </w:rPr>
        <w:t>(19)</w:t>
      </w:r>
      <w:r>
        <w:rPr>
          <w:noProof/>
        </w:rPr>
        <w:tab/>
      </w:r>
      <w:r w:rsidRPr="00047543">
        <w:rPr>
          <w:noProof/>
        </w:rPr>
        <w:t>Enligt Artikel 45.2 i förordning (EU) 2019/1238 ska bas-PEPP-produkten omfattas av ett tak för kostnader och avgifter på 1 %, medan artikel 34.2 i samma förordning ålägger ett PEPP-sparinstitut eller en PEPP-distributör att tillhandahålla rådgivning innan ett avtal om en bas-PEPP-produkt ingås. Dessa krav har väckt oro bland potentiella tillhandahållare och distributörer, eftersom de anses begränsa den kommersiella bärkraften för att erbjuda PEPP-produkter, inklusive via digitala kanaler. Dessutom är det fasta taket på 1 % för avgifter inte nödvändigtvis det mest effektiva sättet att skydda sparare och förmånstagare, och speglar inte ett proportionellt samband mellan de fördelar och den avkastning som erbjuds spararna, de kostnader tillhandahållaren bär och de avgifter som tas ut. Tillhandahållarna ådrar sig ofta förluster under de tidiga åren av ett avtal, när anskaffnings- och etableringskostnaderna är höga, medan spararna kan missgynnas av avgiftstaket under senare år då det ackumulerade kapitalet växer och de absoluta kostnaderna ökar, trots att mindre förvaltningsinsatser krävs. Avgiftstaket på 1 % kan också leda till ojämlika villkor på grund av skillnader i momsbehandling mellan medlemsstaterna. För att främja utnyttjandet av PEPP-produkter och säkerställa en hållbar produkt av hög kvalitet är det därför nödvändigt att ta bort dessa krav. För att bevara konsumentskyddet och säkerställa att bas-PEPP-produkten förblir en enkel produkt som är lämplig för pensionssparande bör den utformas med en inbyggd livscykelbaserad investeringsstrategi som ger en balanserad kombination av tillväxt och riskreducering. Av samma skäl bör tillgångarna i bas-PEPP-produkter huvudsakligen placeras i börsnoterade och icke-komplexa finansiella instrument, i den mening som avses i artikel 25.4 första stycket i Europaparlamentets och rådets direktiv 2014/65/EU</w:t>
      </w:r>
      <w:r w:rsidRPr="00047543">
        <w:rPr>
          <w:rStyle w:val="FootnoteReference"/>
          <w:noProof/>
        </w:rPr>
        <w:footnoteReference w:id="31"/>
      </w:r>
      <w:r w:rsidRPr="00047543">
        <w:rPr>
          <w:noProof/>
        </w:rPr>
        <w:t>. För att främja diversifiering samtidigt som enkelheten bibehålls bör tillhandahållare av bas-PEPP-produkter tillåtas placera en mindre del av tillgångarna, högst 5 %, i andra finansiella instrument, inklusive alternativa tillgångar.</w:t>
      </w:r>
    </w:p>
    <w:p w14:paraId="39860D14" w14:textId="788CDCC4" w:rsidR="6CF00319" w:rsidRPr="00047543" w:rsidRDefault="00045705" w:rsidP="6668C349">
      <w:pPr>
        <w:pStyle w:val="ManualConsidrant"/>
        <w:rPr>
          <w:noProof/>
        </w:rPr>
      </w:pPr>
      <w:r>
        <w:rPr>
          <w:noProof/>
        </w:rPr>
        <w:t>(20)</w:t>
      </w:r>
      <w:r>
        <w:rPr>
          <w:noProof/>
        </w:rPr>
        <w:tab/>
      </w:r>
      <w:r w:rsidRPr="00047543">
        <w:rPr>
          <w:noProof/>
        </w:rPr>
        <w:t>För att säkerställa rådgivningens kvalitet och värna om potentiella PEPP-sparares intressen bör all rådgivning som rör bas-PEPP-produkter ges på en oberoende grund och endast på kundens begäran. Med hänsyn både till bas-PEPP-produkters icke-komplexa karaktär och rådgivningens oberoende är det lämpligt att fastställa att PEPP-distributören, när sådan rådgivning ges, inte är skyldig att inhämta information om den potentiella spararens kunskaper och erfarenhet. Denna metod säkerställer att rådgivningen förblir objektiv, proportionell och effektiv för distributörerna, samtidigt som en hög nivå av investerarskydd upprätthålls och bas-PEPP-produkters tillgänglighet i hela unionen främjas genom olika distributionskanaler. För de skräddarsydda, mer sofistikerade PEPP-produkterna kvarstår rådgivningen som en central funktion för att kunna erbjuda presumtiva sparare den mest lämpliga och skräddarsydda lösningen, med beaktande av deras kunskaper, ekonomiska situation och riskbenägenhet.</w:t>
      </w:r>
    </w:p>
    <w:p w14:paraId="66B093D3" w14:textId="77777777" w:rsidR="009D0ACA" w:rsidRPr="00047543" w:rsidRDefault="0065364D" w:rsidP="00D85530">
      <w:pPr>
        <w:pStyle w:val="ManualConsidrant"/>
        <w:rPr>
          <w:noProof/>
        </w:rPr>
      </w:pPr>
      <w:r>
        <w:rPr>
          <w:noProof/>
        </w:rPr>
        <w:t>(21)</w:t>
      </w:r>
      <w:r>
        <w:rPr>
          <w:noProof/>
        </w:rPr>
        <w:tab/>
      </w:r>
      <w:r w:rsidRPr="00047543">
        <w:rPr>
          <w:noProof/>
        </w:rPr>
        <w:t xml:space="preserve">I artikel 41.1 i förordning (EU) 2019/1238 hänvisas för närvarande till aktsamhetsprincipen, som traditionellt har varit förknippad med en mer föreskrivande metod och detaljerat anger i vilka typer av tillgångar investeringar får göras. För att främja flexibilitet, innovation och effektiv portföljförvaltning, samtidigt som en hög skyddsnivå för spararna upprätthålls, bör denna regel ersättas av en aktsamhetsprincip som utgår från en principbaserad metod med fokus på korrekt identifiering, mätning, övervakning och hantering av risker. Enligt denna princip kan alla typer av tillgångar beaktas för investering, förutsatt att PEPP-sparinstitutet tillämpar lämpliga riskhanteringsmetoder och säkerställer att portföljen som helhet är i linje med PEPP-spararnas mål, riskprofil och bästa intressen. </w:t>
      </w:r>
    </w:p>
    <w:p w14:paraId="1F240482" w14:textId="77777777" w:rsidR="001B71BB" w:rsidRPr="00047543" w:rsidRDefault="001B71BB" w:rsidP="001B71BB">
      <w:pPr>
        <w:pStyle w:val="ManualConsidrant"/>
        <w:rPr>
          <w:noProof/>
        </w:rPr>
      </w:pPr>
      <w:r>
        <w:rPr>
          <w:noProof/>
        </w:rPr>
        <w:t>(22)</w:t>
      </w:r>
      <w:r>
        <w:rPr>
          <w:noProof/>
        </w:rPr>
        <w:tab/>
      </w:r>
      <w:r w:rsidRPr="00047543">
        <w:rPr>
          <w:noProof/>
        </w:rPr>
        <w:t>Arbetsgivarnas inbetalningar, inklusive via system för automatisk registrering, har visat sig vara effektiva för att övervinna beteendemässiga hinder för sparande, såsom tröghet eller bristande finansiell kompetens, samtidigt som de främjar förtroende, engagemang och deltagande i kompletterande pensioner. Ett uttryckligt erkännande av att arbetsgivare får göra frivilliga inbetalningar till en PEPP-produkt kan avsevärt öka synligheten, relevansen och utnyttjandet av PEPP-produkter, särskilt bland mindre gynnade grupper, inklusive låginkomsttagare, deltidsanställda och unga arbetstagare tidigt i karriären. På samma sätt kan arbetsgivare som väljer PEPP-produkter inom ramen för ett arbetsplatsarrangemang med automatisk registrering ytterligare stärka utnyttjandet av PEPP-produkter och ge anställda, särskilt i medlemsstater med mindre utvecklade tjänstepensionssystem, möjlighet att placera sina pensionssparanden i välreglerade och kostnadseffektiva produkter. Medlemsstaterna bör därför inte hindra arbetsgivare från att betala in till PEPP-produkter och bör säkerställa att sådana inbetalningar understöds av tydliga regler om information till arbetstagare. Utan att det påverkar PEPP-produkternas enskilda karaktär bör medlemsstaterna även kunna tillåta att PEPP-produkter erbjuds som en del av ett arbetsplatsarrangemang med automatisk registrering, i enlighet med nationell social- och arbetsmarknadslagstiftning, förenligt med pensionssystemens organisation och kollektivavtal, samt utan att påverka befintliga tjänstepensionsordningar. För att underlätta användningen av PEPP-produkter på arbetsplatser krävs flera ändringar av förordning (EU) 2019/1238, så att inga otillbörliga hinder begränsar arbetsgivarnas inbetalningar och för att anpassa den relevanta ramen till arbetsplatsarrangemangens särdrag.</w:t>
      </w:r>
    </w:p>
    <w:p w14:paraId="43CDB68F" w14:textId="77777777" w:rsidR="00CE73CD" w:rsidRPr="00047543" w:rsidRDefault="006A74D1" w:rsidP="00FC4D2C">
      <w:pPr>
        <w:pStyle w:val="ManualConsidrant"/>
        <w:rPr>
          <w:noProof/>
        </w:rPr>
      </w:pPr>
      <w:r>
        <w:rPr>
          <w:noProof/>
        </w:rPr>
        <w:t>(23)</w:t>
      </w:r>
      <w:r>
        <w:rPr>
          <w:noProof/>
        </w:rPr>
        <w:tab/>
      </w:r>
      <w:r w:rsidRPr="00047543">
        <w:rPr>
          <w:noProof/>
        </w:rPr>
        <w:t xml:space="preserve">Sparande i privata pensionsprodukter är av naturliga skäl långsiktigt. För att underlätta utnyttjandet av PEPP-produkter är det dock viktigt att medlemsstaterna inte hindrar överföring av annat pensionssparande till PEPP-produkter. För att göra sådana överföringar attraktiva bör medlemsstaterna säkerställa att PEPP-produkter inte omfattas av diskriminerande eller oproportionella ekonomiska eller administrativa hinder som gör en överföring till PEPP-produkter dyrare än överföringar mellan andra privata pensionsprodukter. Av samma skäl bör PEPP-produkter också åtnjuta samma skattemässiga behandling som jämförbara nationella privata pensionsprodukter. </w:t>
      </w:r>
    </w:p>
    <w:p w14:paraId="45E162CB" w14:textId="77777777" w:rsidR="006A74D1" w:rsidRPr="00047543" w:rsidRDefault="006A74D1" w:rsidP="00FC4D2C">
      <w:pPr>
        <w:pStyle w:val="ManualConsidrant"/>
        <w:rPr>
          <w:noProof/>
        </w:rPr>
      </w:pPr>
      <w:r>
        <w:rPr>
          <w:noProof/>
        </w:rPr>
        <w:t>(24)</w:t>
      </w:r>
      <w:r>
        <w:rPr>
          <w:noProof/>
        </w:rPr>
        <w:tab/>
      </w:r>
      <w:r w:rsidRPr="00047543">
        <w:rPr>
          <w:noProof/>
        </w:rPr>
        <w:t>Därutöver, när en PEPP-produkt har avregistrerats från det register som anges i artikel 8.1 i förordning (EU) 2019/1238, bör sparare och förmånstagare åtnjuta förstärkt skydd, inklusive rätten att byta till ett annat PEPP-sparinstitut eller överföra sitt ackumulerade kapital till en annan privat pensionsprodukt utan dröjsmål och kostnadsfritt.</w:t>
      </w:r>
    </w:p>
    <w:p w14:paraId="7297CD3A" w14:textId="77777777" w:rsidR="00387922" w:rsidRPr="00047543" w:rsidRDefault="00AA359B" w:rsidP="00FC4D2C">
      <w:pPr>
        <w:pStyle w:val="ManualConsidrant"/>
        <w:rPr>
          <w:noProof/>
        </w:rPr>
      </w:pPr>
      <w:r>
        <w:rPr>
          <w:noProof/>
        </w:rPr>
        <w:t>(25)</w:t>
      </w:r>
      <w:r>
        <w:rPr>
          <w:noProof/>
        </w:rPr>
        <w:tab/>
      </w:r>
      <w:r w:rsidRPr="00047543">
        <w:rPr>
          <w:noProof/>
        </w:rPr>
        <w:t>Enligt artikel 60 i förordning (EU) 2019/1238 ska PEPP-sparinstitut erbjuda sparare som investerar i en bas-PEPP-produkt personlig pensionsplanering för en hållbar användning av det kapital som ackumulerats i PEPP-produkten. Alla PEPP-sparare bör dock ha en tydlig förståelse av sin ekonomiska situation och de alternativ som finns tillgängliga när de närmar sig pensionering. Tillgång till aktuell och heltäckande rådgivning före pensionering är avgörande för att möjliggöra välgrundade beslut för spararna om hur pensionsinkomsterna ska förvaltas. Därför bör rådgivning före pensionering tillhandahållas för samtliga PEPP-sparare, inte bara de som investerar i bas-PEPP-produkter.</w:t>
      </w:r>
    </w:p>
    <w:p w14:paraId="44A90ED9" w14:textId="77777777" w:rsidR="005D0C7D" w:rsidRPr="00047543" w:rsidRDefault="005D0C7D" w:rsidP="00FC4D2C">
      <w:pPr>
        <w:pStyle w:val="ManualConsidrant"/>
        <w:rPr>
          <w:noProof/>
        </w:rPr>
      </w:pPr>
      <w:r>
        <w:rPr>
          <w:noProof/>
        </w:rPr>
        <w:t>(26)</w:t>
      </w:r>
      <w:r>
        <w:rPr>
          <w:noProof/>
        </w:rPr>
        <w:tab/>
      </w:r>
      <w:r w:rsidRPr="00047543">
        <w:rPr>
          <w:noProof/>
        </w:rPr>
        <w:t>När en PEPP-produkt distribueras över gränserna krävs effektiv tillsyn av PEPP-sparinstitut och PEPP-distributörer genom nära samarbete och konsekventa strategier bland behöriga myndigheter i hela unionen. Avvikelser i tillsynsåtgärder kan skapa osäkerhet för marknadsaktörerna och leda till en ojämn konsumentskyddsnivå. För att stärka tillsynssamordningen och säkerställa proportionella och konsekventa åtgärder när PEPP-sparares eller förmånstagares intressen kan vara i riskzonen, är det nödvändigt att formalisera Europeiska försäkrings- och tjänstepensionsmyndighetens (</w:t>
      </w:r>
      <w:r w:rsidRPr="00047543">
        <w:rPr>
          <w:i/>
          <w:iCs/>
          <w:noProof/>
        </w:rPr>
        <w:t>Eiopa</w:t>
      </w:r>
      <w:r w:rsidRPr="00047543">
        <w:rPr>
          <w:noProof/>
        </w:rPr>
        <w:t>) roll som kontaktperson för att hitta lämpliga lösningar. Eiopa bör därför ges befogenhet att inrätta och samordna samarbetsplattformar som sammanför relevanta behöriga myndigheter, främja informationsutbyte, stödja samstämmighet i tillsynspraxis och, när så är lämpligt, bistå vid lösning av tvister mellan myndigheter enligt dess befogenheter i förordning (EU) nr 1094/2010.</w:t>
      </w:r>
    </w:p>
    <w:p w14:paraId="24AB8083" w14:textId="77777777" w:rsidR="00B66FA6" w:rsidRPr="00047543" w:rsidRDefault="00FE70FC" w:rsidP="00FE70FC">
      <w:pPr>
        <w:pStyle w:val="ManualConsidrant"/>
        <w:rPr>
          <w:noProof/>
        </w:rPr>
      </w:pPr>
      <w:r>
        <w:rPr>
          <w:noProof/>
        </w:rPr>
        <w:t>(27)</w:t>
      </w:r>
      <w:r>
        <w:rPr>
          <w:noProof/>
        </w:rPr>
        <w:tab/>
      </w:r>
      <w:r w:rsidRPr="00047543">
        <w:rPr>
          <w:noProof/>
        </w:rPr>
        <w:t>Bestämmelserna i förordning (EU) 2019/1238 säkerställer en hög skyddsnivå för PEPP-sparare och PEPP-förmånstagare. Genom denna förordning avskaffas avgiftstaket för PEPP-produkter. Nationella bestämmelser får därför inte återinföra sådana tak eller liknande begränsningar för PEPP-produkter som skulle påverka den enhetliga tillämpningen av denna förordning.</w:t>
      </w:r>
    </w:p>
    <w:p w14:paraId="626DE7B9" w14:textId="77777777" w:rsidR="00B54C51" w:rsidRPr="00047543" w:rsidRDefault="00B54C51" w:rsidP="00FE70FC">
      <w:pPr>
        <w:pStyle w:val="ManualConsidrant"/>
        <w:rPr>
          <w:noProof/>
        </w:rPr>
      </w:pPr>
      <w:r>
        <w:rPr>
          <w:noProof/>
        </w:rPr>
        <w:t>(28)</w:t>
      </w:r>
      <w:r>
        <w:rPr>
          <w:noProof/>
        </w:rPr>
        <w:tab/>
      </w:r>
      <w:r w:rsidRPr="00047543">
        <w:rPr>
          <w:noProof/>
        </w:rPr>
        <w:t>Förordning (EU) 2019/1238 bör därför ändras i enlighet med detta.</w:t>
      </w:r>
    </w:p>
    <w:p w14:paraId="2D5F7EA6" w14:textId="77777777" w:rsidR="00FA75EC" w:rsidRPr="00047543" w:rsidRDefault="00D66A50" w:rsidP="00FE70FC">
      <w:pPr>
        <w:pStyle w:val="ManualConsidrant"/>
        <w:rPr>
          <w:noProof/>
        </w:rPr>
      </w:pPr>
      <w:r>
        <w:rPr>
          <w:noProof/>
        </w:rPr>
        <w:t>(29)</w:t>
      </w:r>
      <w:r>
        <w:rPr>
          <w:noProof/>
        </w:rPr>
        <w:tab/>
      </w:r>
      <w:r w:rsidRPr="00047543">
        <w:rPr>
          <w:noProof/>
        </w:rPr>
        <w:t>Europaparlamentets och rådets förordning (EU) 2016/679</w:t>
      </w:r>
      <w:r w:rsidRPr="00047543">
        <w:rPr>
          <w:rStyle w:val="FootnoteReference"/>
          <w:noProof/>
        </w:rPr>
        <w:footnoteReference w:id="32"/>
      </w:r>
      <w:r w:rsidRPr="00047543">
        <w:rPr>
          <w:noProof/>
        </w:rPr>
        <w:t xml:space="preserve"> är tillämplig på den behandling av personuppgifter som utförs av medlemsstaterna för denna förordnings syften. Medlemsstaterna bör säkerställa att den behandling av data som utförs i enlighet med denna förordning till fullo respekterar Europaparlamentets och rådets direktiv 2002/58/EG</w:t>
      </w:r>
      <w:r w:rsidRPr="00047543">
        <w:rPr>
          <w:rStyle w:val="FootnoteReference"/>
          <w:noProof/>
        </w:rPr>
        <w:footnoteReference w:id="33"/>
      </w:r>
      <w:r w:rsidRPr="00047543">
        <w:rPr>
          <w:noProof/>
        </w:rPr>
        <w:t xml:space="preserve"> när det direktivet är tillämpligt.</w:t>
      </w:r>
    </w:p>
    <w:p w14:paraId="438A62FF" w14:textId="77777777" w:rsidR="003D0830" w:rsidRPr="00047543" w:rsidRDefault="003D0830" w:rsidP="00FE70FC">
      <w:pPr>
        <w:pStyle w:val="ManualConsidrant"/>
        <w:rPr>
          <w:noProof/>
        </w:rPr>
      </w:pPr>
      <w:r>
        <w:rPr>
          <w:noProof/>
        </w:rPr>
        <w:t>(30)</w:t>
      </w:r>
      <w:r>
        <w:rPr>
          <w:noProof/>
        </w:rPr>
        <w:tab/>
      </w:r>
      <w:r w:rsidRPr="00047543">
        <w:rPr>
          <w:noProof/>
        </w:rPr>
        <w:t>Eftersom målen för denna förordning, nämligen att stärka skyddet för PEPP-sparare och öka PEPP-sparares förtroende för PEPP-produkter, även när dessa produkter säljs över gränserna, inte i tillräcklig utsträckning kan uppnås av medlemsstaterna utan snarare, på grund av dess verkningar, bättre kan uppnås på unionsnivå, kan unionen vidta åtgärder i enlighet med subsidiaritetsprincipen i artikel 5 i fördraget om Europeiska unionen. I enlighet med proportionalitetsprincipen i samma artikel går denna förordning inte utöver vad som är nödvändigt för att uppnå dessa mål.</w:t>
      </w:r>
    </w:p>
    <w:p w14:paraId="61CA9374" w14:textId="4EFE396C" w:rsidR="00FE70FC" w:rsidRPr="00047543" w:rsidRDefault="202CEC98" w:rsidP="002512E0">
      <w:pPr>
        <w:pStyle w:val="ManualConsidrant"/>
        <w:rPr>
          <w:noProof/>
        </w:rPr>
      </w:pPr>
      <w:r>
        <w:rPr>
          <w:noProof/>
        </w:rPr>
        <w:t>(31)</w:t>
      </w:r>
      <w:r>
        <w:rPr>
          <w:noProof/>
        </w:rPr>
        <w:tab/>
      </w:r>
      <w:r w:rsidRPr="00047543">
        <w:rPr>
          <w:noProof/>
        </w:rPr>
        <w:t>För att ge behöriga myndigheter, PEPP-sparinstitut och PEPP-distributörer tillräckligt med tid för att anpassa sig till kraven i denna förordning är det lämpligt att tillåta ett år för tillämpningen av denna förordning för att säkerställa ett effektivt genomförande och efterlevnad.</w:t>
      </w:r>
    </w:p>
    <w:p w14:paraId="3387C573" w14:textId="77777777" w:rsidR="0040501D" w:rsidRPr="00047543" w:rsidRDefault="0040501D">
      <w:pPr>
        <w:pStyle w:val="Formuledadoption"/>
        <w:rPr>
          <w:noProof/>
          <w:highlight w:val="black"/>
        </w:rPr>
      </w:pPr>
      <w:r w:rsidRPr="00047543">
        <w:rPr>
          <w:noProof/>
        </w:rPr>
        <w:t>HÄRIGENOM FÖRESKRIVS FÖLJANDE.</w:t>
      </w:r>
    </w:p>
    <w:p w14:paraId="7AAE8D5D" w14:textId="77777777" w:rsidR="0040501D" w:rsidRPr="00047543" w:rsidRDefault="0040501D">
      <w:pPr>
        <w:pStyle w:val="Titrearticle"/>
        <w:rPr>
          <w:b/>
          <w:i w:val="0"/>
          <w:noProof/>
        </w:rPr>
      </w:pPr>
      <w:r w:rsidRPr="00047543">
        <w:rPr>
          <w:noProof/>
        </w:rPr>
        <w:t xml:space="preserve">Artikel 1 </w:t>
      </w:r>
      <w:r w:rsidRPr="00047543">
        <w:rPr>
          <w:noProof/>
        </w:rPr>
        <w:cr/>
      </w:r>
      <w:r w:rsidRPr="00047543">
        <w:rPr>
          <w:noProof/>
        </w:rPr>
        <w:br/>
      </w:r>
      <w:r w:rsidRPr="00047543">
        <w:rPr>
          <w:b/>
          <w:i w:val="0"/>
          <w:noProof/>
        </w:rPr>
        <w:t xml:space="preserve">Ändringar av förordning (EU) 2019/1238 </w:t>
      </w:r>
    </w:p>
    <w:p w14:paraId="157218A8" w14:textId="77777777" w:rsidR="00C82A4F" w:rsidRPr="00047543" w:rsidRDefault="00EB0AFD" w:rsidP="0034158E">
      <w:pPr>
        <w:rPr>
          <w:noProof/>
        </w:rPr>
      </w:pPr>
      <w:r w:rsidRPr="00047543">
        <w:rPr>
          <w:noProof/>
        </w:rPr>
        <w:t>Förordning (EU) 2019/1238 ska ändras på följande sätt:</w:t>
      </w:r>
    </w:p>
    <w:p w14:paraId="55289FD9" w14:textId="77777777" w:rsidR="005C40C7" w:rsidRPr="00047543" w:rsidRDefault="410A26C2" w:rsidP="00A55DAF">
      <w:pPr>
        <w:pStyle w:val="Point0"/>
        <w:rPr>
          <w:noProof/>
        </w:rPr>
      </w:pPr>
      <w:r>
        <w:rPr>
          <w:noProof/>
        </w:rPr>
        <w:t>(1)</w:t>
      </w:r>
      <w:r>
        <w:rPr>
          <w:noProof/>
        </w:rPr>
        <w:tab/>
      </w:r>
      <w:r w:rsidRPr="00047543">
        <w:rPr>
          <w:noProof/>
        </w:rPr>
        <w:t>I artikel 2.1 ska följande led läggas till:</w:t>
      </w:r>
    </w:p>
    <w:p w14:paraId="6C5A9478" w14:textId="77777777" w:rsidR="007F09B4" w:rsidRPr="00047543" w:rsidRDefault="00244534" w:rsidP="0034158E">
      <w:pPr>
        <w:pStyle w:val="Text1"/>
        <w:rPr>
          <w:noProof/>
        </w:rPr>
      </w:pPr>
      <w:r w:rsidRPr="00047543">
        <w:rPr>
          <w:noProof/>
        </w:rPr>
        <w:t xml:space="preserve">”34. </w:t>
      </w:r>
      <w:r w:rsidRPr="00047543">
        <w:rPr>
          <w:i/>
          <w:iCs/>
          <w:noProof/>
        </w:rPr>
        <w:t>rådgivning på oberoende grund</w:t>
      </w:r>
      <w:r w:rsidRPr="00047543">
        <w:rPr>
          <w:noProof/>
        </w:rPr>
        <w:t>: rådgivning där PEPP-sparinstitutet eller PEPP-distributören</w:t>
      </w:r>
    </w:p>
    <w:p w14:paraId="18CC25DF" w14:textId="09EDC592" w:rsidR="007F09B4" w:rsidRPr="00047543" w:rsidRDefault="007F09B4" w:rsidP="007F09B4">
      <w:pPr>
        <w:pStyle w:val="Point1"/>
        <w:rPr>
          <w:noProof/>
        </w:rPr>
      </w:pPr>
      <w:r w:rsidRPr="00047543">
        <w:rPr>
          <w:noProof/>
        </w:rPr>
        <w:t>a)</w:t>
      </w:r>
      <w:r w:rsidRPr="00047543">
        <w:rPr>
          <w:noProof/>
        </w:rPr>
        <w:tab/>
        <w:t xml:space="preserve">bedömer ett tillräckligt stort antal av de privata pensionsprodukter som är tillgängliga på marknaden, vilka ska vara tillräckligt diversifierade med avseende på typ och produktsparinstitut för att säkerställa att den presumtiva PEPP-spararens mål på lämpligt sätt kan tillgodoses, och ska inte vara begränsade till privata pensionsprodukter som utfärdats eller tillhandahållits av enheter som har nära förbindelser med PEPP-sparinstitutet eller PEPP-distributören, </w:t>
      </w:r>
    </w:p>
    <w:p w14:paraId="543879FA" w14:textId="3DA0A838" w:rsidR="00B60C58" w:rsidRPr="00047543" w:rsidRDefault="007F09B4" w:rsidP="005934C1">
      <w:pPr>
        <w:pStyle w:val="Point1"/>
        <w:rPr>
          <w:noProof/>
        </w:rPr>
      </w:pPr>
      <w:r w:rsidRPr="00047543">
        <w:rPr>
          <w:noProof/>
        </w:rPr>
        <w:t>b)</w:t>
      </w:r>
      <w:r w:rsidRPr="00047543">
        <w:rPr>
          <w:noProof/>
        </w:rPr>
        <w:tab/>
        <w:t>inte tar emot och behåller avgifter, provisioner eller monetära eller icke-monetära förmåner som utbetalas eller tillhandahålls av någon tredje part eller av en person som agerar för en tredje parts räkning i fråga om tillhandahållandet av tjänsten till presumtiva PEPP-sparare.</w:t>
      </w:r>
    </w:p>
    <w:p w14:paraId="353ECE3B" w14:textId="57622E81" w:rsidR="0040501D" w:rsidRPr="00047543" w:rsidRDefault="00E767C7" w:rsidP="0034158E">
      <w:pPr>
        <w:pStyle w:val="Text1"/>
        <w:rPr>
          <w:noProof/>
        </w:rPr>
      </w:pPr>
      <w:r w:rsidRPr="00047543">
        <w:rPr>
          <w:noProof/>
        </w:rPr>
        <w:t>35: </w:t>
      </w:r>
      <w:r w:rsidRPr="00047543">
        <w:rPr>
          <w:i/>
          <w:iCs/>
          <w:noProof/>
        </w:rPr>
        <w:t>livscykelbaserad investeringsstrategi</w:t>
      </w:r>
      <w:r w:rsidRPr="00047543">
        <w:rPr>
          <w:noProof/>
        </w:rPr>
        <w:t>: en investeringsstrategi som justerar den risknivå som är förenad med investeringarna enligt en på förhand fastställd gradvis nedsättning, med inriktning på att begränsa investeringsrisken och uppnå en rimlig grad av långsiktig värdetillväxt, med beaktande av individens ålder eller pensionsdatum samt, i förekommande fall, produktens utbetalningsprofil, i syfte att minimera risken för betydande förluster.”</w:t>
      </w:r>
    </w:p>
    <w:p w14:paraId="457A7A03" w14:textId="77777777" w:rsidR="009B1470" w:rsidRPr="00047543" w:rsidRDefault="00873D83" w:rsidP="003546FC">
      <w:pPr>
        <w:pStyle w:val="Point0"/>
        <w:rPr>
          <w:noProof/>
        </w:rPr>
      </w:pPr>
      <w:r>
        <w:rPr>
          <w:noProof/>
        </w:rPr>
        <w:t>(2)</w:t>
      </w:r>
      <w:r>
        <w:rPr>
          <w:noProof/>
        </w:rPr>
        <w:tab/>
      </w:r>
      <w:r w:rsidRPr="00047543">
        <w:rPr>
          <w:noProof/>
        </w:rPr>
        <w:t>I artikel 3 ska följande stycke läggas till:</w:t>
      </w:r>
    </w:p>
    <w:p w14:paraId="06A790FF" w14:textId="77777777" w:rsidR="009B1470" w:rsidRPr="00047543" w:rsidRDefault="009B1470" w:rsidP="00752DB2">
      <w:pPr>
        <w:pStyle w:val="Text1"/>
        <w:rPr>
          <w:noProof/>
        </w:rPr>
      </w:pPr>
      <w:r w:rsidRPr="00047543">
        <w:rPr>
          <w:noProof/>
        </w:rPr>
        <w:t>”Medlemsstaterna ska säkerställa att PEPP-produkter ges en skattemässig behandling som inte är mindre förmånlig än den som tillämpas på andra privata pensionsprodukter. Om en medlemsstat tillämpar olika typer eller nivåer av skattelättnader för sådana andra privata pensionsprodukter, ska PEPP-produkter vara berättigade till den mest förmånliga behandling som är tillgänglig enligt den berörda medlemsstatens lagstiftning.”</w:t>
      </w:r>
    </w:p>
    <w:p w14:paraId="65723A2F" w14:textId="77777777" w:rsidR="0040501D" w:rsidRPr="00047543" w:rsidRDefault="63AC821D" w:rsidP="0040501D">
      <w:pPr>
        <w:pStyle w:val="Point0"/>
        <w:rPr>
          <w:noProof/>
        </w:rPr>
      </w:pPr>
      <w:r>
        <w:rPr>
          <w:noProof/>
        </w:rPr>
        <w:t>(3)</w:t>
      </w:r>
      <w:r>
        <w:rPr>
          <w:noProof/>
        </w:rPr>
        <w:tab/>
      </w:r>
      <w:r w:rsidRPr="00047543">
        <w:rPr>
          <w:noProof/>
        </w:rPr>
        <w:t>I artikel 4.2 ska led a ersättas med följande:</w:t>
      </w:r>
    </w:p>
    <w:p w14:paraId="6A2F1C13" w14:textId="77777777" w:rsidR="00A32471" w:rsidRPr="00047543" w:rsidRDefault="00E20C5D" w:rsidP="0034158E">
      <w:pPr>
        <w:pStyle w:val="Point1"/>
        <w:rPr>
          <w:noProof/>
        </w:rPr>
      </w:pPr>
      <w:r w:rsidRPr="00047543">
        <w:rPr>
          <w:noProof/>
        </w:rPr>
        <w:t xml:space="preserve">”a) </w:t>
      </w:r>
      <w:r w:rsidRPr="00047543">
        <w:rPr>
          <w:noProof/>
        </w:rPr>
        <w:tab/>
      </w:r>
      <w:r w:rsidRPr="00047543">
        <w:rPr>
          <w:noProof/>
        </w:rPr>
        <w:tab/>
        <w:t>Om den bas-PEPP-produkt som avses i artikel 45 erbjuds, en beskrivning av bas-PEPP-produkten, inklusive information om den livscykelbaserade investeringsstrategin.”</w:t>
      </w:r>
    </w:p>
    <w:p w14:paraId="2C550089" w14:textId="77777777" w:rsidR="00263FE1" w:rsidRPr="00047543" w:rsidRDefault="005A0EDC" w:rsidP="00272FA7">
      <w:pPr>
        <w:pStyle w:val="Point0"/>
        <w:rPr>
          <w:noProof/>
        </w:rPr>
      </w:pPr>
      <w:r>
        <w:rPr>
          <w:noProof/>
        </w:rPr>
        <w:t>(4)</w:t>
      </w:r>
      <w:r>
        <w:rPr>
          <w:noProof/>
        </w:rPr>
        <w:tab/>
      </w:r>
      <w:r w:rsidRPr="00047543">
        <w:rPr>
          <w:noProof/>
        </w:rPr>
        <w:t>Artikel 6 ska ändras på följande sätt:</w:t>
      </w:r>
    </w:p>
    <w:p w14:paraId="5402565E" w14:textId="77777777" w:rsidR="00FD4BAA" w:rsidRPr="00047543" w:rsidRDefault="00D27AB0" w:rsidP="00FD4BAA">
      <w:pPr>
        <w:pStyle w:val="Point1"/>
        <w:rPr>
          <w:noProof/>
        </w:rPr>
      </w:pPr>
      <w:r>
        <w:rPr>
          <w:noProof/>
        </w:rPr>
        <w:t>(a)</w:t>
      </w:r>
      <w:r>
        <w:rPr>
          <w:noProof/>
        </w:rPr>
        <w:tab/>
      </w:r>
      <w:r w:rsidRPr="00047543">
        <w:rPr>
          <w:noProof/>
        </w:rPr>
        <w:t>I punkt 2 ska följande led införas som led fa:</w:t>
      </w:r>
    </w:p>
    <w:p w14:paraId="78B842BD" w14:textId="68582271" w:rsidR="005C40C7" w:rsidRPr="00047543" w:rsidRDefault="00572AFA" w:rsidP="0034158E">
      <w:pPr>
        <w:pStyle w:val="Point1"/>
        <w:rPr>
          <w:noProof/>
        </w:rPr>
      </w:pPr>
      <w:r w:rsidRPr="00047543">
        <w:rPr>
          <w:noProof/>
        </w:rPr>
        <w:t>”fa) Dokumentation som visar överensstämmelse med de produktövervaknings- och styrningskrav som avses i artikel 25, inbegripet information om hur PEPP-produkten är utformad för att ge PEPP-sparare valuta för pengarna.”</w:t>
      </w:r>
    </w:p>
    <w:p w14:paraId="4FE550C2" w14:textId="77777777" w:rsidR="00425C1D" w:rsidRPr="00047543" w:rsidRDefault="78E32457" w:rsidP="00425C1D">
      <w:pPr>
        <w:pStyle w:val="Point1"/>
        <w:rPr>
          <w:noProof/>
        </w:rPr>
      </w:pPr>
      <w:r>
        <w:rPr>
          <w:noProof/>
        </w:rPr>
        <w:t>(b)</w:t>
      </w:r>
      <w:r>
        <w:rPr>
          <w:noProof/>
        </w:rPr>
        <w:tab/>
      </w:r>
      <w:r w:rsidRPr="00047543">
        <w:rPr>
          <w:noProof/>
        </w:rPr>
        <w:t>I punkt 3 andra stycket ska första meningen ersättas med följande:</w:t>
      </w:r>
    </w:p>
    <w:p w14:paraId="2B58054F" w14:textId="77777777" w:rsidR="00754C18" w:rsidRPr="00047543" w:rsidRDefault="0085226C" w:rsidP="0034158E">
      <w:pPr>
        <w:pStyle w:val="Text1"/>
        <w:rPr>
          <w:noProof/>
        </w:rPr>
      </w:pPr>
      <w:r w:rsidRPr="00047543">
        <w:rPr>
          <w:noProof/>
        </w:rPr>
        <w:t>”Om ansökan inte är fullständig ska de behöriga myndigheterna fastställa en tidsfrist på högst 15 arbetsdagar inom vilken den sökande ska lämna ytterligare information.”</w:t>
      </w:r>
    </w:p>
    <w:p w14:paraId="6AD07194" w14:textId="77777777" w:rsidR="00754C18" w:rsidRPr="00047543" w:rsidRDefault="00754C18" w:rsidP="00425C1D">
      <w:pPr>
        <w:pStyle w:val="Point1"/>
        <w:rPr>
          <w:noProof/>
        </w:rPr>
      </w:pPr>
      <w:r>
        <w:rPr>
          <w:noProof/>
        </w:rPr>
        <w:t>(c)</w:t>
      </w:r>
      <w:r>
        <w:rPr>
          <w:noProof/>
        </w:rPr>
        <w:tab/>
      </w:r>
      <w:r w:rsidRPr="00047543">
        <w:rPr>
          <w:noProof/>
        </w:rPr>
        <w:t>I punkt 5 ska första stycket ersättas med följande:</w:t>
      </w:r>
    </w:p>
    <w:p w14:paraId="59A2185A" w14:textId="77777777" w:rsidR="0085226C" w:rsidRPr="00047543" w:rsidRDefault="00447B59" w:rsidP="0034158E">
      <w:pPr>
        <w:pStyle w:val="Text1"/>
        <w:rPr>
          <w:noProof/>
        </w:rPr>
      </w:pPr>
      <w:r w:rsidRPr="00047543">
        <w:rPr>
          <w:noProof/>
        </w:rPr>
        <w:t>”Inom fem arbetsdagar efter att ha fattat ett beslut om registrering av PEPP-produkten ska de behöriga myndigheterna vidarebefordra beslutet till Eiopa samt den information och de dokument som avses i punkt 2 a, b, d, f, fa och g samt informera det sökande PEPP-sparinstitutet om detta.”</w:t>
      </w:r>
    </w:p>
    <w:p w14:paraId="3A8D0997" w14:textId="77777777" w:rsidR="0014383A" w:rsidRPr="00047543" w:rsidRDefault="00461587" w:rsidP="00272FA7">
      <w:pPr>
        <w:pStyle w:val="Point0"/>
        <w:rPr>
          <w:noProof/>
        </w:rPr>
      </w:pPr>
      <w:r>
        <w:rPr>
          <w:noProof/>
        </w:rPr>
        <w:t>(5)</w:t>
      </w:r>
      <w:r>
        <w:rPr>
          <w:noProof/>
        </w:rPr>
        <w:tab/>
      </w:r>
      <w:r w:rsidRPr="00047543">
        <w:rPr>
          <w:noProof/>
        </w:rPr>
        <w:t>I artikel 8.4 ska följande stycke läggas till:</w:t>
      </w:r>
    </w:p>
    <w:p w14:paraId="4FB5B7FA" w14:textId="77777777" w:rsidR="005C40C7" w:rsidRPr="00047543" w:rsidRDefault="00C33846" w:rsidP="0034158E">
      <w:pPr>
        <w:pStyle w:val="Text1"/>
        <w:rPr>
          <w:noProof/>
        </w:rPr>
      </w:pPr>
      <w:r w:rsidRPr="00047543">
        <w:rPr>
          <w:noProof/>
        </w:rPr>
        <w:t>”PEPP-sparinstitutet ska omedelbart efter att ha underrättats om den avregistrering som avses i första stycket informera alla PEPP-sparare om detta på ett tydligt, korrekt och begripligt sätt. Denna information ska innefatta</w:t>
      </w:r>
    </w:p>
    <w:p w14:paraId="095FCEA9" w14:textId="77777777" w:rsidR="000022A6" w:rsidRPr="00047543" w:rsidRDefault="0085614F" w:rsidP="000022A6">
      <w:pPr>
        <w:pStyle w:val="Point1"/>
        <w:rPr>
          <w:noProof/>
        </w:rPr>
      </w:pPr>
      <w:r w:rsidRPr="00047543">
        <w:rPr>
          <w:noProof/>
        </w:rPr>
        <w:t xml:space="preserve">a) </w:t>
      </w:r>
      <w:r w:rsidRPr="00047543">
        <w:rPr>
          <w:noProof/>
        </w:rPr>
        <w:tab/>
        <w:t>det faktum att avregistrering har skett samt det datum då avregistreringen får verkan,</w:t>
      </w:r>
    </w:p>
    <w:p w14:paraId="3B87DEE5" w14:textId="77777777" w:rsidR="000022A6" w:rsidRPr="00047543" w:rsidRDefault="0085614F" w:rsidP="000022A6">
      <w:pPr>
        <w:pStyle w:val="Point1"/>
        <w:rPr>
          <w:noProof/>
        </w:rPr>
      </w:pPr>
      <w:r w:rsidRPr="00047543">
        <w:rPr>
          <w:noProof/>
        </w:rPr>
        <w:t xml:space="preserve">b) </w:t>
      </w:r>
      <w:r w:rsidRPr="00047543">
        <w:rPr>
          <w:noProof/>
        </w:rPr>
        <w:tab/>
        <w:t>de alternativ som står PEPP-spararen till buds, inbegripet rätten att utan dröjsmål och kostnadsfritt begära att det ackumulerade kapitalet flyttas till ett annat PEPP-sparinstitut eller överförs till en annan privat pensionsprodukt,</w:t>
      </w:r>
    </w:p>
    <w:p w14:paraId="667EC531" w14:textId="77777777" w:rsidR="006C729C" w:rsidRPr="00047543" w:rsidRDefault="0085614F">
      <w:pPr>
        <w:pStyle w:val="Point1"/>
        <w:rPr>
          <w:noProof/>
        </w:rPr>
      </w:pPr>
      <w:r w:rsidRPr="00047543">
        <w:rPr>
          <w:noProof/>
        </w:rPr>
        <w:t xml:space="preserve">c) </w:t>
      </w:r>
      <w:r w:rsidRPr="00047543">
        <w:rPr>
          <w:noProof/>
        </w:rPr>
        <w:tab/>
        <w:t>all annan relevant information som är nödvändig för att PEPP-spararen faktiskt ska kunna utöva sina rättigheter.”</w:t>
      </w:r>
    </w:p>
    <w:p w14:paraId="285FC603" w14:textId="77777777" w:rsidR="00272FA7" w:rsidRPr="00047543" w:rsidRDefault="006E533B" w:rsidP="00272FA7">
      <w:pPr>
        <w:pStyle w:val="Point0"/>
        <w:rPr>
          <w:noProof/>
        </w:rPr>
      </w:pPr>
      <w:r>
        <w:rPr>
          <w:noProof/>
        </w:rPr>
        <w:t>(6)</w:t>
      </w:r>
      <w:r>
        <w:rPr>
          <w:noProof/>
        </w:rPr>
        <w:tab/>
      </w:r>
      <w:r w:rsidRPr="00047543">
        <w:rPr>
          <w:noProof/>
        </w:rPr>
        <w:t>I artikel 13 ska punkt 1 ersättas med följande:</w:t>
      </w:r>
    </w:p>
    <w:p w14:paraId="7D3C396D" w14:textId="4C775285" w:rsidR="006E533B" w:rsidRPr="00047543" w:rsidRDefault="00DD2CAC" w:rsidP="0034158E">
      <w:pPr>
        <w:pStyle w:val="Text1"/>
        <w:rPr>
          <w:noProof/>
        </w:rPr>
      </w:pPr>
      <w:r w:rsidRPr="00047543">
        <w:rPr>
          <w:noProof/>
        </w:rPr>
        <w:t>”1.</w:t>
      </w:r>
      <w:r w:rsidRPr="00047543">
        <w:rPr>
          <w:noProof/>
        </w:rPr>
        <w:tab/>
        <w:t>Eiopa ska föra ett centralt offentligt register som anger varje PEPP-produkt som registrerats enligt denna förordning, PEPP-produktens registreringsnummer, PEPP-sparinstitutet som erbjuder denna PEPP-produkt, de behöriga myndigheterna för PEPP-sparinstitutet, dagen för registrering av PEPP-produkten, huruvida PEPP-produkten är en bas-PEPP-produkt eller en skräddarsydd PEPP-produkt, en fullständig förteckning över de medlemsstater i vilka PEPP-produkten erbjuds och en fullständig förteckning över de medlemsstater för vilka PEPP-sparinstitutet erbjuder ett underkonto. Registret ska även, för varje registrerad PEPP-produkt, ange de totala årliga kostnaderna, den genomsnittliga historiska avkastningen under de föregående ett, tre, fem och tio åren samt sammanfattande riskindikatorer, i enlighet med vad som anges i det faktablad som avses i artikel 26. Registret ska vara allmänt tillgängligt i elektronisk form och ska hållas uppdaterat.”</w:t>
      </w:r>
    </w:p>
    <w:p w14:paraId="0A7410B9" w14:textId="77777777" w:rsidR="005C40C7" w:rsidRPr="00047543" w:rsidRDefault="00E67999" w:rsidP="003546FC">
      <w:pPr>
        <w:pStyle w:val="Point0"/>
        <w:rPr>
          <w:noProof/>
        </w:rPr>
      </w:pPr>
      <w:r>
        <w:rPr>
          <w:noProof/>
        </w:rPr>
        <w:t>(7)</w:t>
      </w:r>
      <w:r>
        <w:rPr>
          <w:noProof/>
        </w:rPr>
        <w:tab/>
      </w:r>
      <w:r w:rsidRPr="00047543">
        <w:rPr>
          <w:noProof/>
        </w:rPr>
        <w:t>Artikel 18 ska ändras på följande sätt:</w:t>
      </w:r>
    </w:p>
    <w:p w14:paraId="21B24214" w14:textId="77777777" w:rsidR="00195F0D" w:rsidRPr="00047543" w:rsidRDefault="008241BF" w:rsidP="00195F0D">
      <w:pPr>
        <w:pStyle w:val="Point1"/>
        <w:rPr>
          <w:noProof/>
        </w:rPr>
      </w:pPr>
      <w:r>
        <w:rPr>
          <w:noProof/>
        </w:rPr>
        <w:t>(a)</w:t>
      </w:r>
      <w:r>
        <w:rPr>
          <w:noProof/>
        </w:rPr>
        <w:tab/>
      </w:r>
      <w:r w:rsidRPr="00047543">
        <w:rPr>
          <w:noProof/>
        </w:rPr>
        <w:t>Punkt 2 ska ersättas med följande:</w:t>
      </w:r>
    </w:p>
    <w:p w14:paraId="4E9DCDEF" w14:textId="77777777" w:rsidR="008241BF" w:rsidRPr="00047543" w:rsidRDefault="008241BF" w:rsidP="0034158E">
      <w:pPr>
        <w:pStyle w:val="Text1"/>
        <w:rPr>
          <w:noProof/>
        </w:rPr>
      </w:pPr>
      <w:r w:rsidRPr="00047543">
        <w:rPr>
          <w:noProof/>
        </w:rPr>
        <w:t>”2.</w:t>
      </w:r>
      <w:r w:rsidRPr="00047543">
        <w:rPr>
          <w:noProof/>
        </w:rPr>
        <w:tab/>
        <w:t>När PEPP-sparinstitutet eller PEPP-distributören erbjuder en PEPP-produkt ska de ge presumtiva PEPP-sparare information om portabilitetsmöjligheten och om vilka eventuella underkonton som är omedelbart tillgängliga.”</w:t>
      </w:r>
    </w:p>
    <w:p w14:paraId="16F22D68" w14:textId="77777777" w:rsidR="008241BF" w:rsidRPr="00047543" w:rsidRDefault="008241BF" w:rsidP="0034158E">
      <w:pPr>
        <w:pStyle w:val="Point1"/>
        <w:rPr>
          <w:noProof/>
        </w:rPr>
      </w:pPr>
      <w:r>
        <w:rPr>
          <w:noProof/>
        </w:rPr>
        <w:t>(b)</w:t>
      </w:r>
      <w:r>
        <w:rPr>
          <w:noProof/>
        </w:rPr>
        <w:tab/>
      </w:r>
      <w:r w:rsidRPr="00047543">
        <w:rPr>
          <w:noProof/>
        </w:rPr>
        <w:t>Punkt 3 ska utgå.</w:t>
      </w:r>
    </w:p>
    <w:p w14:paraId="63C4B19E" w14:textId="77777777" w:rsidR="000A3F98" w:rsidRPr="00047543" w:rsidRDefault="00AD6A82" w:rsidP="005D7F12">
      <w:pPr>
        <w:pStyle w:val="Point0"/>
        <w:rPr>
          <w:noProof/>
        </w:rPr>
      </w:pPr>
      <w:r>
        <w:rPr>
          <w:noProof/>
        </w:rPr>
        <w:t>(8)</w:t>
      </w:r>
      <w:r>
        <w:rPr>
          <w:noProof/>
        </w:rPr>
        <w:tab/>
      </w:r>
      <w:r w:rsidRPr="00047543">
        <w:rPr>
          <w:noProof/>
        </w:rPr>
        <w:t>I artikel 23 ska följande punkt läggas till som punkt 3:</w:t>
      </w:r>
    </w:p>
    <w:p w14:paraId="0BDED524" w14:textId="77777777" w:rsidR="00B86104" w:rsidRPr="00047543" w:rsidRDefault="00B86104" w:rsidP="00B871C4">
      <w:pPr>
        <w:pStyle w:val="Text1"/>
        <w:rPr>
          <w:noProof/>
        </w:rPr>
      </w:pPr>
      <w:r w:rsidRPr="00047543">
        <w:rPr>
          <w:noProof/>
        </w:rPr>
        <w:t>”3.</w:t>
      </w:r>
      <w:r w:rsidRPr="00047543">
        <w:rPr>
          <w:noProof/>
        </w:rPr>
        <w:tab/>
        <w:t>Arbetsgivare ska i de fall som avses i artikel 47.3 och 47.4 inte anses vara PEPP-distributörer.”</w:t>
      </w:r>
    </w:p>
    <w:p w14:paraId="7EA37847" w14:textId="77777777" w:rsidR="00195F0D" w:rsidRPr="00047543" w:rsidRDefault="00DA08D6" w:rsidP="00272FA7">
      <w:pPr>
        <w:pStyle w:val="Point0"/>
        <w:rPr>
          <w:noProof/>
        </w:rPr>
      </w:pPr>
      <w:r>
        <w:rPr>
          <w:noProof/>
        </w:rPr>
        <w:t>(9)</w:t>
      </w:r>
      <w:r>
        <w:rPr>
          <w:noProof/>
        </w:rPr>
        <w:tab/>
      </w:r>
      <w:r w:rsidRPr="00047543">
        <w:rPr>
          <w:noProof/>
        </w:rPr>
        <w:t>Artikel 25 ska ersättas med följande:</w:t>
      </w:r>
    </w:p>
    <w:p w14:paraId="604A3074" w14:textId="77777777" w:rsidR="00DA08D6" w:rsidRPr="00047543" w:rsidRDefault="00DA08D6" w:rsidP="0034158E">
      <w:pPr>
        <w:pStyle w:val="Titrearticle"/>
        <w:rPr>
          <w:b/>
          <w:i w:val="0"/>
          <w:noProof/>
        </w:rPr>
      </w:pPr>
      <w:r w:rsidRPr="00047543">
        <w:rPr>
          <w:noProof/>
        </w:rPr>
        <w:t xml:space="preserve">”Artikel 25 </w:t>
      </w:r>
      <w:r w:rsidRPr="00047543">
        <w:rPr>
          <w:noProof/>
        </w:rPr>
        <w:cr/>
      </w:r>
      <w:r w:rsidRPr="00047543">
        <w:rPr>
          <w:noProof/>
        </w:rPr>
        <w:br/>
      </w:r>
      <w:r w:rsidRPr="00047543">
        <w:rPr>
          <w:b/>
          <w:i w:val="0"/>
          <w:noProof/>
        </w:rPr>
        <w:t>Produktövervakning och styrningskrav</w:t>
      </w:r>
    </w:p>
    <w:p w14:paraId="1931CB4D" w14:textId="77777777" w:rsidR="00DA08D6" w:rsidRPr="00047543" w:rsidRDefault="00DA08D6" w:rsidP="0034158E">
      <w:pPr>
        <w:pStyle w:val="Text1"/>
        <w:rPr>
          <w:noProof/>
        </w:rPr>
      </w:pPr>
      <w:r w:rsidRPr="00047543">
        <w:rPr>
          <w:noProof/>
        </w:rPr>
        <w:t>1.</w:t>
      </w:r>
      <w:r w:rsidRPr="00047543">
        <w:rPr>
          <w:noProof/>
        </w:rPr>
        <w:tab/>
        <w:t>PEPP-sparinstitut ska inrätta, upprätthålla, använda och se över en process för godkännande av varje PEPP-produkt eller varje betydande ändring av en befintlig PEPP-produkt innan den PEPP-produkten marknadsförs eller distribueras till PEPP-kunder.</w:t>
      </w:r>
    </w:p>
    <w:p w14:paraId="265117CD" w14:textId="18A58B57" w:rsidR="00DA08D6" w:rsidRPr="00047543" w:rsidRDefault="00DA08D6" w:rsidP="0034158E">
      <w:pPr>
        <w:pStyle w:val="Text1"/>
        <w:rPr>
          <w:noProof/>
        </w:rPr>
      </w:pPr>
      <w:r w:rsidRPr="00047543">
        <w:rPr>
          <w:noProof/>
        </w:rPr>
        <w:t>Produktgodkännandeprocessen ska vara proportionerlig och ändamålsenlig i förhållande till typen av PEPP-produkt och ska innehålla en bedömning av valuta för pengarna som i inledningsskedet av produktutformnings- och produktgodkännandeprocessen bygger på rimliga prognoser och antaganden som återspeglar rimliga förväntningar.</w:t>
      </w:r>
    </w:p>
    <w:p w14:paraId="100ACA40" w14:textId="77777777" w:rsidR="00D01BF5" w:rsidRPr="00047543" w:rsidRDefault="0E78A205" w:rsidP="00CA1AB2">
      <w:pPr>
        <w:pStyle w:val="Text1"/>
        <w:rPr>
          <w:noProof/>
        </w:rPr>
      </w:pPr>
      <w:r w:rsidRPr="00047543">
        <w:rPr>
          <w:noProof/>
        </w:rPr>
        <w:t>Artikel 25 i Europaparlamentets och rådets direktiv (EU) 2016/97*, tillsammans med eventuella delegerade akter som antagits i enlighet med den artikeln, ska gälla i tillämpliga delar.</w:t>
      </w:r>
    </w:p>
    <w:p w14:paraId="08FDA443" w14:textId="21DF45F9" w:rsidR="005C40C7" w:rsidRPr="00047543" w:rsidRDefault="008C743C" w:rsidP="0034158E">
      <w:pPr>
        <w:pStyle w:val="Text1"/>
        <w:rPr>
          <w:noProof/>
        </w:rPr>
      </w:pPr>
      <w:r w:rsidRPr="00047543">
        <w:rPr>
          <w:noProof/>
        </w:rPr>
        <w:t>2.</w:t>
      </w:r>
      <w:r w:rsidRPr="00047543">
        <w:rPr>
          <w:noProof/>
        </w:rPr>
        <w:tab/>
        <w:t>De behöriga myndigheterna ska övervaka de PEPP-produkter som erbjuds på deras marknad och utvärdera dem mot relevanta tillsynsmässiga referensvärden som används vid bedömningen av valuta för pengarna. Om behöriga myndigheter identifierar PEPP-produkter som avviker från tillämpliga referensvärden, eller om de av någon annan anledning beslutar att genomföra en kontroll, ska de kräva att det berörda PEPP-sparinstitutet lägger fram bevis för att kostnaderna och avgifterna för PEPP-produkten, till följd av den bedömning av valuta för pengarna som genomförts i enlighet med punkt 1, är motiverade och proportionerliga samt att PEPP-produkten uppfyller målmarknadens mål och behov.</w:t>
      </w:r>
    </w:p>
    <w:p w14:paraId="05935BDC" w14:textId="77777777" w:rsidR="00ED6414" w:rsidRPr="00047543" w:rsidRDefault="6EE311C5" w:rsidP="0034158E">
      <w:pPr>
        <w:pStyle w:val="Text1"/>
        <w:rPr>
          <w:noProof/>
        </w:rPr>
      </w:pPr>
      <w:r w:rsidRPr="00047543">
        <w:rPr>
          <w:noProof/>
        </w:rPr>
        <w:t>Om de behöriga myndigheterna drar slutsatsen att sådana bevis inte har lagts fram, eller att kostnaderna och avgifterna för PEPP-produkten inte är motiverade och proportionerliga, eller att PEPP-produkten inte uppfyller målmarknadens mål, ska de kräva att PEPP-sparinstitutet vidtar åtgärder för att säkerställa efterlevnad av produktövervaknings- och styrningskraven. I avsaknad av sådana åtgärder ska de behöriga myndigheterna använda sina befogenheter enligt artiklarna 8, 62 och 63.</w:t>
      </w:r>
    </w:p>
    <w:p w14:paraId="0137BF46" w14:textId="77777777" w:rsidR="00ED6414" w:rsidRPr="00047543" w:rsidRDefault="003C5DB6" w:rsidP="00B871C4">
      <w:pPr>
        <w:pStyle w:val="Text1"/>
        <w:rPr>
          <w:noProof/>
        </w:rPr>
      </w:pPr>
      <w:r w:rsidRPr="00047543">
        <w:rPr>
          <w:noProof/>
        </w:rPr>
        <w:t>3.</w:t>
      </w:r>
      <w:r w:rsidRPr="00047543">
        <w:rPr>
          <w:noProof/>
        </w:rPr>
        <w:tab/>
        <w:t>Kommissionen ska ges befogenhet att komplettera denna förordning genom att anta delegerade akter i enlighet med artikel 72 för att närmare ange de principer som fastställs i denna artikel, inbegripet </w:t>
      </w:r>
    </w:p>
    <w:p w14:paraId="52B18452" w14:textId="566FD3EE" w:rsidR="00ED6414" w:rsidRPr="00047543" w:rsidRDefault="00ED6414" w:rsidP="00B871C4">
      <w:pPr>
        <w:pStyle w:val="Point1"/>
        <w:rPr>
          <w:noProof/>
        </w:rPr>
      </w:pPr>
      <w:r>
        <w:rPr>
          <w:noProof/>
        </w:rPr>
        <w:t>(a)</w:t>
      </w:r>
      <w:r>
        <w:rPr>
          <w:noProof/>
        </w:rPr>
        <w:tab/>
      </w:r>
      <w:r w:rsidRPr="00047543">
        <w:rPr>
          <w:noProof/>
        </w:rPr>
        <w:t xml:space="preserve">de justeringar av metoden som är tillämpliga på referensvärden för valuta för pengarna för försäkringsbaserade investeringsprodukter enligt artikel 25 i direktiv (EU) 2016/97, vilka är nödvändiga för utvecklingen av de relevanta tillsynsmässiga referensvärden som avses i punkt 2 första stycket i denna artikel; dessa justeringar ska återspegla PEPP-produktens långsiktiga karaktär med begränsade möjligheter till inlösen och ska säkerställa att PEPP-produkter jämförs med grupper av jämförbara privata pensionsprodukter som utvecklas och distribueras i en eller flera medlemsstater, </w:t>
      </w:r>
    </w:p>
    <w:p w14:paraId="7F2E17DA" w14:textId="77777777" w:rsidR="00ED6414" w:rsidRPr="00047543" w:rsidRDefault="00ED6414" w:rsidP="00B871C4">
      <w:pPr>
        <w:pStyle w:val="Point1"/>
        <w:rPr>
          <w:noProof/>
        </w:rPr>
      </w:pPr>
      <w:r>
        <w:rPr>
          <w:noProof/>
        </w:rPr>
        <w:t>(b)</w:t>
      </w:r>
      <w:r>
        <w:rPr>
          <w:noProof/>
        </w:rPr>
        <w:tab/>
      </w:r>
      <w:r w:rsidRPr="00047543">
        <w:rPr>
          <w:noProof/>
        </w:rPr>
        <w:t>de kriterier som ska användas för att avgöra huruvida kostnaderna och avgifterna för en PEPP-produkt är motiverade och proportionerliga i den mening som avses i punkt 2 första stycket.</w:t>
      </w:r>
    </w:p>
    <w:p w14:paraId="2655F83D" w14:textId="77777777" w:rsidR="00257641" w:rsidRPr="00047543" w:rsidRDefault="00ED6414" w:rsidP="0034158E">
      <w:pPr>
        <w:pStyle w:val="Text1"/>
        <w:rPr>
          <w:noProof/>
        </w:rPr>
      </w:pPr>
      <w:r w:rsidRPr="00047543">
        <w:rPr>
          <w:noProof/>
        </w:rPr>
        <w:t>De delegerade akterna ska proportionerligt beakta det sätt på vilket verksamheten bedrivs, arten av sålda PEPP-produkter och arten av distributör. </w:t>
      </w:r>
    </w:p>
    <w:p w14:paraId="4B210152" w14:textId="77777777" w:rsidR="00257641" w:rsidRPr="00047543" w:rsidRDefault="00257641" w:rsidP="00257641">
      <w:pPr>
        <w:pStyle w:val="Text1"/>
        <w:rPr>
          <w:noProof/>
        </w:rPr>
      </w:pPr>
      <w:r w:rsidRPr="00047543">
        <w:rPr>
          <w:noProof/>
        </w:rPr>
        <w:t>______</w:t>
      </w:r>
    </w:p>
    <w:p w14:paraId="4C3C735E" w14:textId="77777777" w:rsidR="005C40C7" w:rsidRPr="00047543" w:rsidRDefault="00257641" w:rsidP="0034158E">
      <w:pPr>
        <w:pStyle w:val="Text1"/>
        <w:rPr>
          <w:noProof/>
        </w:rPr>
      </w:pPr>
      <w:r w:rsidRPr="00047543">
        <w:rPr>
          <w:noProof/>
          <w:sz w:val="20"/>
        </w:rPr>
        <w:t>*</w:t>
      </w:r>
      <w:r w:rsidRPr="00047543">
        <w:rPr>
          <w:noProof/>
        </w:rPr>
        <w:tab/>
      </w:r>
      <w:r w:rsidRPr="00047543">
        <w:rPr>
          <w:noProof/>
          <w:sz w:val="20"/>
        </w:rPr>
        <w:t xml:space="preserve">Europaparlamentets och rådets direktiv (EU) 2016/97 av den 20 januari 2016 om försäkringsdistribution (EUT L 26, 2.2.2016, s. 19, ELI: </w:t>
      </w:r>
      <w:hyperlink r:id="rId17" w:history="1">
        <w:r w:rsidRPr="00047543">
          <w:rPr>
            <w:rStyle w:val="Hyperlink"/>
            <w:noProof/>
            <w:sz w:val="20"/>
          </w:rPr>
          <w:t>http://data.europa.eu/eli/dir/2016/97/oj</w:t>
        </w:r>
      </w:hyperlink>
      <w:r w:rsidRPr="00047543">
        <w:rPr>
          <w:noProof/>
          <w:sz w:val="20"/>
        </w:rPr>
        <w:t>).”</w:t>
      </w:r>
    </w:p>
    <w:p w14:paraId="4622A90D" w14:textId="77777777" w:rsidR="005C40C7" w:rsidRPr="00047543" w:rsidRDefault="00DA08D6" w:rsidP="0034158E">
      <w:pPr>
        <w:pStyle w:val="Point0"/>
        <w:rPr>
          <w:noProof/>
        </w:rPr>
      </w:pPr>
      <w:r>
        <w:rPr>
          <w:noProof/>
        </w:rPr>
        <w:t>(10)</w:t>
      </w:r>
      <w:r>
        <w:rPr>
          <w:noProof/>
        </w:rPr>
        <w:tab/>
      </w:r>
      <w:r w:rsidRPr="00047543">
        <w:rPr>
          <w:noProof/>
        </w:rPr>
        <w:t>Artikel 28.3 ska ändras på följande sätt:</w:t>
      </w:r>
    </w:p>
    <w:p w14:paraId="3ABC31A3" w14:textId="77777777" w:rsidR="005C40C7" w:rsidRPr="00047543" w:rsidRDefault="00C8663A" w:rsidP="00C8663A">
      <w:pPr>
        <w:pStyle w:val="Point1"/>
        <w:rPr>
          <w:noProof/>
        </w:rPr>
      </w:pPr>
      <w:r>
        <w:rPr>
          <w:noProof/>
        </w:rPr>
        <w:t>(a)</w:t>
      </w:r>
      <w:r>
        <w:rPr>
          <w:noProof/>
        </w:rPr>
        <w:tab/>
      </w:r>
      <w:r w:rsidRPr="00047543">
        <w:rPr>
          <w:noProof/>
        </w:rPr>
        <w:t>Led c ska ändras på följande sätt:</w:t>
      </w:r>
    </w:p>
    <w:p w14:paraId="60C912DA" w14:textId="77777777" w:rsidR="00A85525" w:rsidRPr="00047543" w:rsidRDefault="000656AA" w:rsidP="00567C68">
      <w:pPr>
        <w:pStyle w:val="Point2"/>
        <w:rPr>
          <w:noProof/>
        </w:rPr>
      </w:pPr>
      <w:r w:rsidRPr="00047543">
        <w:rPr>
          <w:noProof/>
        </w:rPr>
        <w:t>i)</w:t>
      </w:r>
      <w:r w:rsidRPr="00047543">
        <w:rPr>
          <w:noProof/>
        </w:rPr>
        <w:tab/>
        <w:t>Led iii ska ersättas med följande:</w:t>
      </w:r>
    </w:p>
    <w:p w14:paraId="1CE530D4" w14:textId="77777777" w:rsidR="009D3EAA" w:rsidRPr="00047543" w:rsidRDefault="009D3EAA" w:rsidP="0034158E">
      <w:pPr>
        <w:pStyle w:val="Point2"/>
        <w:rPr>
          <w:noProof/>
        </w:rPr>
      </w:pPr>
      <w:r w:rsidRPr="00047543">
        <w:rPr>
          <w:noProof/>
        </w:rPr>
        <w:t>”iii)</w:t>
      </w:r>
      <w:r w:rsidRPr="00047543">
        <w:rPr>
          <w:noProof/>
        </w:rPr>
        <w:tab/>
        <w:t>Följande angivelse:</w:t>
      </w:r>
    </w:p>
    <w:p w14:paraId="1F8F039E" w14:textId="77777777" w:rsidR="00263AEB" w:rsidRPr="00047543" w:rsidRDefault="00263AEB" w:rsidP="00A55DAF">
      <w:pPr>
        <w:pStyle w:val="Tiret3"/>
        <w:numPr>
          <w:ilvl w:val="0"/>
          <w:numId w:val="19"/>
        </w:numPr>
        <w:rPr>
          <w:noProof/>
        </w:rPr>
      </w:pPr>
      <w:r w:rsidRPr="00047543">
        <w:rPr>
          <w:noProof/>
        </w:rPr>
        <w:t>För bas-PEPP-produkten, att bas-PEPP-produkten tillämpar en livscykelbaserad investeringsstrategi.</w:t>
      </w:r>
    </w:p>
    <w:p w14:paraId="4C8A8CA1" w14:textId="11680343" w:rsidR="00263AEB" w:rsidRPr="00047543" w:rsidRDefault="00FD24C8" w:rsidP="0034158E">
      <w:pPr>
        <w:pStyle w:val="Tiret3"/>
        <w:rPr>
          <w:noProof/>
        </w:rPr>
      </w:pPr>
      <w:r w:rsidRPr="00047543">
        <w:rPr>
          <w:noProof/>
        </w:rPr>
        <w:t>För en skräddarsydd PEPP-produkt, att PEPP-produkten tillämpar en riskreduceringsteknik som ska beskrivas.”</w:t>
      </w:r>
    </w:p>
    <w:p w14:paraId="7A41DA38" w14:textId="1B219693" w:rsidR="009D3EAA" w:rsidRPr="00047543" w:rsidRDefault="000656AA" w:rsidP="00567C68">
      <w:pPr>
        <w:pStyle w:val="Point2"/>
        <w:rPr>
          <w:noProof/>
        </w:rPr>
      </w:pPr>
      <w:r w:rsidRPr="00047543">
        <w:rPr>
          <w:noProof/>
        </w:rPr>
        <w:t>ii)</w:t>
      </w:r>
      <w:r w:rsidRPr="00047543">
        <w:rPr>
          <w:noProof/>
        </w:rPr>
        <w:tab/>
        <w:t>Följande led ska läggas till som leden xv–xviii:</w:t>
      </w:r>
    </w:p>
    <w:p w14:paraId="4B5D9F76" w14:textId="77777777" w:rsidR="00E005F3" w:rsidRPr="00047543" w:rsidRDefault="00E005F3" w:rsidP="0034158E">
      <w:pPr>
        <w:pStyle w:val="Point2"/>
        <w:rPr>
          <w:noProof/>
        </w:rPr>
      </w:pPr>
      <w:r w:rsidRPr="00047543">
        <w:rPr>
          <w:noProof/>
        </w:rPr>
        <w:t>”xv) Om PEPP-produkten tillhandahålls en anställd som en del av ett arbetsplatsarrangemang med automatisk registrering, följande information:</w:t>
      </w:r>
    </w:p>
    <w:p w14:paraId="61BB5B4A" w14:textId="77777777" w:rsidR="00E005F3" w:rsidRPr="00047543" w:rsidRDefault="00E005F3" w:rsidP="0034158E">
      <w:pPr>
        <w:pStyle w:val="Tiret3"/>
        <w:rPr>
          <w:noProof/>
        </w:rPr>
      </w:pPr>
      <w:r w:rsidRPr="00047543">
        <w:rPr>
          <w:noProof/>
        </w:rPr>
        <w:t>Den rätt att avstå från deltagande som avtalades vid tidpunkten för registreringen.</w:t>
      </w:r>
    </w:p>
    <w:p w14:paraId="6BAA1586" w14:textId="77777777" w:rsidR="00E005F3" w:rsidRPr="00047543" w:rsidRDefault="00E005F3" w:rsidP="0034158E">
      <w:pPr>
        <w:pStyle w:val="Tiret3"/>
        <w:rPr>
          <w:noProof/>
        </w:rPr>
      </w:pPr>
      <w:r w:rsidRPr="00047543">
        <w:rPr>
          <w:noProof/>
        </w:rPr>
        <w:t>Tillämpliga regler om arbetstagares pensionsrätt.</w:t>
      </w:r>
    </w:p>
    <w:p w14:paraId="7708A83E" w14:textId="0740152B" w:rsidR="002518BB" w:rsidRPr="00047543" w:rsidRDefault="00BA4D2C" w:rsidP="0034158E">
      <w:pPr>
        <w:pStyle w:val="Tiret3"/>
        <w:rPr>
          <w:noProof/>
        </w:rPr>
      </w:pPr>
      <w:r w:rsidRPr="00047543">
        <w:rPr>
          <w:noProof/>
        </w:rPr>
        <w:t>I tillämpliga fall, standardiserade utbetalningsvägar eller andra olika alternativ för utbetalning.</w:t>
      </w:r>
    </w:p>
    <w:p w14:paraId="53573367" w14:textId="729A5306" w:rsidR="0073085F" w:rsidRPr="00047543" w:rsidRDefault="002518BB" w:rsidP="00B254F9">
      <w:pPr>
        <w:pStyle w:val="Point2"/>
        <w:rPr>
          <w:noProof/>
        </w:rPr>
      </w:pPr>
      <w:r w:rsidRPr="00047543">
        <w:rPr>
          <w:noProof/>
        </w:rPr>
        <w:t>xvi)</w:t>
      </w:r>
      <w:r w:rsidRPr="00047543">
        <w:rPr>
          <w:noProof/>
        </w:rPr>
        <w:tab/>
        <w:t xml:space="preserve">Om ett PEPP-sparinstitut erbjuder flera investeringsalternativ, en beskrivning av de olika investeringsalternativ som erbjuds av det PEPP-sparinstitutet. </w:t>
      </w:r>
    </w:p>
    <w:p w14:paraId="2E4BD9D9" w14:textId="25701447" w:rsidR="0073085F" w:rsidRPr="00047543" w:rsidRDefault="0073085F" w:rsidP="00B254F9">
      <w:pPr>
        <w:pStyle w:val="Point2"/>
        <w:rPr>
          <w:noProof/>
        </w:rPr>
      </w:pPr>
      <w:r w:rsidRPr="00047543">
        <w:rPr>
          <w:noProof/>
        </w:rPr>
        <w:t>xvii) En uppgift om att en PEPP-produkt enligt unionsrätten kan vara antingen en bas-PEPP-produkt eller en skräddarsydd PEPP-produkt och de viktigaste skillnaderna mellan de två typerna av PEPP-produkter.</w:t>
      </w:r>
    </w:p>
    <w:p w14:paraId="4D59F85C" w14:textId="594B4B0F" w:rsidR="00B254F9" w:rsidRPr="00047543" w:rsidRDefault="0073085F" w:rsidP="00B254F9">
      <w:pPr>
        <w:pStyle w:val="Point2"/>
        <w:rPr>
          <w:noProof/>
        </w:rPr>
      </w:pPr>
      <w:r w:rsidRPr="00047543">
        <w:rPr>
          <w:noProof/>
        </w:rPr>
        <w:t>xviii) Information om att alla registrerade PEPP-produkter finns tillgängliga i det centrala offentliga register som avses i artikel 13, inklusive internetlänken till det registret.”</w:t>
      </w:r>
    </w:p>
    <w:p w14:paraId="7184CD29" w14:textId="77777777" w:rsidR="007A27BE" w:rsidRPr="00047543" w:rsidRDefault="00E72E44" w:rsidP="00644584">
      <w:pPr>
        <w:pStyle w:val="Point1"/>
        <w:rPr>
          <w:noProof/>
        </w:rPr>
      </w:pPr>
      <w:r>
        <w:rPr>
          <w:noProof/>
        </w:rPr>
        <w:t>(b)</w:t>
      </w:r>
      <w:r>
        <w:rPr>
          <w:noProof/>
        </w:rPr>
        <w:tab/>
      </w:r>
      <w:r w:rsidRPr="00047543">
        <w:rPr>
          <w:noProof/>
        </w:rPr>
        <w:t>I led f ska första stycket ersättas med följande:</w:t>
      </w:r>
    </w:p>
    <w:p w14:paraId="0EBF9DE0" w14:textId="77777777" w:rsidR="00E72E44" w:rsidRPr="00047543" w:rsidRDefault="007A27BE" w:rsidP="00011ADF">
      <w:pPr>
        <w:pStyle w:val="Text1"/>
        <w:rPr>
          <w:noProof/>
        </w:rPr>
      </w:pPr>
      <w:r w:rsidRPr="00047543">
        <w:rPr>
          <w:noProof/>
        </w:rPr>
        <w:t>”I ett avsnitt med titeln Vilka är kostnaderna?, kostnaderna för en investering i PEPP-produkten, som ska omfatta både direkta och indirekta kostnader för PEPP-spararen, inbegripet engångskostnader och återkommande kostnader, som ska anges genom sammanfattande indikatorer för dessa kostnader, och, för att säkerställa jämförbarhet, de totala sammanlagda kostnaderna uttryckt i monetära termer och i procent, för att visa de totala kostnadernas samlade inverkan på investeringen under de senaste tolv månaderna och en uppskattning av kostnadernas inverkan på det slutliga ackumulerade kapitalet. I förekommande fall ska de kostnader som tas ut för kapitalgarantin redovisas uttryckligen och separat.”</w:t>
      </w:r>
    </w:p>
    <w:p w14:paraId="68185724" w14:textId="77777777" w:rsidR="00681481" w:rsidRPr="00047543" w:rsidRDefault="00681481" w:rsidP="00272FA7">
      <w:pPr>
        <w:pStyle w:val="Point0"/>
        <w:rPr>
          <w:noProof/>
        </w:rPr>
      </w:pPr>
      <w:r>
        <w:rPr>
          <w:noProof/>
        </w:rPr>
        <w:t>(11)</w:t>
      </w:r>
      <w:r>
        <w:rPr>
          <w:noProof/>
        </w:rPr>
        <w:tab/>
      </w:r>
      <w:r w:rsidRPr="00047543">
        <w:rPr>
          <w:noProof/>
        </w:rPr>
        <w:t>I artikel 33 ska följande punkt införas som punkt 2a:</w:t>
      </w:r>
    </w:p>
    <w:p w14:paraId="08D3E5D6" w14:textId="4D767F2F" w:rsidR="00681481" w:rsidRPr="00047543" w:rsidRDefault="00681481" w:rsidP="00567C68">
      <w:pPr>
        <w:pStyle w:val="Text1"/>
        <w:rPr>
          <w:noProof/>
        </w:rPr>
      </w:pPr>
      <w:r w:rsidRPr="00047543">
        <w:rPr>
          <w:noProof/>
        </w:rPr>
        <w:t>”2a.</w:t>
      </w:r>
      <w:r w:rsidRPr="00047543">
        <w:rPr>
          <w:noProof/>
        </w:rPr>
        <w:tab/>
        <w:t>Om PEPP-produkten tillhandahålls en anställd som en del av ett arbetsplatsarrangemang med automatisk registrering ska den information som avses i punkt 1 omedelbart efter registreringen i det berörda arrangemanget lämnas till den anställde.”</w:t>
      </w:r>
    </w:p>
    <w:p w14:paraId="4424E97B" w14:textId="77777777" w:rsidR="008855F5" w:rsidRPr="00047543" w:rsidRDefault="00F03D7F" w:rsidP="00272FA7">
      <w:pPr>
        <w:pStyle w:val="Point0"/>
        <w:rPr>
          <w:noProof/>
        </w:rPr>
      </w:pPr>
      <w:r>
        <w:rPr>
          <w:noProof/>
        </w:rPr>
        <w:t>(12)</w:t>
      </w:r>
      <w:r>
        <w:rPr>
          <w:noProof/>
        </w:rPr>
        <w:tab/>
      </w:r>
      <w:r w:rsidRPr="00047543">
        <w:rPr>
          <w:noProof/>
        </w:rPr>
        <w:t>Artikel 34 ska ändras på följande sätt:</w:t>
      </w:r>
    </w:p>
    <w:p w14:paraId="571DEA00" w14:textId="77777777" w:rsidR="00F03D7F" w:rsidRPr="00047543" w:rsidRDefault="007D5F84" w:rsidP="00527C03">
      <w:pPr>
        <w:pStyle w:val="Point1"/>
        <w:rPr>
          <w:noProof/>
        </w:rPr>
      </w:pPr>
      <w:r>
        <w:rPr>
          <w:noProof/>
        </w:rPr>
        <w:t>(a)</w:t>
      </w:r>
      <w:r>
        <w:rPr>
          <w:noProof/>
        </w:rPr>
        <w:tab/>
      </w:r>
      <w:r w:rsidRPr="00047543">
        <w:rPr>
          <w:noProof/>
        </w:rPr>
        <w:t>I punkt 2 ska följande stycke läggas till:</w:t>
      </w:r>
    </w:p>
    <w:p w14:paraId="31A6E56E" w14:textId="77777777" w:rsidR="005F10B1" w:rsidRPr="00047543" w:rsidRDefault="00A55DE9" w:rsidP="007E5F77">
      <w:pPr>
        <w:pStyle w:val="Text1"/>
        <w:rPr>
          <w:noProof/>
        </w:rPr>
      </w:pPr>
      <w:r w:rsidRPr="00047543">
        <w:rPr>
          <w:noProof/>
        </w:rPr>
        <w:t>”PEPP-sparinstitutet eller PEPP-distributören ska även tydligt informera den presumtiva PEPP-spararen om att jämförande information om kostnader och resultat för samtliga PEPP-produkter är offentligt tillgänglig via det register som avses i artikel 13.1, samt på ett klart och framträdande sätt ange internetlänken till detta register.”</w:t>
      </w:r>
    </w:p>
    <w:p w14:paraId="6ABC8839" w14:textId="77777777" w:rsidR="00A55DE9" w:rsidRPr="00047543" w:rsidRDefault="00FF230C" w:rsidP="00527C03">
      <w:pPr>
        <w:pStyle w:val="Point1"/>
        <w:rPr>
          <w:noProof/>
        </w:rPr>
      </w:pPr>
      <w:r>
        <w:rPr>
          <w:noProof/>
        </w:rPr>
        <w:t>(b)</w:t>
      </w:r>
      <w:r>
        <w:rPr>
          <w:noProof/>
        </w:rPr>
        <w:tab/>
      </w:r>
      <w:r w:rsidRPr="00047543">
        <w:rPr>
          <w:noProof/>
        </w:rPr>
        <w:t>Punkt 3 ska ersättas med följande:</w:t>
      </w:r>
    </w:p>
    <w:p w14:paraId="5DC2D5B0" w14:textId="77777777" w:rsidR="00FF230C" w:rsidRPr="00047543" w:rsidRDefault="0012621A" w:rsidP="0034158E">
      <w:pPr>
        <w:pStyle w:val="Text1"/>
        <w:rPr>
          <w:noProof/>
        </w:rPr>
      </w:pPr>
      <w:r w:rsidRPr="00047543">
        <w:rPr>
          <w:noProof/>
        </w:rPr>
        <w:t>”3.</w:t>
      </w:r>
      <w:r w:rsidRPr="00047543">
        <w:rPr>
          <w:noProof/>
        </w:rPr>
        <w:tab/>
        <w:t xml:space="preserve">Kravet att ge rådgivning till en presumtiv PEPP-sparare i enlighet med punkt 2 första stycket ska inte gälla distributionen av bas-PEPP-produkten. </w:t>
      </w:r>
    </w:p>
    <w:p w14:paraId="168C98C2" w14:textId="77777777" w:rsidR="00FF230C" w:rsidRPr="00047543" w:rsidRDefault="00FF230C" w:rsidP="0034158E">
      <w:pPr>
        <w:pStyle w:val="Text1"/>
        <w:rPr>
          <w:noProof/>
        </w:rPr>
      </w:pPr>
      <w:r w:rsidRPr="00047543">
        <w:rPr>
          <w:noProof/>
        </w:rPr>
        <w:t>Om rådgivning ges om distributionen av bas-PEPP-produkten ska rådgivningen endast tillhandahållas på begäran av PEPP-spararen. PEPP-sparinstitutet eller PEPP-distributören ska ge råd på oberoende grund.”</w:t>
      </w:r>
    </w:p>
    <w:p w14:paraId="2ACCF975" w14:textId="77777777" w:rsidR="00647829" w:rsidRPr="00047543" w:rsidRDefault="00647829" w:rsidP="00527C03">
      <w:pPr>
        <w:pStyle w:val="Point1"/>
        <w:rPr>
          <w:noProof/>
        </w:rPr>
      </w:pPr>
      <w:r>
        <w:rPr>
          <w:noProof/>
        </w:rPr>
        <w:t>(c)</w:t>
      </w:r>
      <w:r>
        <w:rPr>
          <w:noProof/>
        </w:rPr>
        <w:tab/>
      </w:r>
      <w:r w:rsidRPr="00047543">
        <w:rPr>
          <w:noProof/>
        </w:rPr>
        <w:t>Följande punkt ska införas som punkt 4a:</w:t>
      </w:r>
    </w:p>
    <w:p w14:paraId="148AD313" w14:textId="77777777" w:rsidR="00647829" w:rsidRPr="00047543" w:rsidRDefault="0012621A" w:rsidP="0034158E">
      <w:pPr>
        <w:pStyle w:val="Text1"/>
        <w:rPr>
          <w:noProof/>
        </w:rPr>
      </w:pPr>
      <w:r w:rsidRPr="00047543">
        <w:rPr>
          <w:noProof/>
        </w:rPr>
        <w:t>”4a.</w:t>
      </w:r>
      <w:r w:rsidRPr="00047543">
        <w:rPr>
          <w:noProof/>
        </w:rPr>
        <w:tab/>
        <w:t>Genom undantag från punkt 4 ska PEPP-sparinstitutet eller PEPP-distributören, om rådgivning ges i samband med distributionen av bas-PEPP-produkten, inte vara skyldig att inhämta information om den presumtiva PEPP-spararens kunskap och erfarenhet.”</w:t>
      </w:r>
    </w:p>
    <w:p w14:paraId="2CD04403" w14:textId="77777777" w:rsidR="005C40C7" w:rsidRPr="00047543" w:rsidRDefault="0012621A" w:rsidP="00527C03">
      <w:pPr>
        <w:pStyle w:val="Point0"/>
        <w:rPr>
          <w:noProof/>
        </w:rPr>
      </w:pPr>
      <w:r>
        <w:rPr>
          <w:noProof/>
        </w:rPr>
        <w:t>(13)</w:t>
      </w:r>
      <w:r>
        <w:rPr>
          <w:noProof/>
        </w:rPr>
        <w:tab/>
      </w:r>
      <w:r w:rsidRPr="00047543">
        <w:rPr>
          <w:noProof/>
        </w:rPr>
        <w:t>Artikel 36.1 ska ändras på följande sätt:</w:t>
      </w:r>
    </w:p>
    <w:p w14:paraId="4CCE0533" w14:textId="77777777" w:rsidR="008B06BA" w:rsidRPr="00047543" w:rsidRDefault="00050897" w:rsidP="008B06BA">
      <w:pPr>
        <w:pStyle w:val="Point1"/>
        <w:rPr>
          <w:noProof/>
        </w:rPr>
      </w:pPr>
      <w:r>
        <w:rPr>
          <w:noProof/>
        </w:rPr>
        <w:t>(a)</w:t>
      </w:r>
      <w:r>
        <w:rPr>
          <w:noProof/>
        </w:rPr>
        <w:tab/>
      </w:r>
      <w:r w:rsidRPr="00047543">
        <w:rPr>
          <w:noProof/>
        </w:rPr>
        <w:t>Andra meningen i led d ska ersättas med följande:</w:t>
      </w:r>
    </w:p>
    <w:p w14:paraId="16AA54C4" w14:textId="77777777" w:rsidR="008C44DA" w:rsidRPr="00047543" w:rsidRDefault="008C44DA" w:rsidP="00B871C4">
      <w:pPr>
        <w:pStyle w:val="Text1"/>
        <w:rPr>
          <w:noProof/>
        </w:rPr>
      </w:pPr>
      <w:r w:rsidRPr="00047543">
        <w:rPr>
          <w:noProof/>
        </w:rPr>
        <w:t>”Om prognosen för pensionsförmånerna grundas på ekonomiska scenarier ska den informationen också innehålla ett bästa scenario, ett förmånligt scenario och ett oförmånligt scenario, med beaktande av PEPP-avtalets särskilda karaktär.”</w:t>
      </w:r>
    </w:p>
    <w:p w14:paraId="1F829183" w14:textId="77777777" w:rsidR="0051443C" w:rsidRPr="00047543" w:rsidRDefault="28D9158D" w:rsidP="00B871C4">
      <w:pPr>
        <w:pStyle w:val="Point1"/>
        <w:rPr>
          <w:noProof/>
        </w:rPr>
      </w:pPr>
      <w:r>
        <w:rPr>
          <w:noProof/>
        </w:rPr>
        <w:t>(b)</w:t>
      </w:r>
      <w:r>
        <w:rPr>
          <w:noProof/>
        </w:rPr>
        <w:tab/>
      </w:r>
      <w:r w:rsidRPr="00047543">
        <w:rPr>
          <w:noProof/>
        </w:rPr>
        <w:t>Led f ska ersättas med följande:</w:t>
      </w:r>
    </w:p>
    <w:p w14:paraId="6F150BCE" w14:textId="77777777" w:rsidR="0051443C" w:rsidRPr="00047543" w:rsidRDefault="3AECB94E" w:rsidP="50A1299C">
      <w:pPr>
        <w:pStyle w:val="Point1"/>
        <w:rPr>
          <w:noProof/>
        </w:rPr>
      </w:pPr>
      <w:r w:rsidRPr="00047543">
        <w:rPr>
          <w:noProof/>
        </w:rPr>
        <w:t xml:space="preserve">”f) </w:t>
      </w:r>
      <w:r w:rsidRPr="00047543">
        <w:rPr>
          <w:noProof/>
        </w:rPr>
        <w:tab/>
        <w:t>En specificering av alla de kostnader som PEPP-spararen direkt och indirekt debiterats under de senaste tolv månaderna och på sammansatt basis sedan avtalstidens början, uttryckt både i pengar och i procent av inbetalningarna på sammansatt basis under de senaste tolv månaderna och sedan avtalstidens början, med angivande av</w:t>
      </w:r>
    </w:p>
    <w:p w14:paraId="1572C70A" w14:textId="77777777" w:rsidR="0051443C" w:rsidRPr="00047543" w:rsidRDefault="00E156A8" w:rsidP="00B871C4">
      <w:pPr>
        <w:pStyle w:val="Point2"/>
        <w:rPr>
          <w:noProof/>
        </w:rPr>
      </w:pPr>
      <w:r w:rsidRPr="00047543">
        <w:rPr>
          <w:noProof/>
        </w:rPr>
        <w:t>i)</w:t>
      </w:r>
      <w:r w:rsidRPr="00047543">
        <w:rPr>
          <w:noProof/>
        </w:rPr>
        <w:tab/>
        <w:t>förvaltningskostnad,</w:t>
      </w:r>
    </w:p>
    <w:p w14:paraId="6F4A7F01" w14:textId="77777777" w:rsidR="000A530F" w:rsidRPr="00047543" w:rsidRDefault="00E156A8" w:rsidP="00B871C4">
      <w:pPr>
        <w:pStyle w:val="Point2"/>
        <w:rPr>
          <w:noProof/>
        </w:rPr>
      </w:pPr>
      <w:r w:rsidRPr="00047543">
        <w:rPr>
          <w:noProof/>
        </w:rPr>
        <w:t>ii)</w:t>
      </w:r>
      <w:r w:rsidRPr="00047543">
        <w:rPr>
          <w:noProof/>
        </w:rPr>
        <w:tab/>
        <w:t>kostnad för förvaring av tillgångar,</w:t>
      </w:r>
    </w:p>
    <w:p w14:paraId="17F7484B" w14:textId="77777777" w:rsidR="00AC0FB1" w:rsidRPr="00047543" w:rsidRDefault="00E156A8" w:rsidP="00B871C4">
      <w:pPr>
        <w:pStyle w:val="Point2"/>
        <w:rPr>
          <w:noProof/>
        </w:rPr>
      </w:pPr>
      <w:r w:rsidRPr="00047543">
        <w:rPr>
          <w:noProof/>
        </w:rPr>
        <w:t>iii)</w:t>
      </w:r>
      <w:r w:rsidRPr="00047543">
        <w:rPr>
          <w:noProof/>
        </w:rPr>
        <w:tab/>
        <w:t>kostnader som avser portföljtransaktioner,</w:t>
      </w:r>
    </w:p>
    <w:p w14:paraId="049D33B3" w14:textId="77777777" w:rsidR="00475FAC" w:rsidRPr="00047543" w:rsidRDefault="00E156A8" w:rsidP="00B871C4">
      <w:pPr>
        <w:pStyle w:val="Point2"/>
        <w:rPr>
          <w:noProof/>
        </w:rPr>
      </w:pPr>
      <w:r w:rsidRPr="00047543">
        <w:rPr>
          <w:noProof/>
        </w:rPr>
        <w:t>iv)</w:t>
      </w:r>
      <w:r w:rsidRPr="00047543">
        <w:rPr>
          <w:noProof/>
        </w:rPr>
        <w:tab/>
        <w:t>kostnader för eventuella kapitalgarantier och andra kostnader,</w:t>
      </w:r>
    </w:p>
    <w:p w14:paraId="1DD51453" w14:textId="77777777" w:rsidR="0051443C" w:rsidRPr="00047543" w:rsidRDefault="00E156A8" w:rsidP="00B871C4">
      <w:pPr>
        <w:pStyle w:val="Point2"/>
        <w:rPr>
          <w:noProof/>
        </w:rPr>
      </w:pPr>
      <w:r w:rsidRPr="00047543">
        <w:rPr>
          <w:noProof/>
        </w:rPr>
        <w:t>v)</w:t>
      </w:r>
      <w:r w:rsidRPr="00047543">
        <w:rPr>
          <w:noProof/>
        </w:rPr>
        <w:tab/>
        <w:t>en uppskattning av kostnadernas inverkan på de slutliga PEPP-förmånerna.”</w:t>
      </w:r>
    </w:p>
    <w:p w14:paraId="127973C5" w14:textId="77777777" w:rsidR="000B1EE2" w:rsidRPr="00047543" w:rsidRDefault="000B1EE2" w:rsidP="00B871C4">
      <w:pPr>
        <w:pStyle w:val="Point1"/>
        <w:rPr>
          <w:noProof/>
        </w:rPr>
      </w:pPr>
      <w:r>
        <w:rPr>
          <w:noProof/>
        </w:rPr>
        <w:t>(c)</w:t>
      </w:r>
      <w:r>
        <w:rPr>
          <w:noProof/>
        </w:rPr>
        <w:tab/>
      </w:r>
      <w:r w:rsidRPr="00047543">
        <w:rPr>
          <w:noProof/>
        </w:rPr>
        <w:t>Följande led ska läggas till som led m:</w:t>
      </w:r>
    </w:p>
    <w:p w14:paraId="585B0835" w14:textId="77777777" w:rsidR="000B1EE2" w:rsidRPr="00047543" w:rsidRDefault="00A32ADA" w:rsidP="00A32ADA">
      <w:pPr>
        <w:pStyle w:val="Point1"/>
        <w:rPr>
          <w:noProof/>
        </w:rPr>
      </w:pPr>
      <w:r w:rsidRPr="00047543">
        <w:rPr>
          <w:noProof/>
        </w:rPr>
        <w:t>”m)</w:t>
      </w:r>
      <w:r w:rsidRPr="00047543">
        <w:rPr>
          <w:noProof/>
        </w:rPr>
        <w:tab/>
        <w:t>Uppgift om att Eiopa för ett register över alla PEPP-produkter, vilket möjliggör en jämförelse av kostnader och resultat, och länken till det register som avses i artikel 13.1.”</w:t>
      </w:r>
    </w:p>
    <w:p w14:paraId="3756C993" w14:textId="77777777" w:rsidR="00DA08D6" w:rsidRPr="00047543" w:rsidRDefault="00B9718E" w:rsidP="00272FA7">
      <w:pPr>
        <w:pStyle w:val="Point0"/>
        <w:rPr>
          <w:noProof/>
        </w:rPr>
      </w:pPr>
      <w:r>
        <w:rPr>
          <w:noProof/>
        </w:rPr>
        <w:t>(14)</w:t>
      </w:r>
      <w:r>
        <w:rPr>
          <w:noProof/>
        </w:rPr>
        <w:tab/>
      </w:r>
      <w:r w:rsidRPr="00047543">
        <w:rPr>
          <w:noProof/>
        </w:rPr>
        <w:t xml:space="preserve">Artikel 38 ska ersättas med följande: </w:t>
      </w:r>
    </w:p>
    <w:p w14:paraId="177FCA98" w14:textId="77777777" w:rsidR="00063FD7" w:rsidRPr="00047543" w:rsidRDefault="00103004" w:rsidP="00E832B4">
      <w:pPr>
        <w:pStyle w:val="Titrearticle"/>
        <w:rPr>
          <w:b/>
          <w:i w:val="0"/>
          <w:noProof/>
        </w:rPr>
      </w:pPr>
      <w:r w:rsidRPr="00047543">
        <w:rPr>
          <w:noProof/>
        </w:rPr>
        <w:t xml:space="preserve">”Artikel 38 </w:t>
      </w:r>
      <w:r w:rsidRPr="00047543">
        <w:rPr>
          <w:noProof/>
        </w:rPr>
        <w:cr/>
      </w:r>
      <w:r w:rsidRPr="00047543">
        <w:rPr>
          <w:noProof/>
        </w:rPr>
        <w:br/>
      </w:r>
      <w:r w:rsidRPr="00047543">
        <w:rPr>
          <w:b/>
          <w:i w:val="0"/>
          <w:noProof/>
        </w:rPr>
        <w:t>Information som ska lämnas till PEPP-sparare under tiden före pensionering och till PEPP-förmånstagare under utbetalningsfasen</w:t>
      </w:r>
    </w:p>
    <w:p w14:paraId="1C8BF9EB" w14:textId="77777777" w:rsidR="00063FD7" w:rsidRPr="00047543" w:rsidRDefault="00063FD7" w:rsidP="00E832B4">
      <w:pPr>
        <w:pStyle w:val="Text1"/>
        <w:rPr>
          <w:noProof/>
        </w:rPr>
      </w:pPr>
      <w:r w:rsidRPr="00047543">
        <w:rPr>
          <w:noProof/>
        </w:rPr>
        <w:t>1.</w:t>
      </w:r>
      <w:r w:rsidRPr="00047543">
        <w:rPr>
          <w:noProof/>
        </w:rPr>
        <w:tab/>
        <w:t>Utöver PEPP-pensionsbeskedet ska PEPP-sparinstitut två månader före de datum som avses i artikel 59.1 a och b eller på PEPP-spararens begäran lämna information om det kommande inledandet av utbetalningsfasen, möjliga former av utbetalningar, inbegripet kostnader och avgifter i samband med varje form av utbetalning och tillämplig skattemässig behandling, och möjligheten för PEPP-spararen att ändra formen av utbetalningar i enlighet med artikel 59.1.</w:t>
      </w:r>
    </w:p>
    <w:p w14:paraId="40FF77E6" w14:textId="77777777" w:rsidR="00063FD7" w:rsidRPr="00047543" w:rsidRDefault="00063FD7" w:rsidP="00E832B4">
      <w:pPr>
        <w:pStyle w:val="Text1"/>
        <w:rPr>
          <w:noProof/>
        </w:rPr>
      </w:pPr>
      <w:r w:rsidRPr="00047543">
        <w:rPr>
          <w:noProof/>
        </w:rPr>
        <w:t>Informationen ska åtföljas av en kortfattad förklaring med följande uppgifter:</w:t>
      </w:r>
    </w:p>
    <w:p w14:paraId="23A78FFE" w14:textId="77777777" w:rsidR="00063FD7" w:rsidRPr="00047543" w:rsidRDefault="00063FD7" w:rsidP="00E832B4">
      <w:pPr>
        <w:pStyle w:val="Point1"/>
        <w:rPr>
          <w:noProof/>
        </w:rPr>
      </w:pPr>
      <w:r>
        <w:rPr>
          <w:noProof/>
        </w:rPr>
        <w:t>(a)</w:t>
      </w:r>
      <w:r>
        <w:rPr>
          <w:noProof/>
        </w:rPr>
        <w:tab/>
      </w:r>
      <w:r w:rsidRPr="00047543">
        <w:rPr>
          <w:noProof/>
        </w:rPr>
        <w:t xml:space="preserve">De viktigaste egenskaperna hos varje form av utbetalning samt deras konsekvenser och potentiella effekter för PEPP-spararen och, i förekommande fall, för PEPP-förmånstagarna. </w:t>
      </w:r>
    </w:p>
    <w:p w14:paraId="6E4BCA27" w14:textId="77777777" w:rsidR="00063FD7" w:rsidRPr="00047543" w:rsidRDefault="00063FD7" w:rsidP="00E832B4">
      <w:pPr>
        <w:pStyle w:val="Point1"/>
        <w:rPr>
          <w:noProof/>
        </w:rPr>
      </w:pPr>
      <w:r>
        <w:rPr>
          <w:noProof/>
        </w:rPr>
        <w:t>(b)</w:t>
      </w:r>
      <w:r>
        <w:rPr>
          <w:noProof/>
        </w:rPr>
        <w:tab/>
      </w:r>
      <w:r w:rsidRPr="00047543">
        <w:rPr>
          <w:noProof/>
        </w:rPr>
        <w:t xml:space="preserve">De risker och faktorer som skulle kunna inverka negativt på pensionsinkomstens nivå, stabilitet eller varaktighet. </w:t>
      </w:r>
    </w:p>
    <w:p w14:paraId="6C9733ED" w14:textId="77777777" w:rsidR="00063FD7" w:rsidRPr="00047543" w:rsidRDefault="00063FD7" w:rsidP="00E832B4">
      <w:pPr>
        <w:pStyle w:val="Point1"/>
        <w:rPr>
          <w:noProof/>
        </w:rPr>
      </w:pPr>
      <w:r>
        <w:rPr>
          <w:noProof/>
        </w:rPr>
        <w:t>(c)</w:t>
      </w:r>
      <w:r>
        <w:rPr>
          <w:noProof/>
        </w:rPr>
        <w:tab/>
      </w:r>
      <w:r w:rsidRPr="00047543">
        <w:rPr>
          <w:noProof/>
        </w:rPr>
        <w:t>Omständigheter och kriterier som PEPP-spararna ska beakta vid bedömningen av om de olika alternativen för utbetalning är lämpliga för deras individuella situation.</w:t>
      </w:r>
    </w:p>
    <w:p w14:paraId="7FAFEB61" w14:textId="77777777" w:rsidR="00063FD7" w:rsidRPr="00047543" w:rsidRDefault="00063FD7" w:rsidP="00E832B4">
      <w:pPr>
        <w:pStyle w:val="Text1"/>
        <w:rPr>
          <w:noProof/>
        </w:rPr>
      </w:pPr>
      <w:r w:rsidRPr="00047543">
        <w:rPr>
          <w:noProof/>
        </w:rPr>
        <w:t>Om en av de former av utbetalning som erbjuds av PEPP-sparinstitutet är en rörlig annuitet ska PEPP-sparinstitutet, två månader före de tidpunkter som avses i artikel 59.1 a och b, ge varje PEPP-sparare prognoser som illustrerar den potentiella variationen i utbetalningsbeloppet över tid.</w:t>
      </w:r>
    </w:p>
    <w:p w14:paraId="1AE5D1D1" w14:textId="77777777" w:rsidR="00063FD7" w:rsidRPr="00047543" w:rsidRDefault="00063FD7" w:rsidP="00E832B4">
      <w:pPr>
        <w:pStyle w:val="Text1"/>
        <w:rPr>
          <w:noProof/>
        </w:rPr>
      </w:pPr>
      <w:r w:rsidRPr="00047543">
        <w:rPr>
          <w:noProof/>
        </w:rPr>
        <w:t>2.</w:t>
      </w:r>
      <w:r w:rsidRPr="00047543">
        <w:rPr>
          <w:noProof/>
        </w:rPr>
        <w:tab/>
        <w:t>Under utbetalningsfasen ska PEPP-sparinstitut årligen lämna information till PEPP-förmånstagare om de PEPP-förmåner som ska betalas ut och motsvarande former av utbetalningar.</w:t>
      </w:r>
    </w:p>
    <w:p w14:paraId="7DAEEFDA" w14:textId="77777777" w:rsidR="00063FD7" w:rsidRPr="00047543" w:rsidRDefault="00063FD7" w:rsidP="00E832B4">
      <w:pPr>
        <w:pStyle w:val="Text1"/>
        <w:rPr>
          <w:noProof/>
        </w:rPr>
      </w:pPr>
      <w:r w:rsidRPr="00047543">
        <w:rPr>
          <w:noProof/>
        </w:rPr>
        <w:t>Informationen ska innehålla en beskrivning av de viktigaste faktorer som kan påverka nivån eller varaktigheten på pensionsinkomsten, inklusive investeringsrisker och risker förknippad med förväntad livslängd, och ska, i förekommande fall, ange rätten att ändra utbetalningsformen.</w:t>
      </w:r>
    </w:p>
    <w:p w14:paraId="3B346F7D" w14:textId="77777777" w:rsidR="00063FD7" w:rsidRPr="00047543" w:rsidRDefault="00063FD7" w:rsidP="00E832B4">
      <w:pPr>
        <w:pStyle w:val="Text1"/>
        <w:rPr>
          <w:noProof/>
        </w:rPr>
      </w:pPr>
      <w:r w:rsidRPr="00047543">
        <w:rPr>
          <w:noProof/>
        </w:rPr>
        <w:t>Om PEPP-spararen fortsätter att göra inbetalningar eller ta på sig investeringsrisk under utbetalningsfasen ska PEPP-sparinstitutet fortsätta att tillhandahålla PEPP-pensionsbeskedet.”</w:t>
      </w:r>
    </w:p>
    <w:p w14:paraId="65A5DA76" w14:textId="77777777" w:rsidR="00B9718E" w:rsidRPr="00047543" w:rsidRDefault="007A49F4" w:rsidP="00272FA7">
      <w:pPr>
        <w:pStyle w:val="Point0"/>
        <w:rPr>
          <w:noProof/>
        </w:rPr>
      </w:pPr>
      <w:r>
        <w:rPr>
          <w:noProof/>
        </w:rPr>
        <w:t>(15)</w:t>
      </w:r>
      <w:r>
        <w:rPr>
          <w:noProof/>
        </w:rPr>
        <w:tab/>
      </w:r>
      <w:r w:rsidRPr="00047543">
        <w:rPr>
          <w:noProof/>
        </w:rPr>
        <w:t>Följande artikel ska införas som artikel 39a:</w:t>
      </w:r>
    </w:p>
    <w:p w14:paraId="26BAC8B8" w14:textId="77777777" w:rsidR="007A49F4" w:rsidRPr="00047543" w:rsidRDefault="007968C1" w:rsidP="0034158E">
      <w:pPr>
        <w:pStyle w:val="Titrearticle"/>
        <w:rPr>
          <w:b/>
          <w:i w:val="0"/>
          <w:noProof/>
        </w:rPr>
      </w:pPr>
      <w:r w:rsidRPr="00047543">
        <w:rPr>
          <w:noProof/>
        </w:rPr>
        <w:t xml:space="preserve">”Artikel 39a </w:t>
      </w:r>
      <w:r w:rsidRPr="00047543">
        <w:rPr>
          <w:noProof/>
        </w:rPr>
        <w:cr/>
      </w:r>
      <w:r w:rsidRPr="00047543">
        <w:rPr>
          <w:noProof/>
        </w:rPr>
        <w:br/>
      </w:r>
      <w:r w:rsidRPr="00047543">
        <w:rPr>
          <w:b/>
          <w:i w:val="0"/>
          <w:noProof/>
        </w:rPr>
        <w:t>Information under avtalstiden om arbetsgivare betalar in till en PEPP-produkt</w:t>
      </w:r>
    </w:p>
    <w:p w14:paraId="66B30B3D" w14:textId="77777777" w:rsidR="005C40C7" w:rsidRPr="00047543" w:rsidRDefault="007A49F4" w:rsidP="0034158E">
      <w:pPr>
        <w:pStyle w:val="Text1"/>
        <w:rPr>
          <w:noProof/>
        </w:rPr>
      </w:pPr>
      <w:r w:rsidRPr="00047543">
        <w:rPr>
          <w:noProof/>
        </w:rPr>
        <w:t>Utöver den information som avses i artiklarna 36–39 ska, när en arbetsgivare betalar in till en PEPP-produkt i enlighet med artikel 47.3 eller 47.4, PEPP-pensionsbeskedet innehålla uppgifter om de inbetalningar som arbetsgivaren respektive PEPP-spararen har gjort till PEPP-produkten, åtminstone för de senaste tolv månaderna, samt ackumulerat sedan investeringens början, både i lokal valuta och som andel av de ackumulerade inbetalningarna under den aktuella perioden.”</w:t>
      </w:r>
    </w:p>
    <w:p w14:paraId="7DC31F8A" w14:textId="77777777" w:rsidR="009232E1" w:rsidRPr="00047543" w:rsidRDefault="009232E1" w:rsidP="00272FA7">
      <w:pPr>
        <w:pStyle w:val="Point0"/>
        <w:rPr>
          <w:noProof/>
        </w:rPr>
      </w:pPr>
      <w:r>
        <w:rPr>
          <w:noProof/>
        </w:rPr>
        <w:t>(16)</w:t>
      </w:r>
      <w:r>
        <w:rPr>
          <w:noProof/>
        </w:rPr>
        <w:tab/>
      </w:r>
      <w:r w:rsidRPr="00047543">
        <w:rPr>
          <w:noProof/>
        </w:rPr>
        <w:t>Artikel 41.1 ska ändras på följande sätt:</w:t>
      </w:r>
    </w:p>
    <w:p w14:paraId="419DDF0E" w14:textId="77777777" w:rsidR="009232E1" w:rsidRPr="00047543" w:rsidRDefault="00AF2B92" w:rsidP="009232E1">
      <w:pPr>
        <w:pStyle w:val="Point1"/>
        <w:rPr>
          <w:noProof/>
        </w:rPr>
      </w:pPr>
      <w:r>
        <w:rPr>
          <w:noProof/>
        </w:rPr>
        <w:t>(a)</w:t>
      </w:r>
      <w:r>
        <w:rPr>
          <w:noProof/>
        </w:rPr>
        <w:tab/>
      </w:r>
      <w:r w:rsidRPr="00047543">
        <w:rPr>
          <w:noProof/>
        </w:rPr>
        <w:t>Inledningen ska ersättas med följande:</w:t>
      </w:r>
    </w:p>
    <w:p w14:paraId="6082E18B" w14:textId="77777777" w:rsidR="00527ACB" w:rsidRPr="00047543" w:rsidRDefault="00527ACB" w:rsidP="000238CE">
      <w:pPr>
        <w:pStyle w:val="Text1"/>
        <w:rPr>
          <w:noProof/>
        </w:rPr>
      </w:pPr>
      <w:r w:rsidRPr="00047543">
        <w:rPr>
          <w:noProof/>
        </w:rPr>
        <w:t>”PEPP-sparinstitut ska investera de tillgångar som motsvarar PEPP-produkten i enlighet med aktsamhetsprincipen och särskilt i enlighet med följande principer:”</w:t>
      </w:r>
    </w:p>
    <w:p w14:paraId="181379F3" w14:textId="77777777" w:rsidR="00527ACB" w:rsidRPr="00047543" w:rsidRDefault="00AF2B92" w:rsidP="009232E1">
      <w:pPr>
        <w:pStyle w:val="Point1"/>
        <w:rPr>
          <w:noProof/>
        </w:rPr>
      </w:pPr>
      <w:r>
        <w:rPr>
          <w:noProof/>
        </w:rPr>
        <w:t>(b)</w:t>
      </w:r>
      <w:r>
        <w:rPr>
          <w:noProof/>
        </w:rPr>
        <w:tab/>
      </w:r>
      <w:r w:rsidRPr="00047543">
        <w:rPr>
          <w:noProof/>
        </w:rPr>
        <w:t>Led b ska ersättas med följande:</w:t>
      </w:r>
    </w:p>
    <w:p w14:paraId="3E3A1AB2" w14:textId="77777777" w:rsidR="00AF2B92" w:rsidRPr="00047543" w:rsidRDefault="00AF2B92" w:rsidP="000238CE">
      <w:pPr>
        <w:pStyle w:val="Point1"/>
        <w:rPr>
          <w:noProof/>
        </w:rPr>
      </w:pPr>
      <w:r w:rsidRPr="00047543">
        <w:rPr>
          <w:noProof/>
        </w:rPr>
        <w:t>”b)</w:t>
      </w:r>
      <w:r w:rsidRPr="00047543">
        <w:rPr>
          <w:noProof/>
        </w:rPr>
        <w:tab/>
        <w:t>Inom ramen för denna aktsamhetsprincip ska PEPP-sparinstituten beakta risker som är förknippade med ESG-faktorer och investeringsbeslutens möjliga långsiktiga konsekvenser för dessa faktorer.”</w:t>
      </w:r>
    </w:p>
    <w:p w14:paraId="561EFA13" w14:textId="77777777" w:rsidR="00AF2B92" w:rsidRPr="00047543" w:rsidRDefault="00E150F9" w:rsidP="009232E1">
      <w:pPr>
        <w:pStyle w:val="Point1"/>
        <w:rPr>
          <w:noProof/>
        </w:rPr>
      </w:pPr>
      <w:r>
        <w:rPr>
          <w:noProof/>
        </w:rPr>
        <w:t>(c)</w:t>
      </w:r>
      <w:r>
        <w:rPr>
          <w:noProof/>
        </w:rPr>
        <w:tab/>
      </w:r>
      <w:r w:rsidRPr="00047543">
        <w:rPr>
          <w:noProof/>
        </w:rPr>
        <w:t>Led d ska ersättas med följande:</w:t>
      </w:r>
    </w:p>
    <w:p w14:paraId="7D6C9BD1" w14:textId="77777777" w:rsidR="00E150F9" w:rsidRPr="00047543" w:rsidRDefault="00E150F9" w:rsidP="000238CE">
      <w:pPr>
        <w:pStyle w:val="Point1"/>
        <w:rPr>
          <w:noProof/>
        </w:rPr>
      </w:pPr>
      <w:r w:rsidRPr="00047543">
        <w:rPr>
          <w:noProof/>
        </w:rPr>
        <w:t>”d)</w:t>
      </w:r>
      <w:r w:rsidRPr="00047543">
        <w:rPr>
          <w:noProof/>
        </w:rPr>
        <w:tab/>
        <w:t>Tillgångarna ska till övervägande del investeras på reglerade marknader enligt definitionen i artikel 4.1.21 i direktiv 2014/65/EU, multilaterala handelsplattformar (MTF-plattformar) enligt definitionen i artikel 4.1.22 i det direktivet och organiserade handelsplattformar (OTF-plattformar) enligt definitionen i artikel 4.1.23 i det direktivet.”</w:t>
      </w:r>
    </w:p>
    <w:p w14:paraId="4AA296DD" w14:textId="77777777" w:rsidR="007A49F4" w:rsidRPr="00047543" w:rsidRDefault="0034158E" w:rsidP="00272FA7">
      <w:pPr>
        <w:pStyle w:val="Point0"/>
        <w:rPr>
          <w:noProof/>
        </w:rPr>
      </w:pPr>
      <w:r>
        <w:rPr>
          <w:noProof/>
        </w:rPr>
        <w:t>(17)</w:t>
      </w:r>
      <w:r>
        <w:rPr>
          <w:noProof/>
        </w:rPr>
        <w:tab/>
      </w:r>
      <w:r w:rsidRPr="00047543">
        <w:rPr>
          <w:noProof/>
        </w:rPr>
        <w:t>I artikel 42 ska punkterna 1, 2 och 3 ersättas med följande:</w:t>
      </w:r>
    </w:p>
    <w:p w14:paraId="5A827287" w14:textId="77777777" w:rsidR="007968C1" w:rsidRPr="00047543" w:rsidRDefault="007968C1" w:rsidP="0034158E">
      <w:pPr>
        <w:pStyle w:val="Text1"/>
        <w:rPr>
          <w:noProof/>
        </w:rPr>
      </w:pPr>
      <w:r w:rsidRPr="00047543">
        <w:rPr>
          <w:noProof/>
        </w:rPr>
        <w:t>”1.</w:t>
      </w:r>
      <w:r w:rsidRPr="00047543">
        <w:rPr>
          <w:noProof/>
        </w:rPr>
        <w:tab/>
        <w:t>PEPP-sparinstitut får erbjuda PEPP-sparare olika investeringsalternativ.</w:t>
      </w:r>
    </w:p>
    <w:p w14:paraId="59708181" w14:textId="77777777" w:rsidR="007968C1" w:rsidRPr="00047543" w:rsidRDefault="007968C1" w:rsidP="0034158E">
      <w:pPr>
        <w:pStyle w:val="Text1"/>
        <w:rPr>
          <w:noProof/>
        </w:rPr>
      </w:pPr>
      <w:r w:rsidRPr="00047543">
        <w:rPr>
          <w:noProof/>
        </w:rPr>
        <w:t>2.</w:t>
      </w:r>
      <w:r w:rsidRPr="00047543">
        <w:rPr>
          <w:noProof/>
        </w:rPr>
        <w:tab/>
        <w:t>Investeringsalternativen ska omfatta minst något av följande:</w:t>
      </w:r>
    </w:p>
    <w:p w14:paraId="4C25113F" w14:textId="77777777" w:rsidR="007968C1" w:rsidRPr="00047543" w:rsidRDefault="007968C1" w:rsidP="0034158E">
      <w:pPr>
        <w:pStyle w:val="Point2"/>
        <w:rPr>
          <w:noProof/>
        </w:rPr>
      </w:pPr>
      <w:r w:rsidRPr="00047543">
        <w:rPr>
          <w:noProof/>
        </w:rPr>
        <w:t xml:space="preserve">a) </w:t>
      </w:r>
      <w:r w:rsidRPr="00047543">
        <w:rPr>
          <w:noProof/>
        </w:rPr>
        <w:tab/>
        <w:t xml:space="preserve">Den bas-PEPP-produkt som avses i artikel 45. </w:t>
      </w:r>
    </w:p>
    <w:p w14:paraId="4513807E" w14:textId="35FD2BE8" w:rsidR="007968C1" w:rsidRPr="00047543" w:rsidRDefault="007968C1" w:rsidP="0034158E">
      <w:pPr>
        <w:pStyle w:val="Point2"/>
        <w:rPr>
          <w:noProof/>
        </w:rPr>
      </w:pPr>
      <w:r w:rsidRPr="00047543">
        <w:rPr>
          <w:noProof/>
        </w:rPr>
        <w:t xml:space="preserve">b) </w:t>
      </w:r>
      <w:r w:rsidRPr="00047543">
        <w:rPr>
          <w:noProof/>
        </w:rPr>
        <w:tab/>
        <w:t xml:space="preserve">En skräddarsydd PEPP-produkt med andra investeringsalternativ än de som avses i artikel 45. </w:t>
      </w:r>
    </w:p>
    <w:p w14:paraId="18353D1D" w14:textId="5BC0F082" w:rsidR="005C40C7" w:rsidRPr="00047543" w:rsidRDefault="007968C1" w:rsidP="0034158E">
      <w:pPr>
        <w:pStyle w:val="Text1"/>
        <w:rPr>
          <w:noProof/>
        </w:rPr>
      </w:pPr>
      <w:r w:rsidRPr="00047543">
        <w:rPr>
          <w:noProof/>
        </w:rPr>
        <w:t>3.</w:t>
      </w:r>
      <w:r w:rsidRPr="00047543">
        <w:rPr>
          <w:noProof/>
        </w:rPr>
        <w:tab/>
        <w:t xml:space="preserve"> PEPP-sparinstitut ska utforma investeringsalternativ på grundval av en riskreduceringsteknik i den mening som avses i artikel 46.”</w:t>
      </w:r>
    </w:p>
    <w:p w14:paraId="4D76451F" w14:textId="77777777" w:rsidR="00BF650C" w:rsidRPr="00047543" w:rsidRDefault="00BF650C" w:rsidP="00BF650C">
      <w:pPr>
        <w:pStyle w:val="Point0"/>
        <w:rPr>
          <w:noProof/>
        </w:rPr>
      </w:pPr>
      <w:r>
        <w:rPr>
          <w:noProof/>
        </w:rPr>
        <w:t>(18)</w:t>
      </w:r>
      <w:r>
        <w:rPr>
          <w:noProof/>
        </w:rPr>
        <w:tab/>
      </w:r>
      <w:r w:rsidRPr="00047543">
        <w:rPr>
          <w:noProof/>
        </w:rPr>
        <w:t>I artikel 43 ska orden ”efter att ha mottagit relevant information och rådgivning” ersättas med orden ”efter att ha mottagit relevant information och rådgivning, om så begärs eller krävs”.</w:t>
      </w:r>
    </w:p>
    <w:p w14:paraId="4D4689F5" w14:textId="77777777" w:rsidR="00BF650C" w:rsidRPr="00047543" w:rsidRDefault="008327D9" w:rsidP="00BF650C">
      <w:pPr>
        <w:pStyle w:val="Point0"/>
        <w:rPr>
          <w:noProof/>
        </w:rPr>
      </w:pPr>
      <w:r>
        <w:rPr>
          <w:noProof/>
        </w:rPr>
        <w:t>(19)</w:t>
      </w:r>
      <w:r>
        <w:rPr>
          <w:noProof/>
        </w:rPr>
        <w:tab/>
      </w:r>
      <w:r w:rsidRPr="00047543">
        <w:rPr>
          <w:noProof/>
        </w:rPr>
        <w:t>Artikel 45 ska ersättas med följande:</w:t>
      </w:r>
    </w:p>
    <w:p w14:paraId="262751B9" w14:textId="77777777" w:rsidR="008327D9" w:rsidRPr="00047543" w:rsidRDefault="002043FB" w:rsidP="008327D9">
      <w:pPr>
        <w:pStyle w:val="Titrearticle"/>
        <w:rPr>
          <w:b/>
          <w:i w:val="0"/>
          <w:noProof/>
        </w:rPr>
      </w:pPr>
      <w:r w:rsidRPr="00047543">
        <w:rPr>
          <w:noProof/>
        </w:rPr>
        <w:t xml:space="preserve">”Artikel 45 </w:t>
      </w:r>
      <w:r w:rsidRPr="00047543">
        <w:rPr>
          <w:noProof/>
        </w:rPr>
        <w:cr/>
      </w:r>
      <w:r w:rsidRPr="00047543">
        <w:rPr>
          <w:noProof/>
        </w:rPr>
        <w:br/>
      </w:r>
      <w:r w:rsidRPr="00047543">
        <w:rPr>
          <w:b/>
          <w:i w:val="0"/>
          <w:noProof/>
        </w:rPr>
        <w:t>Bas-PEPP-produkten</w:t>
      </w:r>
    </w:p>
    <w:p w14:paraId="4D76F841" w14:textId="77777777" w:rsidR="00FB7B86" w:rsidRPr="00047543" w:rsidRDefault="008C5C93" w:rsidP="00FB7B86">
      <w:pPr>
        <w:pStyle w:val="Text1"/>
        <w:rPr>
          <w:noProof/>
        </w:rPr>
      </w:pPr>
      <w:r w:rsidRPr="00047543">
        <w:rPr>
          <w:noProof/>
        </w:rPr>
        <w:t>1.</w:t>
      </w:r>
      <w:r w:rsidRPr="00047543">
        <w:rPr>
          <w:noProof/>
        </w:rPr>
        <w:tab/>
        <w:t xml:space="preserve">PEPP-sparinstitut ska utforma investeringsalternativet för bas-PEPP-produkter på grundval av en livscykelbaserad investeringsstrategi. </w:t>
      </w:r>
    </w:p>
    <w:p w14:paraId="681EAB7B" w14:textId="77777777" w:rsidR="005C40C7" w:rsidRPr="00047543" w:rsidRDefault="008C5C93" w:rsidP="0034158E">
      <w:pPr>
        <w:pStyle w:val="Text1"/>
        <w:rPr>
          <w:noProof/>
        </w:rPr>
      </w:pPr>
      <w:r w:rsidRPr="00047543">
        <w:rPr>
          <w:noProof/>
        </w:rPr>
        <w:t>2.</w:t>
      </w:r>
      <w:r w:rsidRPr="00047543">
        <w:rPr>
          <w:noProof/>
        </w:rPr>
        <w:tab/>
        <w:t>Utan att det påverkar tillämpningen av investeringsreglerna i artikel 41 ska minst 95 % av bas-PEPP-produktens tillgångar som inte är likvida medel investeras i något av de finansiella instrument som avses i artikel 25.4 a i–iv i direktiv 2014/65/EU.”</w:t>
      </w:r>
    </w:p>
    <w:p w14:paraId="7BA56DAA" w14:textId="77777777" w:rsidR="00A46971" w:rsidRPr="00047543" w:rsidRDefault="00E4257E" w:rsidP="00272FA7">
      <w:pPr>
        <w:pStyle w:val="Point0"/>
        <w:rPr>
          <w:noProof/>
        </w:rPr>
      </w:pPr>
      <w:r>
        <w:rPr>
          <w:noProof/>
        </w:rPr>
        <w:t>(20)</w:t>
      </w:r>
      <w:r>
        <w:rPr>
          <w:noProof/>
        </w:rPr>
        <w:tab/>
      </w:r>
      <w:r w:rsidRPr="00047543">
        <w:rPr>
          <w:noProof/>
        </w:rPr>
        <w:t>Artikel 46 ska ändras på följande sätt:</w:t>
      </w:r>
    </w:p>
    <w:p w14:paraId="146D06C0" w14:textId="77777777" w:rsidR="00E22770" w:rsidRPr="00047543" w:rsidRDefault="00B60677" w:rsidP="0034158E">
      <w:pPr>
        <w:pStyle w:val="Point1"/>
        <w:rPr>
          <w:noProof/>
        </w:rPr>
      </w:pPr>
      <w:r>
        <w:rPr>
          <w:noProof/>
        </w:rPr>
        <w:t>(a)</w:t>
      </w:r>
      <w:r>
        <w:rPr>
          <w:noProof/>
        </w:rPr>
        <w:tab/>
      </w:r>
      <w:r w:rsidRPr="00047543">
        <w:rPr>
          <w:noProof/>
        </w:rPr>
        <w:t>Punkt 1 ska ersättas med följande:</w:t>
      </w:r>
    </w:p>
    <w:p w14:paraId="35A8AE1F" w14:textId="77777777" w:rsidR="008331B9" w:rsidRPr="00047543" w:rsidRDefault="00B60677" w:rsidP="008331B9">
      <w:pPr>
        <w:pStyle w:val="Text1"/>
        <w:rPr>
          <w:noProof/>
        </w:rPr>
      </w:pPr>
      <w:r w:rsidRPr="00047543">
        <w:rPr>
          <w:noProof/>
        </w:rPr>
        <w:t>”1.</w:t>
      </w:r>
      <w:r w:rsidRPr="00047543">
        <w:rPr>
          <w:noProof/>
        </w:rPr>
        <w:tab/>
        <w:t>Användningen av riskreduceringstekniker ska säkerställa att investeringsstrategierna för PEPP-produkten är utformade för att bygga upp en stabil och adekvat individuell framtida pensionsinkomst från PEPP-produkten och säkerställa en rättvis behandling av alla generationer av PEPP-sparare. Dessa riskreduceringstekniker ska beakta den förväntade återstående varaktigheten för PEPP-spararens eller gruppen av PEPP-sparares enskilda intjänandefas och PEPP-spararens valda alternativ för utbetalning. Alla riskreduceringstekniker ska vara sunda, robusta och förenliga med riskprofilen för motsvarande investeringsalternativ.”</w:t>
      </w:r>
    </w:p>
    <w:p w14:paraId="232CA1D9" w14:textId="77777777" w:rsidR="00050D39" w:rsidRPr="00047543" w:rsidRDefault="00050D39" w:rsidP="00B60677">
      <w:pPr>
        <w:pStyle w:val="Point1"/>
        <w:rPr>
          <w:noProof/>
        </w:rPr>
      </w:pPr>
      <w:r>
        <w:rPr>
          <w:noProof/>
        </w:rPr>
        <w:t>(b)</w:t>
      </w:r>
      <w:r>
        <w:rPr>
          <w:noProof/>
        </w:rPr>
        <w:tab/>
      </w:r>
      <w:r w:rsidRPr="00047543">
        <w:rPr>
          <w:noProof/>
        </w:rPr>
        <w:t>I punkt 2 ska led a ersättas med följande:</w:t>
      </w:r>
    </w:p>
    <w:p w14:paraId="0249B95C" w14:textId="77777777" w:rsidR="003922FF" w:rsidRPr="00047543" w:rsidRDefault="003922FF" w:rsidP="003922FF">
      <w:pPr>
        <w:pStyle w:val="Point1"/>
        <w:rPr>
          <w:noProof/>
        </w:rPr>
      </w:pPr>
      <w:r w:rsidRPr="00047543">
        <w:rPr>
          <w:noProof/>
        </w:rPr>
        <w:t>”a)</w:t>
      </w:r>
      <w:r w:rsidRPr="00047543">
        <w:rPr>
          <w:noProof/>
        </w:rPr>
        <w:tab/>
        <w:t>Tillämpning av en livscykelbaserad investeringsstrategi.”</w:t>
      </w:r>
    </w:p>
    <w:p w14:paraId="6158A263" w14:textId="77777777" w:rsidR="003922FF" w:rsidRPr="00047543" w:rsidRDefault="00E30658" w:rsidP="003922FF">
      <w:pPr>
        <w:pStyle w:val="Point1"/>
        <w:rPr>
          <w:noProof/>
        </w:rPr>
      </w:pPr>
      <w:r>
        <w:rPr>
          <w:noProof/>
        </w:rPr>
        <w:t>(c)</w:t>
      </w:r>
      <w:r>
        <w:rPr>
          <w:noProof/>
        </w:rPr>
        <w:tab/>
      </w:r>
      <w:r w:rsidRPr="00047543">
        <w:rPr>
          <w:noProof/>
        </w:rPr>
        <w:t xml:space="preserve">Följande punkt ska införas som punkt 2a: </w:t>
      </w:r>
    </w:p>
    <w:p w14:paraId="205A9100" w14:textId="77777777" w:rsidR="009F56C8" w:rsidRPr="00047543" w:rsidRDefault="003922FF" w:rsidP="008331B9">
      <w:pPr>
        <w:pStyle w:val="Text1"/>
        <w:rPr>
          <w:noProof/>
        </w:rPr>
      </w:pPr>
      <w:r w:rsidRPr="00047543">
        <w:rPr>
          <w:noProof/>
        </w:rPr>
        <w:t>”2a.</w:t>
      </w:r>
      <w:r w:rsidRPr="00047543">
        <w:rPr>
          <w:noProof/>
        </w:rPr>
        <w:tab/>
        <w:t>PEPP-sparinstitutet ska utforma den livscykelbaserade investeringsstrategi som avses i punkt 2 a på ett sådant sätt att PEPP-sparare som befinner sig längst från den förväntade utgången av intjänandefasen, i den utsträckning som anges i avtalet, investerar i långsiktiga investeringar som kan ge högre avkastning på grund av deras särskilda risk- och avkastningsprofil, inklusive investeringar med illikvida eller aktieliknande egenskaper. För de PEPP-sparare som är närmast den förväntade utgången av intjänandefasen ska PEPP-sparinstitutet säkerställa att investeringarna till övervägande del är likvida, håller hög kvalitet och ger en fast avkastning på investeringar.</w:t>
      </w:r>
    </w:p>
    <w:p w14:paraId="4D798018" w14:textId="77777777" w:rsidR="00E30658" w:rsidRPr="00047543" w:rsidRDefault="009F56C8" w:rsidP="008331B9">
      <w:pPr>
        <w:pStyle w:val="Text1"/>
        <w:rPr>
          <w:noProof/>
        </w:rPr>
      </w:pPr>
      <w:r w:rsidRPr="00047543">
        <w:rPr>
          <w:noProof/>
        </w:rPr>
        <w:t>PEPP-sparinstitutet ska specificera genomsnittliga exponeringar mot aktie- och skuldinstrument och samtidigt säkerställa att artikel 41 följs för alla potentiella underportföljer som motsvarar livscykelfaserna.”</w:t>
      </w:r>
    </w:p>
    <w:p w14:paraId="4934036B" w14:textId="77777777" w:rsidR="00F10C87" w:rsidRPr="00047543" w:rsidRDefault="00B817E9" w:rsidP="00E30658">
      <w:pPr>
        <w:pStyle w:val="Point1"/>
        <w:rPr>
          <w:noProof/>
        </w:rPr>
      </w:pPr>
      <w:r>
        <w:rPr>
          <w:noProof/>
        </w:rPr>
        <w:t>(d)</w:t>
      </w:r>
      <w:r>
        <w:rPr>
          <w:noProof/>
        </w:rPr>
        <w:tab/>
      </w:r>
      <w:r w:rsidRPr="00047543">
        <w:rPr>
          <w:noProof/>
        </w:rPr>
        <w:t>I punkt 3 ska de första två styckena ersättas med följande:</w:t>
      </w:r>
    </w:p>
    <w:p w14:paraId="6B73EC85" w14:textId="77777777" w:rsidR="00A604C6" w:rsidRPr="00047543" w:rsidRDefault="00A604C6" w:rsidP="00B70B8C">
      <w:pPr>
        <w:pStyle w:val="Text1"/>
        <w:rPr>
          <w:noProof/>
        </w:rPr>
      </w:pPr>
      <w:r w:rsidRPr="00047543">
        <w:rPr>
          <w:noProof/>
        </w:rPr>
        <w:t>”För att säkerställa en konsekvent tillämpning av denna artikel ska Eiopa, efter samråd med de övriga ESA-myndigheterna, utarbeta förslag till tekniska tillsynsstandarder som specificerar de kvalitativa minimikriterier som riskreduceringsteknikerna ska uppfylla, med beaktande av de olika typerna av PEPP-produkter och deras särdrag, samt de olika typerna av PEPP-sparinstitut och skillnaderna mellan deras tillsynsordning. Kriterierna får inte medföra maximal sannolikhet för förluster eller stokastisk modellering.</w:t>
      </w:r>
    </w:p>
    <w:p w14:paraId="5945A38D" w14:textId="77777777" w:rsidR="004D25D7" w:rsidRPr="00047543" w:rsidRDefault="00A604C6" w:rsidP="00E75FE2">
      <w:pPr>
        <w:pStyle w:val="Text1"/>
        <w:rPr>
          <w:noProof/>
        </w:rPr>
      </w:pPr>
      <w:r w:rsidRPr="00047543">
        <w:rPr>
          <w:noProof/>
        </w:rPr>
        <w:t>Eiopa ska överlämna dessa förslag till tekniska tillsynsstandarder till kommissionen senast den [</w:t>
      </w:r>
      <w:r w:rsidRPr="00047543">
        <w:rPr>
          <w:i/>
          <w:iCs/>
          <w:noProof/>
        </w:rPr>
        <w:t>Publikationsbyrån: infoga datum sex månader efter dagen för denna förordnings ikraftträdande</w:t>
      </w:r>
      <w:r w:rsidRPr="00047543">
        <w:rPr>
          <w:noProof/>
        </w:rPr>
        <w:t>].”</w:t>
      </w:r>
    </w:p>
    <w:p w14:paraId="5FA02E2A" w14:textId="77777777" w:rsidR="00E35DD3" w:rsidRPr="00047543" w:rsidRDefault="00E35DD3" w:rsidP="008331B9">
      <w:pPr>
        <w:pStyle w:val="Point0"/>
        <w:rPr>
          <w:noProof/>
        </w:rPr>
      </w:pPr>
      <w:r>
        <w:rPr>
          <w:noProof/>
        </w:rPr>
        <w:t>(21)</w:t>
      </w:r>
      <w:r>
        <w:rPr>
          <w:noProof/>
        </w:rPr>
        <w:tab/>
      </w:r>
      <w:r w:rsidRPr="00047543">
        <w:rPr>
          <w:noProof/>
        </w:rPr>
        <w:t>I artikel 47 ska följande punkter läggas till som punkterna 3 och 4:</w:t>
      </w:r>
    </w:p>
    <w:p w14:paraId="1F17E836" w14:textId="77777777" w:rsidR="00E35DD3" w:rsidRPr="00047543" w:rsidRDefault="005E4447" w:rsidP="00E5633B">
      <w:pPr>
        <w:pStyle w:val="Text1"/>
        <w:rPr>
          <w:noProof/>
        </w:rPr>
      </w:pPr>
      <w:r w:rsidRPr="00047543">
        <w:rPr>
          <w:noProof/>
        </w:rPr>
        <w:t>”3.</w:t>
      </w:r>
      <w:r w:rsidRPr="00047543">
        <w:rPr>
          <w:noProof/>
        </w:rPr>
        <w:tab/>
        <w:t>Utan att det påverkar tillämpningen av nationell social- och arbetsmarknadslagstiftning om pensionssystemens organisation och arbetsmarknadsparternas oberoende, inbegripet obligatoriskt medlemskap och resultaten av kollektivavtal, och i den mån det inte påverkar de befintliga tjänstepensionssystemen, får medlemsstaterna inte hindra arbetsgivare från att frivilligt betala in till en PEPP-produkt för sina anställda som är PEPP-sparare och som samtycker till detta.</w:t>
      </w:r>
    </w:p>
    <w:p w14:paraId="7334291E" w14:textId="77777777" w:rsidR="00E35DD3" w:rsidRPr="00047543" w:rsidRDefault="00422379" w:rsidP="00E5633B">
      <w:pPr>
        <w:pStyle w:val="Text1"/>
        <w:rPr>
          <w:noProof/>
        </w:rPr>
      </w:pPr>
      <w:r w:rsidRPr="00047543">
        <w:rPr>
          <w:noProof/>
        </w:rPr>
        <w:t>4.</w:t>
      </w:r>
      <w:r w:rsidRPr="00047543">
        <w:rPr>
          <w:noProof/>
        </w:rPr>
        <w:tab/>
        <w:t>Utan att det påverkar tillämpningen av nationell social- och arbetsmarknadslagstiftning om pensionssystemens organisation och arbetsmarknadsparternas oberoende, inbegripet obligatoriskt medlemskap och resultaten av kollektivavtal, och i den mån det inte påverkar de befintliga tjänstepensionssystemen, får medlemsstaterna tillåta att PEPP-produkten tillhandahålls en anställd som en del av ett arbetsplatsarrangemang med hjälp av automatisk registrering.</w:t>
      </w:r>
    </w:p>
    <w:p w14:paraId="331A6B5F" w14:textId="77777777" w:rsidR="00E35DD3" w:rsidRPr="00047543" w:rsidRDefault="00E35DD3" w:rsidP="00E5633B">
      <w:pPr>
        <w:pStyle w:val="Text1"/>
        <w:rPr>
          <w:noProof/>
        </w:rPr>
      </w:pPr>
      <w:r w:rsidRPr="00047543">
        <w:rPr>
          <w:noProof/>
        </w:rPr>
        <w:t>Om PEPP-produkten erbjuds till en anställd som en del av en arbetsplatsarrangemang med automatisk registrering, ska PEPP-spararen ha rätt att avstå från deltagande och att återansluta sig i enlighet med det nationella regelverk som styr automatisk registrering, inklusive tillämplig social- och arbetsmarknadslagstiftning om pensionssystemens organisation, obligatoriskt medlemskap samt resultaten av kollektivavtal.”</w:t>
      </w:r>
    </w:p>
    <w:p w14:paraId="1795DE93" w14:textId="77777777" w:rsidR="008331B9" w:rsidRPr="00047543" w:rsidRDefault="00BF4353" w:rsidP="008331B9">
      <w:pPr>
        <w:pStyle w:val="Point0"/>
        <w:rPr>
          <w:noProof/>
        </w:rPr>
      </w:pPr>
      <w:r>
        <w:rPr>
          <w:noProof/>
        </w:rPr>
        <w:t>(22)</w:t>
      </w:r>
      <w:r>
        <w:rPr>
          <w:noProof/>
        </w:rPr>
        <w:tab/>
      </w:r>
      <w:r w:rsidRPr="00047543">
        <w:rPr>
          <w:noProof/>
        </w:rPr>
        <w:t>Följande artikel ska införas som artikel 51a före kapitel VII:</w:t>
      </w:r>
    </w:p>
    <w:p w14:paraId="6B8876AE" w14:textId="77777777" w:rsidR="0054084A" w:rsidRPr="00047543" w:rsidRDefault="0054084A" w:rsidP="0034158E">
      <w:pPr>
        <w:pStyle w:val="Titrearticle"/>
        <w:rPr>
          <w:b/>
          <w:noProof/>
        </w:rPr>
      </w:pPr>
      <w:r w:rsidRPr="00047543">
        <w:rPr>
          <w:noProof/>
        </w:rPr>
        <w:t xml:space="preserve">”Artikel 51a </w:t>
      </w:r>
      <w:r w:rsidRPr="00047543">
        <w:rPr>
          <w:noProof/>
        </w:rPr>
        <w:cr/>
      </w:r>
      <w:r w:rsidRPr="00047543">
        <w:rPr>
          <w:noProof/>
        </w:rPr>
        <w:br/>
      </w:r>
      <w:r w:rsidRPr="00047543">
        <w:rPr>
          <w:b/>
          <w:i w:val="0"/>
          <w:noProof/>
        </w:rPr>
        <w:t>System för insamling av pensionsuppgifter</w:t>
      </w:r>
    </w:p>
    <w:p w14:paraId="6D3DE3C6" w14:textId="77777777" w:rsidR="004D1F5E" w:rsidRPr="00047543" w:rsidRDefault="0054084A" w:rsidP="0034158E">
      <w:pPr>
        <w:pStyle w:val="Text1"/>
        <w:rPr>
          <w:noProof/>
        </w:rPr>
      </w:pPr>
      <w:r w:rsidRPr="00047543">
        <w:rPr>
          <w:noProof/>
        </w:rPr>
        <w:t>1.</w:t>
      </w:r>
      <w:r w:rsidRPr="00047543">
        <w:rPr>
          <w:noProof/>
        </w:rPr>
        <w:tab/>
        <w:t>Medlemsstaterna ska se till att de system för insamling av pensionsuppgifter, där sådana finns, täcker de intjänade PEPP-pensionsrätterna.</w:t>
      </w:r>
    </w:p>
    <w:p w14:paraId="7A5818CA" w14:textId="77777777" w:rsidR="0054084A" w:rsidRPr="00047543" w:rsidRDefault="004D1F5E" w:rsidP="0034158E">
      <w:pPr>
        <w:pStyle w:val="Text1"/>
        <w:rPr>
          <w:noProof/>
        </w:rPr>
      </w:pPr>
      <w:r w:rsidRPr="00047543">
        <w:rPr>
          <w:noProof/>
        </w:rPr>
        <w:t>2. Vid tillämpning av punkt 1 ska PEPP-sparinstitut och PEPP-distributörer, där system för insamling av pensionsuppgifter finns i den medlemsstat där PEPP-produkten distribueras, överföra all information som är nödvändig för att ge kunderna en heltäckande, tillförlitlig och uppdaterad översikt över deras rätter till systemen för insamling av pensionsuppgifter.</w:t>
      </w:r>
    </w:p>
    <w:p w14:paraId="20BBF2F3" w14:textId="77777777" w:rsidR="0054084A" w:rsidRPr="00047543" w:rsidRDefault="004D1F5E" w:rsidP="0034158E">
      <w:pPr>
        <w:pStyle w:val="Text1"/>
        <w:rPr>
          <w:noProof/>
        </w:rPr>
      </w:pPr>
      <w:r w:rsidRPr="00047543">
        <w:rPr>
          <w:noProof/>
        </w:rPr>
        <w:t>3.</w:t>
      </w:r>
      <w:r w:rsidRPr="00047543">
        <w:rPr>
          <w:noProof/>
        </w:rPr>
        <w:tab/>
        <w:t>Den information som avses i punkt 2 ska överföras i ett standardiserat och interoperabelt format som gör det möjligt för system för insamling av pensionsuppgifter att sammanställa uppgifter om ackumulerat värde, intjänade rättigheter och beräknade förmåner på ett enhetligt och jämförbart sätt.</w:t>
      </w:r>
    </w:p>
    <w:p w14:paraId="6564079A" w14:textId="77777777" w:rsidR="0054084A" w:rsidRPr="00047543" w:rsidRDefault="004D1F5E" w:rsidP="0034158E">
      <w:pPr>
        <w:pStyle w:val="Text1"/>
        <w:rPr>
          <w:noProof/>
        </w:rPr>
      </w:pPr>
      <w:r w:rsidRPr="00047543">
        <w:rPr>
          <w:noProof/>
        </w:rPr>
        <w:t>4.</w:t>
      </w:r>
      <w:r w:rsidRPr="00047543">
        <w:rPr>
          <w:noProof/>
        </w:rPr>
        <w:tab/>
        <w:t>PEPP-sparinstituten förblir fullt ansvariga för att de överförda uppgifterna är fullständiga och korrekta och för att alla kommunikationsskyldigheter enligt denna artikel fullgörs.</w:t>
      </w:r>
    </w:p>
    <w:p w14:paraId="4984890B" w14:textId="77777777" w:rsidR="004A6950" w:rsidRPr="00047543" w:rsidRDefault="004D1F5E" w:rsidP="0034158E">
      <w:pPr>
        <w:pStyle w:val="Text1"/>
        <w:rPr>
          <w:noProof/>
        </w:rPr>
      </w:pPr>
      <w:r w:rsidRPr="00047543">
        <w:rPr>
          <w:noProof/>
        </w:rPr>
        <w:t>5.</w:t>
      </w:r>
      <w:r w:rsidRPr="00047543">
        <w:rPr>
          <w:noProof/>
        </w:rPr>
        <w:tab/>
        <w:t>De behöriga myndigheterna ska övervaka och se till att denna artikel efterlevs och vidta korrigerande åtgärder om PEPP-sparinstituten inte tillhandahåller fullständig och korrekt information i god tid.</w:t>
      </w:r>
    </w:p>
    <w:p w14:paraId="7C8A4CA0" w14:textId="77777777" w:rsidR="0054084A" w:rsidRPr="00047543" w:rsidRDefault="004D1F5E" w:rsidP="0034158E">
      <w:pPr>
        <w:pStyle w:val="Text1"/>
        <w:rPr>
          <w:noProof/>
        </w:rPr>
      </w:pPr>
      <w:r w:rsidRPr="00047543">
        <w:rPr>
          <w:noProof/>
        </w:rPr>
        <w:t>6. Format och struktur för den information som ska överföras till system för insamling av pensionsuppgifter ska överensstämma med det format och den struktur som fastställs i den delegerade förordning som antas enligt artikel 37.”</w:t>
      </w:r>
    </w:p>
    <w:p w14:paraId="60AA89F6" w14:textId="77777777" w:rsidR="0054084A" w:rsidRPr="00047543" w:rsidRDefault="00270C5C" w:rsidP="008331B9">
      <w:pPr>
        <w:pStyle w:val="Point0"/>
        <w:rPr>
          <w:noProof/>
        </w:rPr>
      </w:pPr>
      <w:r>
        <w:rPr>
          <w:noProof/>
        </w:rPr>
        <w:t>(23)</w:t>
      </w:r>
      <w:r>
        <w:rPr>
          <w:noProof/>
        </w:rPr>
        <w:tab/>
      </w:r>
      <w:r w:rsidRPr="00047543">
        <w:rPr>
          <w:noProof/>
        </w:rPr>
        <w:t>Kapitel VII ska ändras på följande sätt:</w:t>
      </w:r>
    </w:p>
    <w:p w14:paraId="097B9BAE" w14:textId="77777777" w:rsidR="00270C5C" w:rsidRPr="00047543" w:rsidRDefault="00270C5C" w:rsidP="00270C5C">
      <w:pPr>
        <w:pStyle w:val="Point1"/>
        <w:rPr>
          <w:noProof/>
        </w:rPr>
      </w:pPr>
      <w:r>
        <w:rPr>
          <w:noProof/>
        </w:rPr>
        <w:t>(a)</w:t>
      </w:r>
      <w:r>
        <w:rPr>
          <w:noProof/>
        </w:rPr>
        <w:tab/>
      </w:r>
      <w:r w:rsidRPr="00047543">
        <w:rPr>
          <w:noProof/>
        </w:rPr>
        <w:t>Kapitlets rubrik ska ersättas med följande:</w:t>
      </w:r>
    </w:p>
    <w:p w14:paraId="6610189B" w14:textId="77777777" w:rsidR="00B67BB6" w:rsidRPr="00047543" w:rsidRDefault="00270C5C" w:rsidP="00B67BB6">
      <w:pPr>
        <w:pStyle w:val="ChapterTitle"/>
        <w:rPr>
          <w:caps/>
          <w:noProof/>
        </w:rPr>
      </w:pPr>
      <w:r w:rsidRPr="00047543">
        <w:rPr>
          <w:caps/>
          <w:noProof/>
        </w:rPr>
        <w:t>”BYTE AV PEPP-SPARINSTITUT och överföring från och till andra privata pensionsprodukter”</w:t>
      </w:r>
    </w:p>
    <w:p w14:paraId="128CED92" w14:textId="77777777" w:rsidR="00E654F7" w:rsidRPr="00047543" w:rsidRDefault="00E654F7" w:rsidP="00E654F7">
      <w:pPr>
        <w:pStyle w:val="Point1"/>
        <w:rPr>
          <w:noProof/>
        </w:rPr>
      </w:pPr>
      <w:r>
        <w:rPr>
          <w:noProof/>
        </w:rPr>
        <w:t>(b)</w:t>
      </w:r>
      <w:r>
        <w:rPr>
          <w:noProof/>
        </w:rPr>
        <w:tab/>
      </w:r>
      <w:r w:rsidRPr="00047543">
        <w:rPr>
          <w:noProof/>
        </w:rPr>
        <w:t>Följande artiklar ska införas som artiklarna 56a och 56b:</w:t>
      </w:r>
    </w:p>
    <w:p w14:paraId="4382A5CC" w14:textId="77777777" w:rsidR="005D0255" w:rsidRPr="00047543" w:rsidRDefault="005D0255" w:rsidP="0034158E">
      <w:pPr>
        <w:pStyle w:val="Titrearticle"/>
        <w:rPr>
          <w:b/>
          <w:i w:val="0"/>
          <w:noProof/>
        </w:rPr>
      </w:pPr>
      <w:r w:rsidRPr="00047543">
        <w:rPr>
          <w:noProof/>
        </w:rPr>
        <w:t xml:space="preserve">”Artikel 56a </w:t>
      </w:r>
      <w:r w:rsidRPr="00047543">
        <w:rPr>
          <w:noProof/>
        </w:rPr>
        <w:cr/>
      </w:r>
      <w:r w:rsidRPr="00047543">
        <w:rPr>
          <w:noProof/>
        </w:rPr>
        <w:br/>
      </w:r>
      <w:r w:rsidRPr="00047543">
        <w:rPr>
          <w:b/>
          <w:i w:val="0"/>
          <w:noProof/>
        </w:rPr>
        <w:t>Rättigheter avseende byten och överföringar vid avregistrering</w:t>
      </w:r>
    </w:p>
    <w:p w14:paraId="061F5FF3" w14:textId="77777777" w:rsidR="00491F02" w:rsidRPr="00047543" w:rsidRDefault="00491F02" w:rsidP="0034158E">
      <w:pPr>
        <w:pStyle w:val="Text1"/>
        <w:rPr>
          <w:noProof/>
        </w:rPr>
      </w:pPr>
      <w:r w:rsidRPr="00047543">
        <w:rPr>
          <w:noProof/>
        </w:rPr>
        <w:t xml:space="preserve">Utan att det påverkar eventuella ytterligare rättsmedel som kan finnas enligt nationell lagstiftning, ska PEPP-sparare och PEPP-förmånstagare, när en PEPP-produkt avregistreras i enlighet med artikel 8.1, ha rätt att utan dröjsmål och kostnadsfritt byta till ett annat PEPP-sparinstitut eller överföra det ackumulerade kapitalet till en annan privat pensionsprodukt. </w:t>
      </w:r>
    </w:p>
    <w:p w14:paraId="7CB0A2C6" w14:textId="77777777" w:rsidR="005D0255" w:rsidRPr="00047543" w:rsidRDefault="005D0255" w:rsidP="0034158E">
      <w:pPr>
        <w:pStyle w:val="Titrearticle"/>
        <w:rPr>
          <w:b/>
          <w:i w:val="0"/>
          <w:noProof/>
        </w:rPr>
      </w:pPr>
      <w:r w:rsidRPr="00047543">
        <w:rPr>
          <w:noProof/>
        </w:rPr>
        <w:t xml:space="preserve">Artikel 56b </w:t>
      </w:r>
      <w:r w:rsidRPr="00047543">
        <w:rPr>
          <w:noProof/>
        </w:rPr>
        <w:cr/>
      </w:r>
      <w:r w:rsidRPr="00047543">
        <w:rPr>
          <w:noProof/>
        </w:rPr>
        <w:br/>
      </w:r>
      <w:r w:rsidRPr="00047543">
        <w:rPr>
          <w:b/>
          <w:i w:val="0"/>
          <w:noProof/>
        </w:rPr>
        <w:t>Överföringar från andra privata pensionsprodukter</w:t>
      </w:r>
    </w:p>
    <w:p w14:paraId="1F617A4C" w14:textId="77777777" w:rsidR="005D0255" w:rsidRPr="00047543" w:rsidRDefault="005D0255" w:rsidP="0034158E">
      <w:pPr>
        <w:pStyle w:val="Text1"/>
        <w:rPr>
          <w:noProof/>
        </w:rPr>
      </w:pPr>
      <w:r w:rsidRPr="00047543">
        <w:rPr>
          <w:noProof/>
        </w:rPr>
        <w:t>1.</w:t>
      </w:r>
      <w:r w:rsidRPr="00047543">
        <w:rPr>
          <w:noProof/>
        </w:rPr>
        <w:tab/>
        <w:t xml:space="preserve">Medlemsstaterna ska tillåta överföringar från andra privata pensionsprodukter till en PEPP-produkt. </w:t>
      </w:r>
    </w:p>
    <w:p w14:paraId="799D6C87" w14:textId="77777777" w:rsidR="005D0255" w:rsidRPr="00047543" w:rsidRDefault="005D0255" w:rsidP="0034158E">
      <w:pPr>
        <w:pStyle w:val="Text1"/>
        <w:rPr>
          <w:noProof/>
        </w:rPr>
      </w:pPr>
      <w:r w:rsidRPr="00047543">
        <w:rPr>
          <w:noProof/>
        </w:rPr>
        <w:t>2.</w:t>
      </w:r>
      <w:r w:rsidRPr="00047543">
        <w:rPr>
          <w:noProof/>
        </w:rPr>
        <w:tab/>
        <w:t>Medlemsstaterna ska säkerställa att de överföringar som avses i punkt 1 inte är föremål för sanktioner, avgifter eller andra administrativa krav från tillhandahållaren av den privata pensionsprodukten, som skulle göra överföringen dyrare än överföringar mellan två privata pensionsprodukter som inte är PEPP-produkter.”</w:t>
      </w:r>
    </w:p>
    <w:p w14:paraId="27597CB8" w14:textId="77777777" w:rsidR="00E4257E" w:rsidRPr="00047543" w:rsidRDefault="0032797F" w:rsidP="00272FA7">
      <w:pPr>
        <w:pStyle w:val="Point0"/>
        <w:rPr>
          <w:noProof/>
        </w:rPr>
      </w:pPr>
      <w:r>
        <w:rPr>
          <w:noProof/>
        </w:rPr>
        <w:t>(24)</w:t>
      </w:r>
      <w:r>
        <w:rPr>
          <w:noProof/>
        </w:rPr>
        <w:tab/>
      </w:r>
      <w:r w:rsidRPr="00047543">
        <w:rPr>
          <w:noProof/>
        </w:rPr>
        <w:t>I artikel 57 ska följande punkt 3 läggas till:</w:t>
      </w:r>
    </w:p>
    <w:p w14:paraId="2F12541E" w14:textId="77777777" w:rsidR="0032797F" w:rsidRPr="00047543" w:rsidRDefault="0032797F" w:rsidP="0034158E">
      <w:pPr>
        <w:pStyle w:val="Text1"/>
        <w:rPr>
          <w:noProof/>
        </w:rPr>
      </w:pPr>
      <w:r w:rsidRPr="00047543">
        <w:rPr>
          <w:noProof/>
        </w:rPr>
        <w:t>”3.</w:t>
      </w:r>
      <w:r w:rsidRPr="00047543">
        <w:rPr>
          <w:noProof/>
        </w:rPr>
        <w:tab/>
        <w:t>I de fall PEPP-produkter erbjuds till en anställd som en del av ett arbetsplatsarrangemang med automatisk registrering, ska bestämmelserna i detta kapitel inte påverka arbetsgivarens rätt att fastställa standardiserade utbetalningsvägar, när detta medges enligt lagstiftningen i den berörda medlemsstaten.”</w:t>
      </w:r>
    </w:p>
    <w:p w14:paraId="6D31E25B" w14:textId="77777777" w:rsidR="00E4257E" w:rsidRPr="00047543" w:rsidRDefault="00C44423" w:rsidP="00272FA7">
      <w:pPr>
        <w:pStyle w:val="Point0"/>
        <w:rPr>
          <w:noProof/>
        </w:rPr>
      </w:pPr>
      <w:r>
        <w:rPr>
          <w:noProof/>
        </w:rPr>
        <w:t>(25)</w:t>
      </w:r>
      <w:r>
        <w:rPr>
          <w:noProof/>
        </w:rPr>
        <w:tab/>
      </w:r>
      <w:r w:rsidRPr="00047543">
        <w:rPr>
          <w:noProof/>
        </w:rPr>
        <w:t>I artikel 60.1 ska inledningen ersättas med följande:</w:t>
      </w:r>
    </w:p>
    <w:p w14:paraId="2DC5A6A2" w14:textId="77777777" w:rsidR="00E10E6C" w:rsidRPr="00047543" w:rsidRDefault="00E10E6C" w:rsidP="0034158E">
      <w:pPr>
        <w:pStyle w:val="Text1"/>
        <w:rPr>
          <w:noProof/>
        </w:rPr>
      </w:pPr>
      <w:r w:rsidRPr="00047543">
        <w:rPr>
          <w:noProof/>
        </w:rPr>
        <w:t>”1.</w:t>
      </w:r>
      <w:r w:rsidRPr="00047543">
        <w:rPr>
          <w:noProof/>
        </w:rPr>
        <w:tab/>
        <w:t>PEPP-sparinstitutet ska vid inledandet av utbetalningsfasen erbjuda PEPP-spararen en personlig pensionsplanering på grundval av en hållbar användning av det kapital som ackumulerats i PEPP-underkonton, med beaktande av åtminstone följande:”</w:t>
      </w:r>
    </w:p>
    <w:p w14:paraId="12966C25" w14:textId="77777777" w:rsidR="00DA08D6" w:rsidRPr="00047543" w:rsidRDefault="00960A00" w:rsidP="00272FA7">
      <w:pPr>
        <w:pStyle w:val="Point0"/>
        <w:rPr>
          <w:noProof/>
        </w:rPr>
      </w:pPr>
      <w:r>
        <w:rPr>
          <w:noProof/>
        </w:rPr>
        <w:t>(26)</w:t>
      </w:r>
      <w:r>
        <w:rPr>
          <w:noProof/>
        </w:rPr>
        <w:tab/>
      </w:r>
      <w:r w:rsidRPr="00047543">
        <w:rPr>
          <w:noProof/>
        </w:rPr>
        <w:t>I artikel 63.1 ska led a ersättas med följande:</w:t>
      </w:r>
    </w:p>
    <w:p w14:paraId="2FBF925F" w14:textId="77777777" w:rsidR="001F2788" w:rsidRPr="00047543" w:rsidRDefault="001F2788" w:rsidP="0034158E">
      <w:pPr>
        <w:pStyle w:val="Point1"/>
        <w:rPr>
          <w:noProof/>
        </w:rPr>
      </w:pPr>
      <w:r w:rsidRPr="00047543">
        <w:rPr>
          <w:noProof/>
        </w:rPr>
        <w:t>”a)</w:t>
      </w:r>
      <w:r w:rsidRPr="00047543">
        <w:rPr>
          <w:noProof/>
        </w:rPr>
        <w:tab/>
        <w:t>De behöriga myndigheterna har förvissat sig om att det finns rimliga skäl att anta att PEPP-produkten ger upphov till allvarliga eller upprepade problem kring spararskyddet, konsekvent underlåter att ge valuta för pengarna eller utgör en risk för finansmarknadernas korrekta funktion och integritet eller för stabiliteten i hela eller delar av det finansiella systemet i minst en medlemsstat.”</w:t>
      </w:r>
    </w:p>
    <w:p w14:paraId="635F1290" w14:textId="77777777" w:rsidR="00960A00" w:rsidRPr="00047543" w:rsidRDefault="006126ED" w:rsidP="00272FA7">
      <w:pPr>
        <w:pStyle w:val="Point0"/>
        <w:rPr>
          <w:noProof/>
        </w:rPr>
      </w:pPr>
      <w:r>
        <w:rPr>
          <w:noProof/>
        </w:rPr>
        <w:t>(27)</w:t>
      </w:r>
      <w:r>
        <w:rPr>
          <w:noProof/>
        </w:rPr>
        <w:tab/>
      </w:r>
      <w:r w:rsidRPr="00047543">
        <w:rPr>
          <w:noProof/>
        </w:rPr>
        <w:t>I artikel 64.1 ska första meningen ersättas med följande:</w:t>
      </w:r>
    </w:p>
    <w:p w14:paraId="5158062A" w14:textId="77777777" w:rsidR="00F56B71" w:rsidRPr="00047543" w:rsidRDefault="006126ED" w:rsidP="00F56B71">
      <w:pPr>
        <w:pStyle w:val="Text1"/>
        <w:rPr>
          <w:noProof/>
        </w:rPr>
      </w:pPr>
      <w:r w:rsidRPr="00047543">
        <w:rPr>
          <w:noProof/>
        </w:rPr>
        <w:t>”Eiopa ska ha en stödjande och samordnande roll, bland annat genom att inrätta en samarbetsplattform i enlighet med artikel 65a, i samband med åtgärder som vidtas av behöriga myndigheter enligt artikel 63.”</w:t>
      </w:r>
    </w:p>
    <w:p w14:paraId="38F149A8" w14:textId="77777777" w:rsidR="00B85DDD" w:rsidRPr="00047543" w:rsidRDefault="00752DB2" w:rsidP="00732DF4">
      <w:pPr>
        <w:pStyle w:val="Point0"/>
        <w:rPr>
          <w:noProof/>
        </w:rPr>
      </w:pPr>
      <w:r>
        <w:rPr>
          <w:noProof/>
        </w:rPr>
        <w:t>(28)</w:t>
      </w:r>
      <w:r>
        <w:rPr>
          <w:noProof/>
        </w:rPr>
        <w:tab/>
      </w:r>
      <w:r w:rsidRPr="00047543">
        <w:rPr>
          <w:noProof/>
        </w:rPr>
        <w:t>I artikel 65.3 första stycket a ska följande text läggas till:</w:t>
      </w:r>
    </w:p>
    <w:p w14:paraId="1BA3880D" w14:textId="77777777" w:rsidR="00A64D54" w:rsidRPr="00047543" w:rsidRDefault="00A64D54" w:rsidP="00B871C4">
      <w:pPr>
        <w:pStyle w:val="Text1"/>
        <w:rPr>
          <w:noProof/>
        </w:rPr>
      </w:pPr>
      <w:r w:rsidRPr="00047543">
        <w:rPr>
          <w:noProof/>
        </w:rPr>
        <w:t>”eller den konsekventa underlåtenheten att erbjuda valuta för pengarna.”</w:t>
      </w:r>
    </w:p>
    <w:p w14:paraId="6BA72247" w14:textId="77777777" w:rsidR="00B85DDD" w:rsidRPr="00047543" w:rsidRDefault="000A0D45" w:rsidP="00272FA7">
      <w:pPr>
        <w:pStyle w:val="Point0"/>
        <w:rPr>
          <w:noProof/>
        </w:rPr>
      </w:pPr>
      <w:r>
        <w:rPr>
          <w:noProof/>
        </w:rPr>
        <w:t>(29)</w:t>
      </w:r>
      <w:r>
        <w:rPr>
          <w:noProof/>
        </w:rPr>
        <w:tab/>
      </w:r>
      <w:r w:rsidRPr="00047543">
        <w:rPr>
          <w:noProof/>
        </w:rPr>
        <w:t>Följande artikel ska införas som artikel 65a:</w:t>
      </w:r>
    </w:p>
    <w:p w14:paraId="05DAE98B" w14:textId="77777777" w:rsidR="000A0D45" w:rsidRPr="00047543" w:rsidRDefault="000A0D45" w:rsidP="0034158E">
      <w:pPr>
        <w:pStyle w:val="Titrearticle"/>
        <w:rPr>
          <w:b/>
          <w:i w:val="0"/>
          <w:noProof/>
        </w:rPr>
      </w:pPr>
      <w:r w:rsidRPr="00047543">
        <w:rPr>
          <w:noProof/>
        </w:rPr>
        <w:t xml:space="preserve">”Artikel 65a </w:t>
      </w:r>
      <w:r w:rsidRPr="00047543">
        <w:rPr>
          <w:noProof/>
        </w:rPr>
        <w:cr/>
      </w:r>
      <w:r w:rsidRPr="00047543">
        <w:rPr>
          <w:noProof/>
        </w:rPr>
        <w:br/>
      </w:r>
      <w:r w:rsidRPr="00047543">
        <w:rPr>
          <w:b/>
          <w:i w:val="0"/>
          <w:noProof/>
        </w:rPr>
        <w:t>Samarbetsplattformar</w:t>
      </w:r>
    </w:p>
    <w:p w14:paraId="3A3E34C4" w14:textId="77777777" w:rsidR="000A0D45" w:rsidRPr="00047543" w:rsidRDefault="000A0D45" w:rsidP="0034158E">
      <w:pPr>
        <w:pStyle w:val="Text1"/>
        <w:rPr>
          <w:noProof/>
        </w:rPr>
      </w:pPr>
      <w:r w:rsidRPr="00047543">
        <w:rPr>
          <w:noProof/>
        </w:rPr>
        <w:t>1.</w:t>
      </w:r>
      <w:r w:rsidRPr="00047543">
        <w:rPr>
          <w:noProof/>
        </w:rPr>
        <w:tab/>
        <w:t>Eiopa ska ha en stödjande och samordnande roll, även vid motiverade farhågor om potentiell skada för PEPP-sparares och PEPP-förmånstagares intressen. Den ska, på eget initiativ eller på begäran av en eller flera av de behöriga PEPP-myndigheterna, inrätta och samordna en samarbetsplattform, för att stärka informationsutbytet och samarbetet mellan behöriga myndigheter.</w:t>
      </w:r>
    </w:p>
    <w:p w14:paraId="7F7B10AD" w14:textId="77777777" w:rsidR="00A71820" w:rsidRPr="00047543" w:rsidRDefault="00A71820" w:rsidP="00A71820">
      <w:pPr>
        <w:pStyle w:val="Text1"/>
        <w:rPr>
          <w:noProof/>
        </w:rPr>
      </w:pPr>
      <w:r w:rsidRPr="00047543">
        <w:rPr>
          <w:noProof/>
        </w:rPr>
        <w:t>2.</w:t>
      </w:r>
      <w:r w:rsidRPr="00047543">
        <w:rPr>
          <w:noProof/>
        </w:rPr>
        <w:tab/>
        <w:t>Punkt 1 ska inte påverka den relevanta behöriga myndighetens rätt att inrätta en samarbetsplattform i de fall där alla är eniga om detta.</w:t>
      </w:r>
    </w:p>
    <w:p w14:paraId="2F3BB602" w14:textId="77777777" w:rsidR="000A0D45" w:rsidRPr="00047543" w:rsidRDefault="00A71820" w:rsidP="0034158E">
      <w:pPr>
        <w:pStyle w:val="Text1"/>
        <w:rPr>
          <w:noProof/>
        </w:rPr>
      </w:pPr>
      <w:r w:rsidRPr="00047543">
        <w:rPr>
          <w:noProof/>
        </w:rPr>
        <w:t>3.</w:t>
      </w:r>
      <w:r w:rsidRPr="00047543">
        <w:rPr>
          <w:noProof/>
        </w:rPr>
        <w:tab/>
        <w:t>Inrättandet av en samarbetsplattform i enlighet med punkterna 1 och 2 ska inte påverka det mandat som tillsynsmyndigheterna i hemmedlemsstaten och värdmedlemsstaten har enligt denna förordning.</w:t>
      </w:r>
    </w:p>
    <w:p w14:paraId="20C239A1" w14:textId="77777777" w:rsidR="00971282" w:rsidRPr="00047543" w:rsidRDefault="00971282" w:rsidP="00971282">
      <w:pPr>
        <w:pStyle w:val="Text1"/>
        <w:rPr>
          <w:noProof/>
          <w:szCs w:val="24"/>
        </w:rPr>
      </w:pPr>
      <w:r w:rsidRPr="00047543">
        <w:rPr>
          <w:noProof/>
        </w:rPr>
        <w:t>4.</w:t>
      </w:r>
      <w:r w:rsidRPr="00047543">
        <w:rPr>
          <w:noProof/>
        </w:rPr>
        <w:tab/>
        <w:t>Utan att det påverkar artikel 35 i förordning (EU) nr 1094/2010, ska de relevanta behöriga myndigheterna, på begäran av Eiopa, utan onödigt dröjsmål tillhandahålla alla nödvändiga uppgifter.</w:t>
      </w:r>
    </w:p>
    <w:p w14:paraId="5629933A" w14:textId="77777777" w:rsidR="000A0D45" w:rsidRPr="00047543" w:rsidRDefault="00971282" w:rsidP="0034158E">
      <w:pPr>
        <w:pStyle w:val="Text1"/>
        <w:rPr>
          <w:noProof/>
        </w:rPr>
      </w:pPr>
      <w:r w:rsidRPr="00047543">
        <w:rPr>
          <w:noProof/>
        </w:rPr>
        <w:t>5.</w:t>
      </w:r>
      <w:r w:rsidRPr="00047543">
        <w:rPr>
          <w:noProof/>
        </w:rPr>
        <w:tab/>
        <w:t>Om en eller flera behöriga myndigheter i en samarbetsplattform motsätter sig förfarandet eller innehållet i en åtgärd som ska vidtas, eller att ingen åtgärd vidtas, får Eiopa på begäran av en relevant behörig myndighet eller på eget initiativ hjälpa de behöriga myndigheterna med att nå en överenskommelse i enlighet med artikel 19.1 i förordning (EU) nr 1094/2010.</w:t>
      </w:r>
    </w:p>
    <w:p w14:paraId="14020BB0" w14:textId="77777777" w:rsidR="000A0D45" w:rsidRPr="00047543" w:rsidRDefault="00971282" w:rsidP="0034158E">
      <w:pPr>
        <w:pStyle w:val="Text1"/>
        <w:rPr>
          <w:noProof/>
        </w:rPr>
      </w:pPr>
      <w:r w:rsidRPr="00047543">
        <w:rPr>
          <w:noProof/>
        </w:rPr>
        <w:t>6.</w:t>
      </w:r>
      <w:r w:rsidRPr="00047543">
        <w:rPr>
          <w:noProof/>
        </w:rPr>
        <w:tab/>
        <w:t>Om Eiopa konstaterar att det finns ett behov av att undersöka om PEPP-sparares eller PEPP-förmånstagarens intressen kan skadas får Eiopa begära att den behöriga myndigheten i hemmedlemsstaten genomför en inspektion på plats. Den behöriga myndigheten i hemmedlemsstaten ska utan dröjsmål inleda inspektionen på plats och bjuda in Eiopa och andra berörda myndigheter att delta i den.”</w:t>
      </w:r>
    </w:p>
    <w:p w14:paraId="2D871CD4" w14:textId="77777777" w:rsidR="001B14C8" w:rsidRPr="00047543" w:rsidRDefault="004502FB" w:rsidP="001B14C8">
      <w:pPr>
        <w:pStyle w:val="Point0"/>
        <w:rPr>
          <w:noProof/>
        </w:rPr>
      </w:pPr>
      <w:r>
        <w:rPr>
          <w:noProof/>
        </w:rPr>
        <w:t>(30)</w:t>
      </w:r>
      <w:r>
        <w:rPr>
          <w:noProof/>
        </w:rPr>
        <w:tab/>
      </w:r>
      <w:r w:rsidRPr="00047543">
        <w:rPr>
          <w:noProof/>
        </w:rPr>
        <w:t>I artikel 73.1 ska första meningen ersättas med följande:</w:t>
      </w:r>
    </w:p>
    <w:p w14:paraId="3369CC34" w14:textId="77777777" w:rsidR="001B14C8" w:rsidRPr="00047543" w:rsidRDefault="00510284" w:rsidP="0034158E">
      <w:pPr>
        <w:pStyle w:val="Text1"/>
        <w:rPr>
          <w:noProof/>
        </w:rPr>
      </w:pPr>
      <w:r w:rsidRPr="00047543">
        <w:rPr>
          <w:noProof/>
        </w:rPr>
        <w:t>”Senast [</w:t>
      </w:r>
      <w:r w:rsidRPr="00047543">
        <w:rPr>
          <w:i/>
          <w:iCs/>
          <w:noProof/>
        </w:rPr>
        <w:t>Publikationsbyrån = infoga datum fem år efter tillämpningsdatumet för denna förordning</w:t>
      </w:r>
      <w:r w:rsidRPr="00047543">
        <w:rPr>
          <w:noProof/>
        </w:rPr>
        <w:t>] och därefter vart femte år, ska kommissionen genomföra en utvärdering av denna förordning och, efter samråd med Eiopa och i tillämpliga fall de övriga ESA-myndigheterna, lägga fram en rapport om de viktigaste resultaten för Europaparlamentet och rådet.”</w:t>
      </w:r>
    </w:p>
    <w:p w14:paraId="033A3969" w14:textId="77777777" w:rsidR="00157329" w:rsidRPr="00047543" w:rsidRDefault="00157329" w:rsidP="00157329">
      <w:pPr>
        <w:pStyle w:val="Titrearticle"/>
        <w:rPr>
          <w:b/>
          <w:i w:val="0"/>
          <w:noProof/>
        </w:rPr>
      </w:pPr>
      <w:r w:rsidRPr="00047543">
        <w:rPr>
          <w:noProof/>
        </w:rPr>
        <w:t xml:space="preserve">Artikel 2 </w:t>
      </w:r>
      <w:r w:rsidRPr="00047543">
        <w:rPr>
          <w:noProof/>
        </w:rPr>
        <w:cr/>
      </w:r>
      <w:r w:rsidRPr="00047543">
        <w:rPr>
          <w:noProof/>
        </w:rPr>
        <w:br/>
      </w:r>
      <w:r w:rsidRPr="00047543">
        <w:rPr>
          <w:b/>
          <w:i w:val="0"/>
          <w:noProof/>
        </w:rPr>
        <w:t>Upphävande</w:t>
      </w:r>
    </w:p>
    <w:p w14:paraId="2DA87E27" w14:textId="2AFDB6C4" w:rsidR="00157329" w:rsidRPr="00047543" w:rsidRDefault="00157329" w:rsidP="005934C1">
      <w:pPr>
        <w:pStyle w:val="Text1"/>
        <w:ind w:left="0"/>
        <w:rPr>
          <w:noProof/>
          <w:color w:val="0000FF"/>
        </w:rPr>
      </w:pPr>
      <w:r w:rsidRPr="00047543">
        <w:rPr>
          <w:noProof/>
        </w:rPr>
        <w:t>I kommissionens delegerade förordning (EU) 2021/473 ska artiklarna 13, 14.2 och 14.3 samt 15 upphöra att gälla.</w:t>
      </w:r>
    </w:p>
    <w:p w14:paraId="7CCBC2E6" w14:textId="13D7866B" w:rsidR="0040501D" w:rsidRPr="00047543" w:rsidRDefault="0040501D">
      <w:pPr>
        <w:pStyle w:val="Titrearticle"/>
        <w:rPr>
          <w:b/>
          <w:i w:val="0"/>
          <w:noProof/>
        </w:rPr>
      </w:pPr>
      <w:r w:rsidRPr="00047543">
        <w:rPr>
          <w:noProof/>
        </w:rPr>
        <w:t xml:space="preserve">Artikel 3 </w:t>
      </w:r>
      <w:r w:rsidRPr="00047543">
        <w:rPr>
          <w:noProof/>
        </w:rPr>
        <w:cr/>
      </w:r>
      <w:r w:rsidRPr="00047543">
        <w:rPr>
          <w:noProof/>
        </w:rPr>
        <w:br/>
      </w:r>
      <w:r w:rsidRPr="00047543">
        <w:rPr>
          <w:b/>
          <w:i w:val="0"/>
          <w:noProof/>
        </w:rPr>
        <w:t xml:space="preserve">Ikraftträdande och tillämpningsdatum </w:t>
      </w:r>
    </w:p>
    <w:p w14:paraId="3000F3DB" w14:textId="77777777" w:rsidR="0040501D" w:rsidRPr="00047543" w:rsidRDefault="0040501D">
      <w:pPr>
        <w:rPr>
          <w:noProof/>
        </w:rPr>
      </w:pPr>
      <w:r w:rsidRPr="00047543">
        <w:rPr>
          <w:noProof/>
        </w:rPr>
        <w:t xml:space="preserve">Denna förordning träder i kraft den tjugonde dagen efter det att den har offentliggjorts i </w:t>
      </w:r>
      <w:r w:rsidRPr="00047543">
        <w:rPr>
          <w:i/>
          <w:noProof/>
        </w:rPr>
        <w:t>Europeiska unionens officiella tidning</w:t>
      </w:r>
      <w:r w:rsidRPr="00047543">
        <w:rPr>
          <w:noProof/>
        </w:rPr>
        <w:t>.</w:t>
      </w:r>
    </w:p>
    <w:p w14:paraId="2F97ED9B" w14:textId="77777777" w:rsidR="00B97343" w:rsidRPr="00047543" w:rsidRDefault="00B97343" w:rsidP="00B97343">
      <w:pPr>
        <w:pStyle w:val="Applicationdirecte"/>
        <w:rPr>
          <w:noProof/>
        </w:rPr>
      </w:pPr>
      <w:r w:rsidRPr="00047543">
        <w:rPr>
          <w:noProof/>
        </w:rPr>
        <w:t>Denna förordning ska tillämpas från och med den [</w:t>
      </w:r>
      <w:r w:rsidRPr="00047543">
        <w:rPr>
          <w:i/>
          <w:iCs/>
          <w:noProof/>
        </w:rPr>
        <w:t>Publikationsbyrån = ange 1 år efter denna förordnings ikraftträdande</w:t>
      </w:r>
      <w:r w:rsidRPr="00047543">
        <w:rPr>
          <w:noProof/>
        </w:rPr>
        <w:t>].</w:t>
      </w:r>
    </w:p>
    <w:p w14:paraId="72830D00" w14:textId="77777777" w:rsidR="0040501D" w:rsidRPr="00047543" w:rsidRDefault="0040501D">
      <w:pPr>
        <w:pStyle w:val="Applicationdirecte"/>
        <w:rPr>
          <w:noProof/>
        </w:rPr>
      </w:pPr>
      <w:r w:rsidRPr="00047543">
        <w:rPr>
          <w:noProof/>
        </w:rPr>
        <w:t>Denna förordning är till alla delar bindande och direkt tillämplig i alla medlemsstater.</w:t>
      </w:r>
    </w:p>
    <w:p w14:paraId="2896B3F6" w14:textId="30021018" w:rsidR="0040501D" w:rsidRPr="00047543" w:rsidRDefault="00047543" w:rsidP="00644F0B">
      <w:pPr>
        <w:pStyle w:val="Fait"/>
        <w:rPr>
          <w:noProof/>
        </w:rPr>
      </w:pPr>
      <w:r>
        <w:rPr>
          <w:noProof/>
        </w:rPr>
        <w:t>Utfärdad i Bryssel den</w:t>
      </w:r>
    </w:p>
    <w:p w14:paraId="38829AB1" w14:textId="77777777" w:rsidR="0040501D" w:rsidRPr="00047543" w:rsidRDefault="0040501D" w:rsidP="00644F0B">
      <w:pPr>
        <w:pStyle w:val="Institutionquisigne"/>
        <w:rPr>
          <w:noProof/>
        </w:rPr>
      </w:pPr>
      <w:r w:rsidRPr="00047543">
        <w:rPr>
          <w:noProof/>
        </w:rPr>
        <w:t>På Europaparlamentets vägnar</w:t>
      </w:r>
      <w:r w:rsidRPr="00047543">
        <w:rPr>
          <w:noProof/>
        </w:rPr>
        <w:tab/>
        <w:t>På rådets vägnar</w:t>
      </w:r>
    </w:p>
    <w:p w14:paraId="0575463B" w14:textId="77777777" w:rsidR="0040501D" w:rsidRPr="00047543" w:rsidRDefault="0040501D" w:rsidP="0040501D">
      <w:pPr>
        <w:pStyle w:val="Personnequisigne"/>
        <w:rPr>
          <w:noProof/>
        </w:rPr>
      </w:pPr>
      <w:r w:rsidRPr="00047543">
        <w:rPr>
          <w:noProof/>
        </w:rPr>
        <w:t>Ordförande</w:t>
      </w:r>
      <w:r w:rsidRPr="00047543">
        <w:rPr>
          <w:noProof/>
        </w:rPr>
        <w:tab/>
        <w:t>Ordförande</w:t>
      </w:r>
    </w:p>
    <w:p w14:paraId="7F13F54F" w14:textId="77777777" w:rsidR="0040501D" w:rsidRPr="00047543" w:rsidRDefault="0040501D" w:rsidP="0040501D">
      <w:pPr>
        <w:rPr>
          <w:noProof/>
        </w:rPr>
        <w:sectPr w:rsidR="0040501D" w:rsidRPr="00047543" w:rsidSect="003E44E5">
          <w:footnotePr>
            <w:numRestart w:val="eachSect"/>
          </w:footnotePr>
          <w:pgSz w:w="11907" w:h="16839"/>
          <w:pgMar w:top="1134" w:right="1417" w:bottom="1134" w:left="1417" w:header="709" w:footer="709" w:gutter="0"/>
          <w:cols w:space="708"/>
          <w:docGrid w:linePitch="360"/>
        </w:sectPr>
      </w:pPr>
    </w:p>
    <w:p w14:paraId="3BB6DA86" w14:textId="77777777" w:rsidR="0040501D" w:rsidRPr="00047543" w:rsidRDefault="0040501D">
      <w:pPr>
        <w:pStyle w:val="Fichefinanciretitre"/>
        <w:keepNext/>
        <w:rPr>
          <w:noProof/>
        </w:rPr>
      </w:pPr>
      <w:r w:rsidRPr="00047543">
        <w:rPr>
          <w:noProof/>
        </w:rPr>
        <w:t>FINANSIERINGSÖVERSIKT OCH DIGITAL ÖVERSIKT FÖR RÄTTSAKT</w:t>
      </w:r>
    </w:p>
    <w:p w14:paraId="70EA2636" w14:textId="77777777" w:rsidR="0040501D" w:rsidRPr="00047543" w:rsidRDefault="0040501D">
      <w:pPr>
        <w:pStyle w:val="TOC1"/>
        <w:rPr>
          <w:rFonts w:asciiTheme="minorHAnsi" w:eastAsiaTheme="minorEastAsia" w:hAnsiTheme="minorHAnsi" w:cstheme="minorBidi"/>
          <w:noProof/>
          <w:kern w:val="2"/>
          <w:sz w:val="22"/>
          <w14:ligatures w14:val="standardContextual"/>
        </w:rPr>
      </w:pPr>
      <w:r w:rsidRPr="00047543">
        <w:rPr>
          <w:noProof/>
        </w:rPr>
        <w:t>1.</w:t>
      </w:r>
      <w:r w:rsidRPr="00047543">
        <w:rPr>
          <w:noProof/>
        </w:rPr>
        <w:tab/>
        <w:t>GRUNDLÄGGANDE UPPGIFTER OM FÖRSLAGET ELLER INITIATIVET</w:t>
      </w:r>
      <w:r w:rsidRPr="00047543">
        <w:rPr>
          <w:noProof/>
        </w:rPr>
        <w:tab/>
      </w:r>
      <w:r w:rsidRPr="00047543">
        <w:rPr>
          <w:noProof/>
          <w:webHidden/>
        </w:rPr>
        <w:t>3</w:t>
      </w:r>
    </w:p>
    <w:p w14:paraId="61C8D628" w14:textId="77777777"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1.1</w:t>
      </w:r>
      <w:r w:rsidRPr="00047543">
        <w:rPr>
          <w:noProof/>
        </w:rPr>
        <w:tab/>
        <w:t>Förslagets eller initiativets titel</w:t>
      </w:r>
      <w:r w:rsidRPr="00047543">
        <w:rPr>
          <w:noProof/>
        </w:rPr>
        <w:tab/>
      </w:r>
      <w:r w:rsidRPr="00047543">
        <w:rPr>
          <w:noProof/>
          <w:webHidden/>
        </w:rPr>
        <w:t>3</w:t>
      </w:r>
    </w:p>
    <w:p w14:paraId="70CCB623" w14:textId="77777777"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1.2</w:t>
      </w:r>
      <w:r w:rsidRPr="00047543">
        <w:rPr>
          <w:noProof/>
        </w:rPr>
        <w:tab/>
        <w:t>Berörda politikområden</w:t>
      </w:r>
      <w:r w:rsidRPr="00047543">
        <w:rPr>
          <w:noProof/>
        </w:rPr>
        <w:tab/>
      </w:r>
      <w:r w:rsidRPr="00047543">
        <w:rPr>
          <w:noProof/>
          <w:webHidden/>
        </w:rPr>
        <w:t>3</w:t>
      </w:r>
    </w:p>
    <w:p w14:paraId="78745559" w14:textId="77777777"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1.3</w:t>
      </w:r>
      <w:r w:rsidRPr="00047543">
        <w:rPr>
          <w:noProof/>
        </w:rPr>
        <w:tab/>
        <w:t>Mål</w:t>
      </w:r>
      <w:r w:rsidRPr="00047543">
        <w:rPr>
          <w:noProof/>
        </w:rPr>
        <w:tab/>
      </w:r>
      <w:r w:rsidRPr="00047543">
        <w:rPr>
          <w:noProof/>
          <w:webHidden/>
        </w:rPr>
        <w:t>3</w:t>
      </w:r>
    </w:p>
    <w:p w14:paraId="21FB2242" w14:textId="77777777"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1.3.1</w:t>
      </w:r>
      <w:r w:rsidRPr="00047543">
        <w:rPr>
          <w:noProof/>
        </w:rPr>
        <w:tab/>
        <w:t>Allmänt/allmänna mål</w:t>
      </w:r>
      <w:r w:rsidRPr="00047543">
        <w:rPr>
          <w:noProof/>
        </w:rPr>
        <w:tab/>
      </w:r>
      <w:r w:rsidRPr="00047543">
        <w:rPr>
          <w:noProof/>
          <w:webHidden/>
        </w:rPr>
        <w:t>3</w:t>
      </w:r>
    </w:p>
    <w:p w14:paraId="3A5DF93F" w14:textId="77777777"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1.3.2</w:t>
      </w:r>
      <w:r w:rsidRPr="00047543">
        <w:rPr>
          <w:noProof/>
        </w:rPr>
        <w:tab/>
        <w:t>Specifikt/specifika mål</w:t>
      </w:r>
      <w:r w:rsidRPr="00047543">
        <w:rPr>
          <w:noProof/>
        </w:rPr>
        <w:tab/>
      </w:r>
      <w:r w:rsidRPr="00047543">
        <w:rPr>
          <w:noProof/>
          <w:webHidden/>
        </w:rPr>
        <w:t>3</w:t>
      </w:r>
    </w:p>
    <w:p w14:paraId="422FB35D" w14:textId="77777777"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1.3.3</w:t>
      </w:r>
      <w:r w:rsidRPr="00047543">
        <w:rPr>
          <w:noProof/>
        </w:rPr>
        <w:tab/>
        <w:t>Verkan eller resultat som förväntas</w:t>
      </w:r>
      <w:r w:rsidRPr="00047543">
        <w:rPr>
          <w:noProof/>
        </w:rPr>
        <w:tab/>
      </w:r>
      <w:r w:rsidRPr="00047543">
        <w:rPr>
          <w:noProof/>
          <w:webHidden/>
        </w:rPr>
        <w:t>3</w:t>
      </w:r>
    </w:p>
    <w:p w14:paraId="3B00C995" w14:textId="77777777"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1.3.4</w:t>
      </w:r>
      <w:r w:rsidRPr="00047543">
        <w:rPr>
          <w:noProof/>
        </w:rPr>
        <w:tab/>
        <w:t>Prestationsindikatorer</w:t>
      </w:r>
      <w:r w:rsidRPr="00047543">
        <w:rPr>
          <w:noProof/>
        </w:rPr>
        <w:tab/>
      </w:r>
      <w:r w:rsidRPr="00047543">
        <w:rPr>
          <w:noProof/>
          <w:webHidden/>
        </w:rPr>
        <w:t>3</w:t>
      </w:r>
    </w:p>
    <w:p w14:paraId="284227F5" w14:textId="77777777"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1.4</w:t>
      </w:r>
      <w:r w:rsidRPr="00047543">
        <w:rPr>
          <w:noProof/>
        </w:rPr>
        <w:tab/>
        <w:t>Förslaget eller initiativet avser</w:t>
      </w:r>
      <w:r w:rsidRPr="00047543">
        <w:rPr>
          <w:noProof/>
        </w:rPr>
        <w:tab/>
      </w:r>
      <w:r w:rsidRPr="00047543">
        <w:rPr>
          <w:noProof/>
          <w:webHidden/>
        </w:rPr>
        <w:t>4</w:t>
      </w:r>
    </w:p>
    <w:p w14:paraId="0D0398C8" w14:textId="77777777"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1.5</w:t>
      </w:r>
      <w:r w:rsidRPr="00047543">
        <w:rPr>
          <w:noProof/>
        </w:rPr>
        <w:tab/>
        <w:t>Grunder för förslaget eller initiativet</w:t>
      </w:r>
      <w:r w:rsidRPr="00047543">
        <w:rPr>
          <w:noProof/>
        </w:rPr>
        <w:tab/>
      </w:r>
      <w:r w:rsidRPr="00047543">
        <w:rPr>
          <w:noProof/>
          <w:webHidden/>
        </w:rPr>
        <w:t>4</w:t>
      </w:r>
    </w:p>
    <w:p w14:paraId="5E08DBAA" w14:textId="77777777"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1.5.1</w:t>
      </w:r>
      <w:r w:rsidRPr="00047543">
        <w:rPr>
          <w:noProof/>
        </w:rPr>
        <w:tab/>
        <w:t>Krav som ska uppfyllas på kort eller lång sikt, inbegripet en detaljerad tidsplan för genomförandet av initiativet</w:t>
      </w:r>
      <w:r w:rsidRPr="00047543">
        <w:rPr>
          <w:noProof/>
        </w:rPr>
        <w:tab/>
      </w:r>
      <w:r w:rsidRPr="00047543">
        <w:rPr>
          <w:noProof/>
          <w:webHidden/>
        </w:rPr>
        <w:t>4</w:t>
      </w:r>
    </w:p>
    <w:p w14:paraId="14DFECA4" w14:textId="77777777"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1.5.2</w:t>
      </w:r>
      <w:r w:rsidRPr="00047543">
        <w:rPr>
          <w:noProof/>
        </w:rPr>
        <w:tab/>
        <w:t>Mervärdet av en åtgärd på EU-nivå (som kan följa av flera faktorer, t.ex. samordningsfördelar, rättssäkerhet, ökad effektivitet eller komplementaritet). Med ”mervärdet av en åtgärd på EU-nivå” i detta avsnitt avses det värde en åtgärd från unionens sida tillför utöver det värde som annars skulle ha skapats av enbart medlemsstaterna.</w:t>
      </w:r>
      <w:r w:rsidRPr="00047543">
        <w:rPr>
          <w:noProof/>
        </w:rPr>
        <w:tab/>
      </w:r>
      <w:r w:rsidRPr="00047543">
        <w:rPr>
          <w:noProof/>
          <w:webHidden/>
        </w:rPr>
        <w:t>4</w:t>
      </w:r>
    </w:p>
    <w:p w14:paraId="6D8607EC" w14:textId="77777777"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1.5.3</w:t>
      </w:r>
      <w:r w:rsidRPr="00047543">
        <w:rPr>
          <w:noProof/>
        </w:rPr>
        <w:tab/>
        <w:t>Erfarenheter från tidigare liknande åtgärder</w:t>
      </w:r>
      <w:r w:rsidRPr="00047543">
        <w:rPr>
          <w:noProof/>
        </w:rPr>
        <w:tab/>
      </w:r>
      <w:r w:rsidRPr="00047543">
        <w:rPr>
          <w:noProof/>
          <w:webHidden/>
        </w:rPr>
        <w:t>4</w:t>
      </w:r>
    </w:p>
    <w:p w14:paraId="49EAD95A" w14:textId="77777777"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1.5.4</w:t>
      </w:r>
      <w:r w:rsidRPr="00047543">
        <w:rPr>
          <w:noProof/>
        </w:rPr>
        <w:tab/>
        <w:t>Förenlighet med den fleråriga budgetramen och eventuella synergieffekter med andra relevanta instrument</w:t>
      </w:r>
      <w:r w:rsidRPr="00047543">
        <w:rPr>
          <w:noProof/>
        </w:rPr>
        <w:tab/>
      </w:r>
      <w:r w:rsidRPr="00047543">
        <w:rPr>
          <w:noProof/>
          <w:webHidden/>
        </w:rPr>
        <w:t>5</w:t>
      </w:r>
    </w:p>
    <w:p w14:paraId="51A12BD5" w14:textId="77777777"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1.5.5</w:t>
      </w:r>
      <w:r w:rsidRPr="00047543">
        <w:rPr>
          <w:noProof/>
        </w:rPr>
        <w:tab/>
        <w:t>Bedömning av de olika finansieringsalternativ som finns att tillgå, inbegripet möjligheter till omfördelning</w:t>
      </w:r>
      <w:r w:rsidRPr="00047543">
        <w:rPr>
          <w:noProof/>
        </w:rPr>
        <w:tab/>
      </w:r>
      <w:r w:rsidRPr="00047543">
        <w:rPr>
          <w:noProof/>
          <w:webHidden/>
        </w:rPr>
        <w:t>5</w:t>
      </w:r>
    </w:p>
    <w:p w14:paraId="2F1B77ED" w14:textId="77777777"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1.6</w:t>
      </w:r>
      <w:r w:rsidRPr="00047543">
        <w:rPr>
          <w:noProof/>
        </w:rPr>
        <w:tab/>
        <w:t>Förslagets eller initiativets varaktighet och budgetkonsekvenser</w:t>
      </w:r>
      <w:r w:rsidRPr="00047543">
        <w:rPr>
          <w:noProof/>
        </w:rPr>
        <w:tab/>
      </w:r>
      <w:r w:rsidRPr="00047543">
        <w:rPr>
          <w:noProof/>
          <w:webHidden/>
        </w:rPr>
        <w:t>6</w:t>
      </w:r>
    </w:p>
    <w:p w14:paraId="4BD48801" w14:textId="77777777"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1.7</w:t>
      </w:r>
      <w:r w:rsidRPr="00047543">
        <w:rPr>
          <w:noProof/>
        </w:rPr>
        <w:tab/>
        <w:t>Planerad(e) genomförandemetod(er)</w:t>
      </w:r>
      <w:r w:rsidRPr="00047543">
        <w:rPr>
          <w:noProof/>
        </w:rPr>
        <w:tab/>
      </w:r>
      <w:r w:rsidRPr="00047543">
        <w:rPr>
          <w:noProof/>
          <w:webHidden/>
        </w:rPr>
        <w:t>6</w:t>
      </w:r>
    </w:p>
    <w:p w14:paraId="33725E17" w14:textId="21308E5C" w:rsidR="0040501D" w:rsidRPr="00047543" w:rsidRDefault="0040501D">
      <w:pPr>
        <w:pStyle w:val="TOC1"/>
        <w:rPr>
          <w:rFonts w:asciiTheme="minorHAnsi" w:eastAsiaTheme="minorEastAsia" w:hAnsiTheme="minorHAnsi" w:cstheme="minorBidi"/>
          <w:noProof/>
          <w:kern w:val="2"/>
          <w:sz w:val="22"/>
          <w14:ligatures w14:val="standardContextual"/>
        </w:rPr>
      </w:pPr>
      <w:r w:rsidRPr="00047543">
        <w:rPr>
          <w:noProof/>
        </w:rPr>
        <w:t>2.</w:t>
      </w:r>
      <w:r w:rsidRPr="00047543">
        <w:rPr>
          <w:noProof/>
        </w:rPr>
        <w:tab/>
        <w:t>FÖRVALTNING</w:t>
      </w:r>
      <w:r w:rsidRPr="00047543">
        <w:rPr>
          <w:noProof/>
        </w:rPr>
        <w:tab/>
      </w:r>
      <w:r w:rsidRPr="00047543">
        <w:rPr>
          <w:noProof/>
          <w:webHidden/>
        </w:rPr>
        <w:t>7</w:t>
      </w:r>
    </w:p>
    <w:p w14:paraId="45905605" w14:textId="415617BD"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2.1</w:t>
      </w:r>
      <w:r w:rsidRPr="00047543">
        <w:rPr>
          <w:noProof/>
        </w:rPr>
        <w:tab/>
        <w:t>Regler om uppföljning och rapportering</w:t>
      </w:r>
      <w:r w:rsidRPr="00047543">
        <w:rPr>
          <w:noProof/>
        </w:rPr>
        <w:tab/>
      </w:r>
      <w:r w:rsidRPr="00047543">
        <w:rPr>
          <w:noProof/>
          <w:webHidden/>
        </w:rPr>
        <w:t>7</w:t>
      </w:r>
    </w:p>
    <w:p w14:paraId="4D40EA76" w14:textId="17BD675E"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2.2</w:t>
      </w:r>
      <w:r w:rsidRPr="00047543">
        <w:rPr>
          <w:noProof/>
        </w:rPr>
        <w:tab/>
        <w:t>Förvaltnings- och kontrollsystem</w:t>
      </w:r>
      <w:r w:rsidRPr="00047543">
        <w:rPr>
          <w:noProof/>
        </w:rPr>
        <w:tab/>
      </w:r>
      <w:r w:rsidRPr="00047543">
        <w:rPr>
          <w:noProof/>
          <w:webHidden/>
        </w:rPr>
        <w:t>7</w:t>
      </w:r>
    </w:p>
    <w:p w14:paraId="4E6F993E" w14:textId="41CC94E6"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2.2.1</w:t>
      </w:r>
      <w:r w:rsidRPr="00047543">
        <w:rPr>
          <w:noProof/>
        </w:rPr>
        <w:tab/>
        <w:t>Motivering av den budgetgenomförandemetod, de finansieringsmekanismer, de betalningsvillkor och den kontrollstrategi som föreslås</w:t>
      </w:r>
      <w:r w:rsidRPr="00047543">
        <w:rPr>
          <w:noProof/>
        </w:rPr>
        <w:tab/>
      </w:r>
      <w:r w:rsidRPr="00047543">
        <w:rPr>
          <w:noProof/>
          <w:webHidden/>
        </w:rPr>
        <w:t>7</w:t>
      </w:r>
    </w:p>
    <w:p w14:paraId="2A56BA57" w14:textId="1E2B6CE7"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2.2.2</w:t>
      </w:r>
      <w:r w:rsidRPr="00047543">
        <w:rPr>
          <w:noProof/>
        </w:rPr>
        <w:tab/>
        <w:t>Uppgifter om identifierade risker och om det eller de interna kontrollsystem som inrättats för att begränsa riskerna</w:t>
      </w:r>
      <w:r w:rsidRPr="00047543">
        <w:rPr>
          <w:noProof/>
        </w:rPr>
        <w:tab/>
      </w:r>
      <w:r w:rsidRPr="00047543">
        <w:rPr>
          <w:noProof/>
          <w:webHidden/>
        </w:rPr>
        <w:t>7</w:t>
      </w:r>
    </w:p>
    <w:p w14:paraId="5C3754C6" w14:textId="573F89AB" w:rsidR="0040501D" w:rsidRPr="00047543" w:rsidRDefault="0040501D">
      <w:pPr>
        <w:pStyle w:val="TOC3"/>
        <w:rPr>
          <w:rFonts w:asciiTheme="minorHAnsi" w:eastAsiaTheme="minorEastAsia" w:hAnsiTheme="minorHAnsi" w:cstheme="minorBidi"/>
          <w:noProof/>
          <w:kern w:val="2"/>
          <w:sz w:val="22"/>
          <w14:ligatures w14:val="standardContextual"/>
        </w:rPr>
      </w:pPr>
      <w:r w:rsidRPr="00047543">
        <w:rPr>
          <w:noProof/>
        </w:rPr>
        <w:t>2.2.3</w:t>
      </w:r>
      <w:r w:rsidRPr="00047543">
        <w:rPr>
          <w:noProof/>
        </w:rPr>
        <w:tab/>
        <w:t>Beräkning och motivering av kontrollernas kostnadseffektivitet (dvs. förhållandet mellan kostnaden för kontrollerna och värdet av de medel som förvaltas) och en bedömning av den förväntade risken för fel (vid betalning och vid avslutande)</w:t>
      </w:r>
      <w:r w:rsidRPr="00047543">
        <w:rPr>
          <w:noProof/>
        </w:rPr>
        <w:tab/>
      </w:r>
      <w:r w:rsidRPr="00047543">
        <w:rPr>
          <w:noProof/>
          <w:webHidden/>
        </w:rPr>
        <w:t>7</w:t>
      </w:r>
    </w:p>
    <w:p w14:paraId="51BC2079" w14:textId="6245261E"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2.3</w:t>
      </w:r>
      <w:r w:rsidRPr="00047543">
        <w:rPr>
          <w:noProof/>
        </w:rPr>
        <w:tab/>
        <w:t>Åtgärder för att förebygga bedrägeri och oriktigheter</w:t>
      </w:r>
      <w:r w:rsidRPr="00047543">
        <w:rPr>
          <w:noProof/>
        </w:rPr>
        <w:tab/>
      </w:r>
      <w:r w:rsidRPr="00047543">
        <w:rPr>
          <w:noProof/>
          <w:webHidden/>
        </w:rPr>
        <w:t>7</w:t>
      </w:r>
    </w:p>
    <w:p w14:paraId="3936950E" w14:textId="5AECA32C" w:rsidR="0040501D" w:rsidRPr="00047543" w:rsidDel="00690ABD" w:rsidRDefault="0040501D" w:rsidP="00690ABD">
      <w:pPr>
        <w:pStyle w:val="TOC1"/>
        <w:rPr>
          <w:rFonts w:asciiTheme="minorHAnsi" w:eastAsiaTheme="minorEastAsia" w:hAnsiTheme="minorHAnsi" w:cstheme="minorBidi"/>
          <w:noProof/>
          <w:kern w:val="2"/>
          <w:sz w:val="22"/>
          <w14:ligatures w14:val="standardContextual"/>
        </w:rPr>
      </w:pPr>
      <w:r w:rsidRPr="00047543">
        <w:rPr>
          <w:noProof/>
        </w:rPr>
        <w:t>3.</w:t>
      </w:r>
      <w:r w:rsidRPr="00047543">
        <w:rPr>
          <w:noProof/>
        </w:rPr>
        <w:tab/>
        <w:t>FÖRSLAGETS ELLER INITIATIVETS BERÄKNADE BUDGETKONSEKVENSER</w:t>
      </w:r>
      <w:r w:rsidRPr="00047543">
        <w:rPr>
          <w:noProof/>
        </w:rPr>
        <w:tab/>
      </w:r>
      <w:r w:rsidRPr="00047543">
        <w:rPr>
          <w:noProof/>
          <w:webHidden/>
        </w:rPr>
        <w:t>8</w:t>
      </w:r>
    </w:p>
    <w:p w14:paraId="7E00FE6B" w14:textId="0CAEEF97"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3.1</w:t>
      </w:r>
      <w:r w:rsidRPr="00047543">
        <w:rPr>
          <w:noProof/>
        </w:rPr>
        <w:tab/>
        <w:t>Berörda rubriker i den fleråriga budgetramen och utgiftsposter i den årliga budgeten</w:t>
      </w:r>
      <w:r w:rsidRPr="00047543">
        <w:rPr>
          <w:noProof/>
        </w:rPr>
        <w:tab/>
      </w:r>
      <w:r w:rsidRPr="00047543">
        <w:rPr>
          <w:noProof/>
          <w:webHidden/>
        </w:rPr>
        <w:t>8</w:t>
      </w:r>
    </w:p>
    <w:p w14:paraId="072D41E4" w14:textId="60900931"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w:t>
      </w:r>
      <w:r w:rsidRPr="00047543">
        <w:rPr>
          <w:noProof/>
        </w:rPr>
        <w:tab/>
        <w:t>Förslagets beräknade budgetkonsekvenser för anslagen</w:t>
      </w:r>
      <w:r w:rsidRPr="00047543">
        <w:rPr>
          <w:noProof/>
        </w:rPr>
        <w:tab/>
      </w:r>
      <w:r w:rsidRPr="00047543">
        <w:rPr>
          <w:noProof/>
          <w:webHidden/>
        </w:rPr>
        <w:t>9</w:t>
      </w:r>
    </w:p>
    <w:p w14:paraId="6E457468" w14:textId="26CCEA7E"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3.2.1</w:t>
      </w:r>
      <w:r w:rsidRPr="00047543">
        <w:rPr>
          <w:noProof/>
        </w:rPr>
        <w:tab/>
        <w:t>Sammanfattning av beräknad inverkan på driftsanslagen</w:t>
      </w:r>
      <w:r w:rsidRPr="00047543">
        <w:rPr>
          <w:noProof/>
        </w:rPr>
        <w:tab/>
      </w:r>
      <w:r w:rsidRPr="00047543">
        <w:rPr>
          <w:noProof/>
          <w:webHidden/>
        </w:rPr>
        <w:t>9</w:t>
      </w:r>
    </w:p>
    <w:p w14:paraId="798FBCE7" w14:textId="533B5750"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3.2.1.1</w:t>
      </w:r>
      <w:r w:rsidRPr="00047543">
        <w:rPr>
          <w:noProof/>
        </w:rPr>
        <w:tab/>
        <w:t>Anslag i den antagna budgeten</w:t>
      </w:r>
      <w:r w:rsidRPr="00047543">
        <w:rPr>
          <w:noProof/>
        </w:rPr>
        <w:tab/>
      </w:r>
      <w:r w:rsidRPr="00047543">
        <w:rPr>
          <w:noProof/>
          <w:webHidden/>
        </w:rPr>
        <w:t>9</w:t>
      </w:r>
    </w:p>
    <w:p w14:paraId="1A4EE554" w14:textId="372CECA3"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3.2.1.2</w:t>
      </w:r>
      <w:r w:rsidRPr="00047543">
        <w:rPr>
          <w:noProof/>
        </w:rPr>
        <w:tab/>
        <w:t>Anslag från externa inkomster avsatta för särskilda ändamål</w:t>
      </w:r>
      <w:r w:rsidRPr="00047543">
        <w:rPr>
          <w:noProof/>
        </w:rPr>
        <w:tab/>
      </w:r>
      <w:r w:rsidRPr="00047543">
        <w:rPr>
          <w:noProof/>
          <w:webHidden/>
        </w:rPr>
        <w:t>13</w:t>
      </w:r>
    </w:p>
    <w:p w14:paraId="5FC08149" w14:textId="70148689"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3.2.2</w:t>
      </w:r>
      <w:r w:rsidRPr="00047543">
        <w:rPr>
          <w:noProof/>
        </w:rPr>
        <w:tab/>
        <w:t>Beräknad output som finansieras med driftsanslag</w:t>
      </w:r>
      <w:r w:rsidRPr="00047543">
        <w:rPr>
          <w:noProof/>
        </w:rPr>
        <w:tab/>
      </w:r>
      <w:r w:rsidRPr="00047543">
        <w:rPr>
          <w:noProof/>
          <w:webHidden/>
        </w:rPr>
        <w:t>18</w:t>
      </w:r>
    </w:p>
    <w:p w14:paraId="772CA914" w14:textId="10E9B98F"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3.2.3</w:t>
      </w:r>
      <w:r w:rsidRPr="00047543">
        <w:rPr>
          <w:noProof/>
        </w:rPr>
        <w:tab/>
        <w:t>Sammanfattning av beräknad inverkan på de administrativa anslagen</w:t>
      </w:r>
      <w:r w:rsidRPr="00047543">
        <w:rPr>
          <w:noProof/>
        </w:rPr>
        <w:tab/>
      </w:r>
      <w:r w:rsidRPr="00047543">
        <w:rPr>
          <w:noProof/>
          <w:webHidden/>
        </w:rPr>
        <w:t>19</w:t>
      </w:r>
    </w:p>
    <w:p w14:paraId="075F631F" w14:textId="6B1508FD"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3.2.3.1 Anslag i den antagna budgeten</w:t>
      </w:r>
      <w:r w:rsidRPr="00047543">
        <w:rPr>
          <w:noProof/>
        </w:rPr>
        <w:tab/>
      </w:r>
      <w:r w:rsidRPr="00047543">
        <w:rPr>
          <w:noProof/>
          <w:webHidden/>
        </w:rPr>
        <w:t>19</w:t>
      </w:r>
    </w:p>
    <w:p w14:paraId="716A63AA" w14:textId="59498EFD"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3.2.3.2</w:t>
      </w:r>
      <w:r w:rsidRPr="00047543">
        <w:rPr>
          <w:noProof/>
        </w:rPr>
        <w:tab/>
        <w:t>Anslag från externa inkomster avsatta för särskilda ändamål</w:t>
      </w:r>
      <w:r w:rsidRPr="00047543">
        <w:rPr>
          <w:noProof/>
        </w:rPr>
        <w:tab/>
      </w:r>
      <w:r w:rsidRPr="00047543">
        <w:rPr>
          <w:noProof/>
          <w:webHidden/>
        </w:rPr>
        <w:t>19</w:t>
      </w:r>
    </w:p>
    <w:p w14:paraId="197E74EF" w14:textId="3E321AAA"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3.2.3.3</w:t>
      </w:r>
      <w:r w:rsidRPr="00047543">
        <w:rPr>
          <w:noProof/>
        </w:rPr>
        <w:tab/>
        <w:t>Totala anslag</w:t>
      </w:r>
      <w:r w:rsidRPr="00047543">
        <w:rPr>
          <w:noProof/>
        </w:rPr>
        <w:tab/>
      </w:r>
      <w:r w:rsidRPr="00047543">
        <w:rPr>
          <w:noProof/>
          <w:webHidden/>
        </w:rPr>
        <w:t>19</w:t>
      </w:r>
    </w:p>
    <w:p w14:paraId="2358B830" w14:textId="5E9EA81E"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3.2.4</w:t>
      </w:r>
      <w:r w:rsidRPr="00047543">
        <w:rPr>
          <w:noProof/>
        </w:rPr>
        <w:tab/>
        <w:t>Beräknat personalbehov</w:t>
      </w:r>
      <w:r w:rsidRPr="00047543">
        <w:rPr>
          <w:noProof/>
        </w:rPr>
        <w:tab/>
      </w:r>
      <w:r w:rsidRPr="00047543">
        <w:rPr>
          <w:noProof/>
          <w:webHidden/>
        </w:rPr>
        <w:t>20</w:t>
      </w:r>
    </w:p>
    <w:p w14:paraId="1D9EC83B" w14:textId="1E8A2AC8"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3.2.4.1</w:t>
      </w:r>
      <w:r w:rsidRPr="00047543">
        <w:rPr>
          <w:noProof/>
        </w:rPr>
        <w:tab/>
        <w:t>Finansierat med den antagna budgeten</w:t>
      </w:r>
      <w:r w:rsidRPr="00047543">
        <w:rPr>
          <w:noProof/>
        </w:rPr>
        <w:tab/>
      </w:r>
      <w:r w:rsidRPr="00047543">
        <w:rPr>
          <w:noProof/>
          <w:webHidden/>
        </w:rPr>
        <w:t>20</w:t>
      </w:r>
    </w:p>
    <w:p w14:paraId="6F743B26" w14:textId="58159508"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3.2.4.2</w:t>
      </w:r>
      <w:r w:rsidRPr="00047543">
        <w:rPr>
          <w:noProof/>
        </w:rPr>
        <w:tab/>
        <w:t>Finansierat med externa inkomster avsatta för särskilda ändamål</w:t>
      </w:r>
      <w:r w:rsidRPr="00047543">
        <w:rPr>
          <w:noProof/>
        </w:rPr>
        <w:tab/>
      </w:r>
      <w:r w:rsidRPr="00047543">
        <w:rPr>
          <w:noProof/>
          <w:webHidden/>
        </w:rPr>
        <w:t>20</w:t>
      </w:r>
    </w:p>
    <w:p w14:paraId="590E1817" w14:textId="4968F9C3"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3.2.4.3</w:t>
      </w:r>
      <w:r w:rsidRPr="00047543">
        <w:rPr>
          <w:noProof/>
        </w:rPr>
        <w:tab/>
        <w:t>Totalt personalbehov</w:t>
      </w:r>
      <w:r w:rsidRPr="00047543">
        <w:rPr>
          <w:noProof/>
        </w:rPr>
        <w:tab/>
      </w:r>
      <w:r w:rsidRPr="00047543">
        <w:rPr>
          <w:noProof/>
          <w:webHidden/>
        </w:rPr>
        <w:t>21</w:t>
      </w:r>
    </w:p>
    <w:p w14:paraId="0CBF0ACB" w14:textId="2BDE8120"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3.2.5</w:t>
      </w:r>
      <w:r w:rsidRPr="00047543">
        <w:rPr>
          <w:noProof/>
        </w:rPr>
        <w:tab/>
        <w:t>Översikt över beräknad inverkan på it-relaterade investeringar</w:t>
      </w:r>
      <w:r w:rsidRPr="00047543">
        <w:rPr>
          <w:noProof/>
        </w:rPr>
        <w:tab/>
      </w:r>
      <w:r w:rsidRPr="00047543">
        <w:rPr>
          <w:noProof/>
          <w:webHidden/>
        </w:rPr>
        <w:t>22</w:t>
      </w:r>
    </w:p>
    <w:p w14:paraId="180DB875" w14:textId="3887FB63"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3.2.6</w:t>
      </w:r>
      <w:r w:rsidRPr="00047543">
        <w:rPr>
          <w:noProof/>
        </w:rPr>
        <w:tab/>
        <w:t>Förenlighet med den gällande fleråriga budgetramen</w:t>
      </w:r>
      <w:r w:rsidRPr="00047543">
        <w:rPr>
          <w:noProof/>
        </w:rPr>
        <w:tab/>
      </w:r>
      <w:r w:rsidRPr="00047543">
        <w:rPr>
          <w:noProof/>
          <w:webHidden/>
        </w:rPr>
        <w:t>22</w:t>
      </w:r>
    </w:p>
    <w:p w14:paraId="616A2882" w14:textId="470B29F3" w:rsidR="0040501D" w:rsidRPr="00047543" w:rsidDel="00690ABD"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3.2.7</w:t>
      </w:r>
      <w:r w:rsidRPr="00047543">
        <w:rPr>
          <w:noProof/>
        </w:rPr>
        <w:tab/>
        <w:t>Bidrag från tredje part</w:t>
      </w:r>
      <w:r w:rsidRPr="00047543">
        <w:rPr>
          <w:noProof/>
        </w:rPr>
        <w:tab/>
      </w:r>
      <w:r w:rsidRPr="00047543">
        <w:rPr>
          <w:noProof/>
          <w:webHidden/>
        </w:rPr>
        <w:t>22</w:t>
      </w:r>
    </w:p>
    <w:p w14:paraId="40A0F26C" w14:textId="4B772B1B" w:rsidR="0040501D" w:rsidRPr="00047543" w:rsidRDefault="0040501D" w:rsidP="00B871C4">
      <w:pPr>
        <w:pStyle w:val="TOC1"/>
        <w:rPr>
          <w:rFonts w:asciiTheme="minorHAnsi" w:eastAsiaTheme="minorEastAsia" w:hAnsiTheme="minorHAnsi" w:cstheme="minorBidi"/>
          <w:noProof/>
          <w:kern w:val="2"/>
          <w:sz w:val="22"/>
          <w14:ligatures w14:val="standardContextual"/>
        </w:rPr>
      </w:pPr>
      <w:r w:rsidRPr="00047543">
        <w:rPr>
          <w:noProof/>
        </w:rPr>
        <w:t>3.3</w:t>
      </w:r>
      <w:r w:rsidRPr="00047543">
        <w:rPr>
          <w:noProof/>
        </w:rPr>
        <w:tab/>
        <w:t>Beräknad inverkan på inkomsterna</w:t>
      </w:r>
      <w:r w:rsidRPr="00047543">
        <w:rPr>
          <w:noProof/>
        </w:rPr>
        <w:tab/>
      </w:r>
      <w:r w:rsidRPr="00047543">
        <w:rPr>
          <w:noProof/>
          <w:webHidden/>
        </w:rPr>
        <w:t>23</w:t>
      </w:r>
    </w:p>
    <w:p w14:paraId="7980E1FD" w14:textId="7D1D4A85" w:rsidR="0040501D" w:rsidRPr="00047543" w:rsidRDefault="0040501D">
      <w:pPr>
        <w:pStyle w:val="TOC1"/>
        <w:rPr>
          <w:rFonts w:asciiTheme="minorHAnsi" w:eastAsiaTheme="minorEastAsia" w:hAnsiTheme="minorHAnsi" w:cstheme="minorBidi"/>
          <w:noProof/>
          <w:kern w:val="2"/>
          <w:sz w:val="22"/>
          <w14:ligatures w14:val="standardContextual"/>
        </w:rPr>
      </w:pPr>
      <w:r w:rsidRPr="00047543">
        <w:rPr>
          <w:noProof/>
        </w:rPr>
        <w:t>4.</w:t>
      </w:r>
      <w:r w:rsidRPr="00047543">
        <w:rPr>
          <w:noProof/>
        </w:rPr>
        <w:tab/>
      </w:r>
      <w:r w:rsidRPr="00047543">
        <w:rPr>
          <w:caps/>
          <w:noProof/>
        </w:rPr>
        <w:t>Digitala inslag</w:t>
      </w:r>
      <w:r w:rsidRPr="00047543">
        <w:rPr>
          <w:noProof/>
        </w:rPr>
        <w:tab/>
      </w:r>
      <w:r w:rsidRPr="00047543">
        <w:rPr>
          <w:noProof/>
          <w:webHidden/>
        </w:rPr>
        <w:t>24</w:t>
      </w:r>
    </w:p>
    <w:p w14:paraId="606A8F0F" w14:textId="0176218A"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4.1</w:t>
      </w:r>
      <w:r w:rsidRPr="00047543">
        <w:rPr>
          <w:noProof/>
        </w:rPr>
        <w:tab/>
        <w:t>Krav med digital relevans</w:t>
      </w:r>
      <w:r w:rsidRPr="00047543">
        <w:rPr>
          <w:noProof/>
        </w:rPr>
        <w:tab/>
      </w:r>
      <w:r w:rsidRPr="00047543">
        <w:rPr>
          <w:noProof/>
          <w:webHidden/>
        </w:rPr>
        <w:t>24</w:t>
      </w:r>
    </w:p>
    <w:p w14:paraId="72FF1EDE" w14:textId="3D2F85DD"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4.2</w:t>
      </w:r>
      <w:r w:rsidRPr="00047543">
        <w:rPr>
          <w:noProof/>
        </w:rPr>
        <w:tab/>
        <w:t>Data</w:t>
      </w:r>
      <w:r w:rsidRPr="00047543">
        <w:rPr>
          <w:noProof/>
        </w:rPr>
        <w:tab/>
      </w:r>
      <w:r w:rsidRPr="00047543">
        <w:rPr>
          <w:noProof/>
          <w:webHidden/>
        </w:rPr>
        <w:t>25</w:t>
      </w:r>
    </w:p>
    <w:p w14:paraId="4050247B" w14:textId="42492182"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4.3</w:t>
      </w:r>
      <w:r w:rsidRPr="00047543">
        <w:rPr>
          <w:noProof/>
        </w:rPr>
        <w:tab/>
        <w:t>Digitala lösningar</w:t>
      </w:r>
      <w:r w:rsidRPr="00047543">
        <w:rPr>
          <w:noProof/>
        </w:rPr>
        <w:tab/>
      </w:r>
      <w:r w:rsidRPr="00047543">
        <w:rPr>
          <w:noProof/>
          <w:webHidden/>
        </w:rPr>
        <w:t>26</w:t>
      </w:r>
    </w:p>
    <w:p w14:paraId="5D946A02" w14:textId="0944B0C3"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4.4</w:t>
      </w:r>
      <w:r w:rsidRPr="00047543">
        <w:rPr>
          <w:noProof/>
        </w:rPr>
        <w:tab/>
        <w:t>Interoperabilitetsbedömning</w:t>
      </w:r>
      <w:r w:rsidRPr="00047543">
        <w:rPr>
          <w:noProof/>
        </w:rPr>
        <w:tab/>
      </w:r>
      <w:r w:rsidRPr="00047543">
        <w:rPr>
          <w:noProof/>
          <w:webHidden/>
        </w:rPr>
        <w:t>29</w:t>
      </w:r>
    </w:p>
    <w:p w14:paraId="21B3BB13" w14:textId="10159FF9" w:rsidR="0040501D" w:rsidRPr="00047543" w:rsidRDefault="0040501D">
      <w:pPr>
        <w:pStyle w:val="TOC2"/>
        <w:rPr>
          <w:rFonts w:asciiTheme="minorHAnsi" w:eastAsiaTheme="minorEastAsia" w:hAnsiTheme="minorHAnsi" w:cstheme="minorBidi"/>
          <w:noProof/>
          <w:kern w:val="2"/>
          <w:sz w:val="22"/>
          <w14:ligatures w14:val="standardContextual"/>
        </w:rPr>
      </w:pPr>
      <w:r w:rsidRPr="00047543">
        <w:rPr>
          <w:noProof/>
        </w:rPr>
        <w:t>4.5</w:t>
      </w:r>
      <w:r w:rsidRPr="00047543">
        <w:rPr>
          <w:noProof/>
        </w:rPr>
        <w:tab/>
        <w:t>Åtgärder till stöd för digitalt genomförande</w:t>
      </w:r>
      <w:r w:rsidRPr="00047543">
        <w:rPr>
          <w:noProof/>
        </w:rPr>
        <w:tab/>
      </w:r>
      <w:r w:rsidRPr="00047543">
        <w:rPr>
          <w:noProof/>
          <w:webHidden/>
        </w:rPr>
        <w:t>29</w:t>
      </w:r>
    </w:p>
    <w:p w14:paraId="071C9468" w14:textId="77777777" w:rsidR="0040501D" w:rsidRPr="00047543" w:rsidRDefault="0040501D">
      <w:pPr>
        <w:pStyle w:val="TOC1"/>
        <w:ind w:left="0" w:firstLine="0"/>
        <w:rPr>
          <w:noProof/>
        </w:rPr>
        <w:sectPr w:rsidR="0040501D" w:rsidRPr="00047543" w:rsidSect="003E44E5">
          <w:pgSz w:w="11907" w:h="16840" w:code="9"/>
          <w:pgMar w:top="1134" w:right="1418" w:bottom="1134" w:left="1418" w:header="709" w:footer="709" w:gutter="0"/>
          <w:pgNumType w:start="1"/>
          <w:cols w:space="720"/>
          <w:docGrid w:linePitch="360"/>
        </w:sectPr>
      </w:pPr>
    </w:p>
    <w:p w14:paraId="6E761EB6" w14:textId="77777777" w:rsidR="0040501D" w:rsidRPr="00047543" w:rsidRDefault="0040501D">
      <w:pPr>
        <w:pStyle w:val="ManualHeading1"/>
        <w:rPr>
          <w:noProof/>
        </w:rPr>
      </w:pPr>
      <w:bookmarkStart w:id="2" w:name="_Toc514938007"/>
      <w:bookmarkStart w:id="3" w:name="_Toc520485025"/>
      <w:bookmarkStart w:id="4" w:name="_Toc160804567"/>
      <w:bookmarkStart w:id="5" w:name="_Toc167220259"/>
      <w:bookmarkStart w:id="6" w:name="_Toc177548992"/>
      <w:r w:rsidRPr="00047543">
        <w:rPr>
          <w:noProof/>
        </w:rPr>
        <w:t>1.</w:t>
      </w:r>
      <w:r w:rsidRPr="00047543">
        <w:rPr>
          <w:noProof/>
        </w:rPr>
        <w:tab/>
        <w:t>GRUNDLÄGGANDE UPPGIFTER OM FÖRSLAGET ELLER INITIATIVET</w:t>
      </w:r>
      <w:bookmarkEnd w:id="2"/>
      <w:bookmarkEnd w:id="3"/>
      <w:bookmarkEnd w:id="4"/>
      <w:bookmarkEnd w:id="5"/>
      <w:bookmarkEnd w:id="6"/>
      <w:r w:rsidRPr="00047543">
        <w:rPr>
          <w:noProof/>
        </w:rPr>
        <w:t xml:space="preserve"> </w:t>
      </w:r>
    </w:p>
    <w:p w14:paraId="44853084" w14:textId="77777777" w:rsidR="0040501D" w:rsidRPr="00047543" w:rsidRDefault="0040501D">
      <w:pPr>
        <w:pStyle w:val="ManualHeading2"/>
        <w:rPr>
          <w:noProof/>
        </w:rPr>
      </w:pPr>
      <w:bookmarkStart w:id="7" w:name="_Toc514938008"/>
      <w:bookmarkStart w:id="8" w:name="_Toc520485026"/>
      <w:bookmarkStart w:id="9" w:name="_Toc160804568"/>
      <w:bookmarkStart w:id="10" w:name="_Toc167220260"/>
      <w:bookmarkStart w:id="11" w:name="_Toc177548993"/>
      <w:r w:rsidRPr="00047543">
        <w:rPr>
          <w:noProof/>
        </w:rPr>
        <w:t>1.1</w:t>
      </w:r>
      <w:r w:rsidRPr="00047543">
        <w:rPr>
          <w:noProof/>
        </w:rPr>
        <w:tab/>
        <w:t>Förslagets eller initiativets titel</w:t>
      </w:r>
      <w:bookmarkEnd w:id="7"/>
      <w:bookmarkEnd w:id="8"/>
      <w:bookmarkEnd w:id="9"/>
      <w:bookmarkEnd w:id="10"/>
      <w:bookmarkEnd w:id="11"/>
    </w:p>
    <w:p w14:paraId="44A3104B" w14:textId="77777777" w:rsidR="0040501D" w:rsidRPr="00047543" w:rsidRDefault="002747AB">
      <w:pPr>
        <w:pStyle w:val="Text1"/>
        <w:pBdr>
          <w:top w:val="single" w:sz="4" w:space="1" w:color="auto"/>
          <w:left w:val="single" w:sz="4" w:space="4" w:color="auto"/>
          <w:bottom w:val="single" w:sz="4" w:space="1" w:color="auto"/>
          <w:right w:val="single" w:sz="4" w:space="4" w:color="auto"/>
        </w:pBdr>
        <w:rPr>
          <w:noProof/>
        </w:rPr>
      </w:pPr>
      <w:r w:rsidRPr="00047543">
        <w:rPr>
          <w:noProof/>
        </w:rPr>
        <w:t>Förslag till förordning om ändring av förordning (EU) 2019/1238 om en paneuropeisk privat pensionsprodukt (PEPP-produkt)</w:t>
      </w:r>
    </w:p>
    <w:p w14:paraId="3EB4ED01" w14:textId="77777777" w:rsidR="0040501D" w:rsidRPr="00047543" w:rsidRDefault="0040501D">
      <w:pPr>
        <w:pStyle w:val="ManualHeading2"/>
        <w:rPr>
          <w:i/>
          <w:noProof/>
        </w:rPr>
      </w:pPr>
      <w:bookmarkStart w:id="12" w:name="_Toc514938011"/>
      <w:bookmarkStart w:id="13" w:name="_Toc520485027"/>
      <w:bookmarkStart w:id="14" w:name="_Toc160804569"/>
      <w:bookmarkStart w:id="15" w:name="_Toc167220261"/>
      <w:bookmarkStart w:id="16" w:name="_Toc177548994"/>
      <w:r w:rsidRPr="00047543">
        <w:rPr>
          <w:noProof/>
        </w:rPr>
        <w:t>1.2</w:t>
      </w:r>
      <w:r w:rsidRPr="00047543">
        <w:rPr>
          <w:noProof/>
        </w:rPr>
        <w:tab/>
        <w:t>Berörda politikområden</w:t>
      </w:r>
      <w:bookmarkEnd w:id="12"/>
      <w:bookmarkEnd w:id="13"/>
      <w:bookmarkEnd w:id="14"/>
      <w:bookmarkEnd w:id="15"/>
      <w:bookmarkEnd w:id="16"/>
      <w:r w:rsidRPr="00047543">
        <w:rPr>
          <w:i/>
          <w:noProof/>
        </w:rPr>
        <w:t xml:space="preserve"> </w:t>
      </w:r>
    </w:p>
    <w:p w14:paraId="3DF51E73" w14:textId="77777777" w:rsidR="005D5E9E" w:rsidRPr="00047543" w:rsidRDefault="005D5E9E" w:rsidP="005D5E9E">
      <w:pPr>
        <w:pStyle w:val="Text1"/>
        <w:pBdr>
          <w:top w:val="single" w:sz="4" w:space="1" w:color="auto"/>
          <w:left w:val="single" w:sz="4" w:space="4" w:color="auto"/>
          <w:bottom w:val="single" w:sz="4" w:space="1" w:color="auto"/>
          <w:right w:val="single" w:sz="4" w:space="4" w:color="auto"/>
        </w:pBdr>
        <w:rPr>
          <w:noProof/>
        </w:rPr>
      </w:pPr>
      <w:r w:rsidRPr="00047543">
        <w:rPr>
          <w:noProof/>
        </w:rPr>
        <w:t>Kapitalmarknadsunionen, spar- och investeringsunionen, pensionspaketet, kompletterande pensioner</w:t>
      </w:r>
    </w:p>
    <w:p w14:paraId="7F9DE882" w14:textId="77777777" w:rsidR="0040501D" w:rsidRPr="00047543" w:rsidRDefault="0040501D">
      <w:pPr>
        <w:pStyle w:val="ManualHeading2"/>
        <w:rPr>
          <w:noProof/>
        </w:rPr>
      </w:pPr>
      <w:bookmarkStart w:id="17" w:name="_Toc514938015"/>
      <w:bookmarkStart w:id="18" w:name="_Toc520485029"/>
      <w:bookmarkStart w:id="19" w:name="_Toc160804571"/>
      <w:bookmarkStart w:id="20" w:name="_Toc167220263"/>
      <w:bookmarkStart w:id="21" w:name="_Toc177548995"/>
      <w:r w:rsidRPr="00047543">
        <w:rPr>
          <w:noProof/>
        </w:rPr>
        <w:t>1.3</w:t>
      </w:r>
      <w:r w:rsidRPr="00047543">
        <w:rPr>
          <w:noProof/>
        </w:rPr>
        <w:tab/>
        <w:t>Mål</w:t>
      </w:r>
      <w:bookmarkEnd w:id="17"/>
      <w:bookmarkEnd w:id="18"/>
      <w:bookmarkEnd w:id="19"/>
      <w:bookmarkEnd w:id="20"/>
      <w:bookmarkEnd w:id="21"/>
    </w:p>
    <w:p w14:paraId="67EDAF0C" w14:textId="77777777" w:rsidR="0040501D" w:rsidRPr="00047543" w:rsidRDefault="0040501D">
      <w:pPr>
        <w:pStyle w:val="ManualHeading3"/>
        <w:rPr>
          <w:noProof/>
        </w:rPr>
      </w:pPr>
      <w:bookmarkStart w:id="22" w:name="_Toc514938016"/>
      <w:bookmarkStart w:id="23" w:name="_Toc520485030"/>
      <w:bookmarkStart w:id="24" w:name="_Toc160804572"/>
      <w:bookmarkStart w:id="25" w:name="_Toc167220264"/>
      <w:bookmarkStart w:id="26" w:name="_Toc177548996"/>
      <w:r w:rsidRPr="00047543">
        <w:rPr>
          <w:noProof/>
        </w:rPr>
        <w:t>1.3.1</w:t>
      </w:r>
      <w:r w:rsidRPr="00047543">
        <w:rPr>
          <w:noProof/>
        </w:rPr>
        <w:tab/>
        <w:t>Allmänt/allmänna mål</w:t>
      </w:r>
      <w:bookmarkEnd w:id="22"/>
      <w:bookmarkEnd w:id="23"/>
      <w:bookmarkEnd w:id="24"/>
      <w:bookmarkEnd w:id="25"/>
      <w:bookmarkEnd w:id="26"/>
    </w:p>
    <w:p w14:paraId="246147E3" w14:textId="77777777" w:rsidR="00D53F91" w:rsidRPr="00047543" w:rsidRDefault="00F455FC" w:rsidP="00D53F91">
      <w:pPr>
        <w:pStyle w:val="Text1"/>
        <w:pBdr>
          <w:top w:val="single" w:sz="4" w:space="1" w:color="auto"/>
          <w:left w:val="single" w:sz="4" w:space="4" w:color="auto"/>
          <w:bottom w:val="single" w:sz="4" w:space="1" w:color="auto"/>
          <w:right w:val="single" w:sz="4" w:space="4" w:color="auto"/>
        </w:pBdr>
        <w:rPr>
          <w:noProof/>
        </w:rPr>
      </w:pPr>
      <w:r w:rsidRPr="00047543">
        <w:rPr>
          <w:noProof/>
        </w:rPr>
        <w:t>De allmänna mål som eftersträvas med detta lagstiftningsförslag om ändring av förordning (EU) 2019/1238 är att öka medborgarnas deltagande i kompletterande pensioner, för att se till att de har en tillräcklig inkomst vid pensionering samt för att stärka förmågan hos tillhandahållare av pensioner att styra hushållens sparande mot produktiva och innovativa investeringar.</w:t>
      </w:r>
    </w:p>
    <w:p w14:paraId="430F91DA" w14:textId="77777777" w:rsidR="0040501D" w:rsidRPr="00047543" w:rsidRDefault="00E9783C" w:rsidP="003C3C0D">
      <w:pPr>
        <w:pStyle w:val="Text1"/>
        <w:pBdr>
          <w:top w:val="single" w:sz="4" w:space="1" w:color="auto"/>
          <w:left w:val="single" w:sz="4" w:space="4" w:color="auto"/>
          <w:bottom w:val="single" w:sz="4" w:space="1" w:color="auto"/>
          <w:right w:val="single" w:sz="4" w:space="4" w:color="auto"/>
        </w:pBdr>
        <w:rPr>
          <w:noProof/>
        </w:rPr>
      </w:pPr>
      <w:r w:rsidRPr="00047543">
        <w:rPr>
          <w:noProof/>
        </w:rPr>
        <w:t xml:space="preserve">Genom att minska den administrativa bördan av regler som fastställs i förordning (EU) 2019/1238 i samband med den ursprungliga utformningen av PEPP-produkter kan konkurrens uppstå, och transparens kan bidra till förbättrad kommersiell benägenhet. </w:t>
      </w:r>
    </w:p>
    <w:p w14:paraId="475B2F7D" w14:textId="77777777" w:rsidR="0040501D" w:rsidRPr="00047543" w:rsidRDefault="0040501D">
      <w:pPr>
        <w:pStyle w:val="ManualHeading3"/>
        <w:rPr>
          <w:noProof/>
        </w:rPr>
      </w:pPr>
      <w:bookmarkStart w:id="27" w:name="_Toc514938018"/>
      <w:bookmarkStart w:id="28" w:name="_Toc520485031"/>
      <w:bookmarkStart w:id="29" w:name="_Toc160804573"/>
      <w:bookmarkStart w:id="30" w:name="_Toc167220265"/>
      <w:bookmarkStart w:id="31" w:name="_Toc177548997"/>
      <w:r w:rsidRPr="00047543">
        <w:rPr>
          <w:noProof/>
        </w:rPr>
        <w:t>1.3.2</w:t>
      </w:r>
      <w:r w:rsidRPr="00047543">
        <w:rPr>
          <w:noProof/>
        </w:rPr>
        <w:tab/>
        <w:t>Specifikt/specifika mål</w:t>
      </w:r>
      <w:bookmarkEnd w:id="27"/>
      <w:bookmarkEnd w:id="28"/>
      <w:bookmarkEnd w:id="29"/>
      <w:bookmarkEnd w:id="30"/>
      <w:bookmarkEnd w:id="31"/>
    </w:p>
    <w:p w14:paraId="10399957" w14:textId="77777777" w:rsidR="00D2697D" w:rsidRPr="00047543" w:rsidRDefault="004B6DEF" w:rsidP="00D2697D">
      <w:pPr>
        <w:pStyle w:val="Text1"/>
        <w:pBdr>
          <w:top w:val="single" w:sz="4" w:space="1" w:color="auto"/>
          <w:left w:val="single" w:sz="4" w:space="4" w:color="auto"/>
          <w:bottom w:val="single" w:sz="4" w:space="1" w:color="auto"/>
          <w:right w:val="single" w:sz="4" w:space="4" w:color="auto"/>
        </w:pBdr>
        <w:ind w:left="851" w:firstLine="142"/>
        <w:rPr>
          <w:noProof/>
        </w:rPr>
      </w:pPr>
      <w:r w:rsidRPr="00047543">
        <w:rPr>
          <w:noProof/>
        </w:rPr>
        <w:t>De specifika målen för de föreslagna ändringarna av förordning (EU) 2019/1238 är följande:</w:t>
      </w:r>
    </w:p>
    <w:p w14:paraId="0CBC6AA9" w14:textId="77777777" w:rsidR="005D5E9E" w:rsidRPr="00047543" w:rsidRDefault="00D2697D" w:rsidP="00B871C4">
      <w:pPr>
        <w:pStyle w:val="Text1"/>
        <w:pBdr>
          <w:top w:val="single" w:sz="4" w:space="1" w:color="auto"/>
          <w:left w:val="single" w:sz="4" w:space="4" w:color="auto"/>
          <w:bottom w:val="single" w:sz="4" w:space="1" w:color="auto"/>
          <w:right w:val="single" w:sz="4" w:space="4" w:color="auto"/>
        </w:pBdr>
        <w:ind w:left="851" w:firstLine="142"/>
        <w:rPr>
          <w:noProof/>
        </w:rPr>
      </w:pPr>
      <w:r w:rsidRPr="00047543">
        <w:rPr>
          <w:noProof/>
        </w:rPr>
        <w:t>– Säkerställa att kostnadseffektiva pensionsprodukter kan uppstå genom borttagandet av restriktiva egenskaper i utformningen av PEPP-produkter, vilket möjliggör större marknadskonkurrens samtidigt som långsiktiga investeringar på privata marknader tillåts.</w:t>
      </w:r>
    </w:p>
    <w:p w14:paraId="335496E2" w14:textId="77777777" w:rsidR="005D5E9E" w:rsidRPr="00047543" w:rsidRDefault="00D2697D" w:rsidP="00B871C4">
      <w:pPr>
        <w:pStyle w:val="Text1"/>
        <w:pBdr>
          <w:top w:val="single" w:sz="4" w:space="1" w:color="auto"/>
          <w:left w:val="single" w:sz="4" w:space="4" w:color="auto"/>
          <w:bottom w:val="single" w:sz="4" w:space="1" w:color="auto"/>
          <w:right w:val="single" w:sz="4" w:space="4" w:color="auto"/>
        </w:pBdr>
        <w:ind w:left="851" w:firstLine="142"/>
        <w:rPr>
          <w:noProof/>
        </w:rPr>
      </w:pPr>
      <w:r w:rsidRPr="00047543">
        <w:rPr>
          <w:noProof/>
        </w:rPr>
        <w:t xml:space="preserve"> – Säkerställa större transparens kring avgifter och kostnader för att skapa förutsättningar för bättre avkastning och öka medborgarnas uppfattning om kompletterande pensioner som en värdefull långsiktig investering för pensionen. </w:t>
      </w:r>
    </w:p>
    <w:p w14:paraId="4F2D2C80" w14:textId="77777777" w:rsidR="005D5E9E" w:rsidRPr="00047543" w:rsidRDefault="00D2697D" w:rsidP="00B871C4">
      <w:pPr>
        <w:pStyle w:val="Text1"/>
        <w:pBdr>
          <w:top w:val="single" w:sz="4" w:space="1" w:color="auto"/>
          <w:left w:val="single" w:sz="4" w:space="4" w:color="auto"/>
          <w:bottom w:val="single" w:sz="4" w:space="1" w:color="auto"/>
          <w:right w:val="single" w:sz="4" w:space="4" w:color="auto"/>
        </w:pBdr>
        <w:ind w:left="851" w:firstLine="142"/>
        <w:rPr>
          <w:noProof/>
        </w:rPr>
      </w:pPr>
      <w:r w:rsidRPr="00047543">
        <w:rPr>
          <w:noProof/>
        </w:rPr>
        <w:t>– Minska regelbördan och den kommersiella belastningen genom att ta bort kravet på att erbjuda underkonton i minst två medlemsstater, genom att stryka kravet på att erbjuda PEPP-produkter till eller under det fasta avgiftstaket på 1 %, samt genom att ta bort kravet på att erbjuda en bas-PEPP-produkt.</w:t>
      </w:r>
    </w:p>
    <w:p w14:paraId="13110085" w14:textId="77777777" w:rsidR="0075039F" w:rsidRPr="00047543" w:rsidRDefault="00D2697D" w:rsidP="00B871C4">
      <w:pPr>
        <w:pStyle w:val="Text1"/>
        <w:pBdr>
          <w:top w:val="single" w:sz="4" w:space="1" w:color="auto"/>
          <w:left w:val="single" w:sz="4" w:space="4" w:color="auto"/>
          <w:bottom w:val="single" w:sz="4" w:space="1" w:color="auto"/>
          <w:right w:val="single" w:sz="4" w:space="4" w:color="auto"/>
        </w:pBdr>
        <w:ind w:left="851" w:firstLine="142"/>
        <w:rPr>
          <w:noProof/>
        </w:rPr>
      </w:pPr>
      <w:r w:rsidRPr="00047543">
        <w:rPr>
          <w:noProof/>
        </w:rPr>
        <w:t xml:space="preserve">– Minska fragmenteringen av lagstiftningen för att främja ett större utbud av pensionsprodukter från den tredje pelaren som omfattas av harmoniserade europeiska regler. </w:t>
      </w:r>
    </w:p>
    <w:p w14:paraId="0E4DB5E0" w14:textId="77777777" w:rsidR="0040501D" w:rsidRPr="00047543" w:rsidRDefault="0040501D">
      <w:pPr>
        <w:pStyle w:val="ManualHeading3"/>
        <w:rPr>
          <w:noProof/>
        </w:rPr>
      </w:pPr>
      <w:bookmarkStart w:id="32" w:name="_Toc514938019"/>
      <w:bookmarkStart w:id="33" w:name="_Toc520485032"/>
      <w:bookmarkStart w:id="34" w:name="_Toc160804574"/>
      <w:bookmarkStart w:id="35" w:name="_Toc167220266"/>
      <w:bookmarkStart w:id="36" w:name="_Toc177548998"/>
      <w:r w:rsidRPr="00047543">
        <w:rPr>
          <w:noProof/>
        </w:rPr>
        <w:t>1.3.3</w:t>
      </w:r>
      <w:r w:rsidRPr="00047543">
        <w:rPr>
          <w:noProof/>
        </w:rPr>
        <w:tab/>
        <w:t>Verkan eller resultat som förväntas</w:t>
      </w:r>
      <w:bookmarkEnd w:id="32"/>
      <w:bookmarkEnd w:id="33"/>
      <w:bookmarkEnd w:id="34"/>
      <w:bookmarkEnd w:id="35"/>
      <w:bookmarkEnd w:id="36"/>
    </w:p>
    <w:p w14:paraId="564717C2" w14:textId="77777777" w:rsidR="005D5E9E" w:rsidRPr="00047543" w:rsidRDefault="00D2697D" w:rsidP="00B871C4">
      <w:pPr>
        <w:pStyle w:val="Text1"/>
        <w:pBdr>
          <w:top w:val="single" w:sz="4" w:space="1" w:color="auto"/>
          <w:left w:val="single" w:sz="4" w:space="4" w:color="auto"/>
          <w:bottom w:val="single" w:sz="4" w:space="1" w:color="auto"/>
          <w:right w:val="single" w:sz="4" w:space="4" w:color="auto"/>
        </w:pBdr>
        <w:rPr>
          <w:noProof/>
        </w:rPr>
      </w:pPr>
      <w:r w:rsidRPr="00047543">
        <w:rPr>
          <w:i/>
          <w:noProof/>
          <w:sz w:val="20"/>
        </w:rPr>
        <w:t>–</w:t>
      </w:r>
      <w:r w:rsidRPr="00047543">
        <w:rPr>
          <w:noProof/>
        </w:rPr>
        <w:t xml:space="preserve"> Mer kostnadseffektiva privata pensionsprodukter och större pensionssparande från medborgarnas sida.</w:t>
      </w:r>
    </w:p>
    <w:p w14:paraId="00674EF6" w14:textId="77777777" w:rsidR="0040501D" w:rsidRPr="00047543" w:rsidRDefault="00D2697D" w:rsidP="00D2697D">
      <w:pPr>
        <w:pStyle w:val="Text1"/>
        <w:pBdr>
          <w:top w:val="single" w:sz="4" w:space="1" w:color="auto"/>
          <w:left w:val="single" w:sz="4" w:space="4" w:color="auto"/>
          <w:bottom w:val="single" w:sz="4" w:space="1" w:color="auto"/>
          <w:right w:val="single" w:sz="4" w:space="4" w:color="auto"/>
        </w:pBdr>
        <w:rPr>
          <w:noProof/>
        </w:rPr>
      </w:pPr>
      <w:r w:rsidRPr="00047543">
        <w:rPr>
          <w:noProof/>
        </w:rPr>
        <w:t xml:space="preserve">– En effektivare hantering av pensionssparande och tillsyn därav. </w:t>
      </w:r>
    </w:p>
    <w:p w14:paraId="164CF2E9" w14:textId="77777777" w:rsidR="0040501D" w:rsidRPr="00047543" w:rsidRDefault="00D2697D" w:rsidP="00D2697D">
      <w:pPr>
        <w:pStyle w:val="Text1"/>
        <w:pBdr>
          <w:top w:val="single" w:sz="4" w:space="1" w:color="auto"/>
          <w:left w:val="single" w:sz="4" w:space="4" w:color="auto"/>
          <w:bottom w:val="single" w:sz="4" w:space="1" w:color="auto"/>
          <w:right w:val="single" w:sz="4" w:space="4" w:color="auto"/>
        </w:pBdr>
        <w:rPr>
          <w:noProof/>
        </w:rPr>
      </w:pPr>
      <w:r w:rsidRPr="00047543">
        <w:rPr>
          <w:noProof/>
        </w:rPr>
        <w:t>– Främjande av stordriftsfördelar och konkurrenskraft.</w:t>
      </w:r>
    </w:p>
    <w:p w14:paraId="210F8953" w14:textId="77777777" w:rsidR="0040501D" w:rsidRPr="00047543" w:rsidRDefault="00D2697D" w:rsidP="00D2697D">
      <w:pPr>
        <w:pStyle w:val="Text1"/>
        <w:pBdr>
          <w:top w:val="single" w:sz="4" w:space="1" w:color="auto"/>
          <w:left w:val="single" w:sz="4" w:space="4" w:color="auto"/>
          <w:bottom w:val="single" w:sz="4" w:space="1" w:color="auto"/>
          <w:right w:val="single" w:sz="4" w:space="4" w:color="auto"/>
        </w:pBdr>
        <w:rPr>
          <w:noProof/>
        </w:rPr>
      </w:pPr>
      <w:r w:rsidRPr="00047543">
        <w:rPr>
          <w:noProof/>
        </w:rPr>
        <w:t>– Förenkling av uttryckliga investeringshinder för alla privata pensionsförvaltare.</w:t>
      </w:r>
    </w:p>
    <w:p w14:paraId="6C13EB3B" w14:textId="77777777" w:rsidR="0040501D" w:rsidRPr="00047543" w:rsidRDefault="0040501D">
      <w:pPr>
        <w:pStyle w:val="ManualHeading3"/>
        <w:rPr>
          <w:noProof/>
        </w:rPr>
      </w:pPr>
      <w:bookmarkStart w:id="37" w:name="_Toc514938023"/>
      <w:bookmarkStart w:id="38" w:name="_Toc520485033"/>
      <w:bookmarkStart w:id="39" w:name="_Toc160804575"/>
      <w:bookmarkStart w:id="40" w:name="_Toc167220267"/>
      <w:bookmarkStart w:id="41" w:name="_Toc177548999"/>
      <w:r w:rsidRPr="00047543">
        <w:rPr>
          <w:noProof/>
        </w:rPr>
        <w:t>1.3.4</w:t>
      </w:r>
      <w:r w:rsidRPr="00047543">
        <w:rPr>
          <w:noProof/>
        </w:rPr>
        <w:tab/>
        <w:t>Prestationsindikatorer</w:t>
      </w:r>
      <w:bookmarkEnd w:id="37"/>
      <w:bookmarkEnd w:id="38"/>
      <w:bookmarkEnd w:id="39"/>
      <w:bookmarkEnd w:id="40"/>
      <w:bookmarkEnd w:id="41"/>
    </w:p>
    <w:p w14:paraId="53341DAF" w14:textId="77777777" w:rsidR="000027BB" w:rsidRPr="00047543" w:rsidRDefault="000027BB">
      <w:pPr>
        <w:pStyle w:val="Text1"/>
        <w:pBdr>
          <w:top w:val="single" w:sz="4" w:space="1" w:color="auto"/>
          <w:left w:val="single" w:sz="4" w:space="4" w:color="auto"/>
          <w:bottom w:val="single" w:sz="4" w:space="1" w:color="auto"/>
          <w:right w:val="single" w:sz="4" w:space="4" w:color="auto"/>
        </w:pBdr>
        <w:rPr>
          <w:noProof/>
        </w:rPr>
      </w:pPr>
      <w:r w:rsidRPr="00047543">
        <w:rPr>
          <w:noProof/>
        </w:rPr>
        <w:t xml:space="preserve">Även om PEPP-förordningen har varit i kraft sedan 2019, har hittills endast två sparinstitut erbjudit en PEPP-produkt. Det riktade samrådet visade att marknadsaktörer avstår från att erbjuda produkten eftersom det nuvarande avgiftstaket på 1 % uppfattas som alltför begränsande jämfört med nationella produkter, och att krav som skyldigheten att erbjuda PEPP-produkter i mer än en medlemsstat hindrar en kommersiell lansering. </w:t>
      </w:r>
    </w:p>
    <w:p w14:paraId="1163A81B" w14:textId="77777777" w:rsidR="00FC171E" w:rsidRPr="00047543" w:rsidRDefault="00FC171E">
      <w:pPr>
        <w:pStyle w:val="Text1"/>
        <w:pBdr>
          <w:top w:val="single" w:sz="4" w:space="1" w:color="auto"/>
          <w:left w:val="single" w:sz="4" w:space="4" w:color="auto"/>
          <w:bottom w:val="single" w:sz="4" w:space="1" w:color="auto"/>
          <w:right w:val="single" w:sz="4" w:space="4" w:color="auto"/>
        </w:pBdr>
        <w:rPr>
          <w:noProof/>
        </w:rPr>
      </w:pPr>
      <w:r w:rsidRPr="00047543">
        <w:rPr>
          <w:noProof/>
        </w:rPr>
        <w:t xml:space="preserve">Genom detta förslag strävar kommissionen efter att möjliggöra – och kommer att övervaka – följande: </w:t>
      </w:r>
    </w:p>
    <w:p w14:paraId="3734CC01" w14:textId="77777777" w:rsidR="008F60D7" w:rsidRPr="00047543" w:rsidRDefault="00D2697D" w:rsidP="00D2697D">
      <w:pPr>
        <w:pStyle w:val="Text1"/>
        <w:pBdr>
          <w:top w:val="single" w:sz="4" w:space="1" w:color="auto"/>
          <w:left w:val="single" w:sz="4" w:space="4" w:color="auto"/>
          <w:bottom w:val="single" w:sz="4" w:space="1" w:color="auto"/>
          <w:right w:val="single" w:sz="4" w:space="4" w:color="auto"/>
        </w:pBdr>
        <w:rPr>
          <w:noProof/>
        </w:rPr>
      </w:pPr>
      <w:r w:rsidRPr="00047543">
        <w:rPr>
          <w:noProof/>
        </w:rPr>
        <w:t>– En ökning av antalet registrerade PEPP-produkter samt antalet PEPP-produkter som omfattas av passförfarandet.</w:t>
      </w:r>
    </w:p>
    <w:p w14:paraId="7F83250A" w14:textId="77777777" w:rsidR="0040501D" w:rsidRPr="00047543" w:rsidRDefault="00D2697D" w:rsidP="00D2697D">
      <w:pPr>
        <w:pStyle w:val="Text1"/>
        <w:pBdr>
          <w:top w:val="single" w:sz="4" w:space="1" w:color="auto"/>
          <w:left w:val="single" w:sz="4" w:space="4" w:color="auto"/>
          <w:bottom w:val="single" w:sz="4" w:space="1" w:color="auto"/>
          <w:right w:val="single" w:sz="4" w:space="4" w:color="auto"/>
        </w:pBdr>
        <w:rPr>
          <w:noProof/>
        </w:rPr>
      </w:pPr>
      <w:r w:rsidRPr="00047543">
        <w:rPr>
          <w:noProof/>
        </w:rPr>
        <w:t>– En ökning av det totala antalet PEPP-sparare, både privata sparare och tjänstepensionssparare.</w:t>
      </w:r>
    </w:p>
    <w:p w14:paraId="6530F94D" w14:textId="77777777" w:rsidR="008F60D7" w:rsidRPr="00047543" w:rsidRDefault="00D2697D" w:rsidP="00D2697D">
      <w:pPr>
        <w:pStyle w:val="Text1"/>
        <w:pBdr>
          <w:top w:val="single" w:sz="4" w:space="1" w:color="auto"/>
          <w:left w:val="single" w:sz="4" w:space="4" w:color="auto"/>
          <w:bottom w:val="single" w:sz="4" w:space="1" w:color="auto"/>
          <w:right w:val="single" w:sz="4" w:space="4" w:color="auto"/>
        </w:pBdr>
        <w:rPr>
          <w:noProof/>
        </w:rPr>
      </w:pPr>
      <w:r w:rsidRPr="00047543">
        <w:rPr>
          <w:noProof/>
        </w:rPr>
        <w:t>– Mycket valutaför de pengar som PEPP-produkterna tillhandahåller enligt tillsynsbedömningen.</w:t>
      </w:r>
    </w:p>
    <w:p w14:paraId="22D8E4CD" w14:textId="77777777" w:rsidR="0040501D" w:rsidRPr="00047543" w:rsidRDefault="00D2697D" w:rsidP="00D2697D">
      <w:pPr>
        <w:pStyle w:val="Text1"/>
        <w:pBdr>
          <w:top w:val="single" w:sz="4" w:space="1" w:color="auto"/>
          <w:left w:val="single" w:sz="4" w:space="4" w:color="auto"/>
          <w:bottom w:val="single" w:sz="4" w:space="1" w:color="auto"/>
          <w:right w:val="single" w:sz="4" w:space="4" w:color="auto"/>
        </w:pBdr>
        <w:rPr>
          <w:noProof/>
        </w:rPr>
      </w:pPr>
      <w:r w:rsidRPr="00047543">
        <w:rPr>
          <w:noProof/>
        </w:rPr>
        <w:t xml:space="preserve">– Större långsiktigt sparande för privatkunder som kanaliseras till kapitalmarknader. </w:t>
      </w:r>
    </w:p>
    <w:p w14:paraId="75CE608A" w14:textId="77777777" w:rsidR="0040501D" w:rsidRPr="00047543" w:rsidRDefault="0040501D">
      <w:pPr>
        <w:pStyle w:val="ManualHeading2"/>
        <w:rPr>
          <w:noProof/>
        </w:rPr>
      </w:pPr>
      <w:bookmarkStart w:id="42" w:name="_Toc177549000"/>
      <w:r w:rsidRPr="00047543">
        <w:rPr>
          <w:noProof/>
        </w:rPr>
        <w:t>1.4</w:t>
      </w:r>
      <w:r w:rsidRPr="00047543">
        <w:rPr>
          <w:noProof/>
        </w:rPr>
        <w:tab/>
        <w:t>Förslaget eller initiativet avser</w:t>
      </w:r>
      <w:bookmarkEnd w:id="42"/>
      <w:r w:rsidRPr="00047543">
        <w:rPr>
          <w:noProof/>
        </w:rPr>
        <w:t xml:space="preserve"> </w:t>
      </w:r>
    </w:p>
    <w:p w14:paraId="095A86B2" w14:textId="77777777" w:rsidR="0040501D" w:rsidRPr="00047543" w:rsidDel="00547E57" w:rsidRDefault="0040501D">
      <w:pPr>
        <w:pStyle w:val="Text1"/>
        <w:rPr>
          <w:noProof/>
          <w:sz w:val="22"/>
        </w:rPr>
      </w:pPr>
      <w:r w:rsidRPr="00047543">
        <w:rPr>
          <w:rFonts w:ascii="Wingdings" w:hAnsi="Wingdings"/>
          <w:noProof/>
          <w:sz w:val="22"/>
        </w:rPr>
        <w:t></w:t>
      </w:r>
      <w:r w:rsidRPr="00047543">
        <w:rPr>
          <w:i/>
          <w:noProof/>
          <w:sz w:val="22"/>
        </w:rPr>
        <w:t xml:space="preserve"> </w:t>
      </w:r>
      <w:r w:rsidRPr="00047543">
        <w:rPr>
          <w:noProof/>
        </w:rPr>
        <w:t>en ny åtgärd</w:t>
      </w:r>
      <w:r w:rsidRPr="00047543">
        <w:rPr>
          <w:noProof/>
          <w:sz w:val="22"/>
        </w:rPr>
        <w:t xml:space="preserve"> </w:t>
      </w:r>
    </w:p>
    <w:p w14:paraId="70EE182D" w14:textId="77777777" w:rsidR="0040501D" w:rsidRPr="00047543" w:rsidDel="00547E57" w:rsidRDefault="0040501D">
      <w:pPr>
        <w:pStyle w:val="Text1"/>
        <w:rPr>
          <w:noProof/>
          <w:sz w:val="22"/>
        </w:rPr>
      </w:pPr>
      <w:r w:rsidRPr="00047543">
        <w:rPr>
          <w:rFonts w:ascii="Wingdings" w:hAnsi="Wingdings"/>
          <w:noProof/>
          <w:sz w:val="22"/>
        </w:rPr>
        <w:t></w:t>
      </w:r>
      <w:r w:rsidRPr="00047543">
        <w:rPr>
          <w:i/>
          <w:noProof/>
          <w:sz w:val="22"/>
        </w:rPr>
        <w:t xml:space="preserve"> </w:t>
      </w:r>
      <w:r w:rsidRPr="00047543">
        <w:rPr>
          <w:noProof/>
        </w:rPr>
        <w:t>en ny åtgärd som bygger på ett pilotprojekt eller en förberedande åtgärd</w:t>
      </w:r>
      <w:r w:rsidRPr="00047543">
        <w:rPr>
          <w:rStyle w:val="FootnoteReference"/>
          <w:noProof/>
        </w:rPr>
        <w:footnoteReference w:id="34"/>
      </w:r>
      <w:r w:rsidRPr="00047543">
        <w:rPr>
          <w:noProof/>
          <w:sz w:val="22"/>
        </w:rPr>
        <w:t xml:space="preserve"> </w:t>
      </w:r>
    </w:p>
    <w:p w14:paraId="79227B6B" w14:textId="77777777" w:rsidR="0040501D" w:rsidRPr="00047543" w:rsidRDefault="009A3B01">
      <w:pPr>
        <w:pStyle w:val="Text1"/>
        <w:rPr>
          <w:noProof/>
          <w:sz w:val="22"/>
        </w:rPr>
      </w:pPr>
      <w:r w:rsidRPr="00047543">
        <w:rPr>
          <w:rFonts w:ascii="Segoe UI Symbol" w:hAnsi="Segoe UI Symbol"/>
          <w:noProof/>
          <w:sz w:val="28"/>
        </w:rPr>
        <w:t>☑</w:t>
      </w:r>
      <w:r w:rsidRPr="00047543">
        <w:rPr>
          <w:rFonts w:asciiTheme="majorHAnsi" w:hAnsiTheme="majorHAnsi"/>
          <w:noProof/>
          <w:sz w:val="28"/>
        </w:rPr>
        <w:t>︎</w:t>
      </w:r>
      <w:r w:rsidRPr="00047543">
        <w:rPr>
          <w:i/>
          <w:noProof/>
          <w:sz w:val="22"/>
        </w:rPr>
        <w:t xml:space="preserve"> </w:t>
      </w:r>
      <w:r w:rsidRPr="00047543">
        <w:rPr>
          <w:noProof/>
        </w:rPr>
        <w:t>en förlängning av en befintlig åtgärd</w:t>
      </w:r>
      <w:r w:rsidRPr="00047543">
        <w:rPr>
          <w:noProof/>
          <w:sz w:val="22"/>
        </w:rPr>
        <w:t xml:space="preserve"> </w:t>
      </w:r>
    </w:p>
    <w:p w14:paraId="3AE5A87D" w14:textId="77777777" w:rsidR="009A3B01" w:rsidRPr="00047543" w:rsidRDefault="0040501D" w:rsidP="009A3B01">
      <w:pPr>
        <w:pStyle w:val="Text1"/>
        <w:rPr>
          <w:noProof/>
        </w:rPr>
      </w:pPr>
      <w:r w:rsidRPr="00047543">
        <w:rPr>
          <w:rFonts w:ascii="Wingdings" w:hAnsi="Wingdings"/>
          <w:noProof/>
          <w:sz w:val="22"/>
        </w:rPr>
        <w:t></w:t>
      </w:r>
      <w:r w:rsidRPr="00047543">
        <w:rPr>
          <w:i/>
          <w:noProof/>
          <w:sz w:val="22"/>
        </w:rPr>
        <w:t xml:space="preserve"> </w:t>
      </w:r>
      <w:r w:rsidRPr="00047543">
        <w:rPr>
          <w:noProof/>
        </w:rPr>
        <w:t>en sammanslagning eller omdirigering av en eller flera åtgärder mot en annan/en ny åtgärd</w:t>
      </w:r>
    </w:p>
    <w:p w14:paraId="177D9D8D" w14:textId="77777777" w:rsidR="0040501D" w:rsidRPr="00047543" w:rsidRDefault="0040501D">
      <w:pPr>
        <w:pStyle w:val="ManualHeading2"/>
        <w:rPr>
          <w:bCs/>
          <w:noProof/>
          <w:szCs w:val="24"/>
        </w:rPr>
      </w:pPr>
      <w:bookmarkStart w:id="43" w:name="_Toc514938025"/>
      <w:bookmarkStart w:id="44" w:name="_Toc520485034"/>
      <w:bookmarkStart w:id="45" w:name="_Toc160804576"/>
      <w:bookmarkStart w:id="46" w:name="_Toc167220268"/>
      <w:bookmarkStart w:id="47" w:name="_Toc177549001"/>
      <w:r w:rsidRPr="00047543">
        <w:rPr>
          <w:noProof/>
        </w:rPr>
        <w:t>1.5</w:t>
      </w:r>
      <w:r w:rsidRPr="00047543">
        <w:rPr>
          <w:noProof/>
        </w:rPr>
        <w:tab/>
        <w:t>Grunder för förslaget eller initiativet</w:t>
      </w:r>
      <w:bookmarkEnd w:id="43"/>
      <w:bookmarkEnd w:id="44"/>
      <w:bookmarkEnd w:id="45"/>
      <w:bookmarkEnd w:id="46"/>
      <w:bookmarkEnd w:id="47"/>
      <w:r w:rsidRPr="00047543">
        <w:rPr>
          <w:noProof/>
        </w:rPr>
        <w:t xml:space="preserve"> </w:t>
      </w:r>
    </w:p>
    <w:p w14:paraId="4911F168" w14:textId="77777777" w:rsidR="0040501D" w:rsidRPr="00047543" w:rsidRDefault="0040501D">
      <w:pPr>
        <w:pStyle w:val="ManualHeading3"/>
        <w:rPr>
          <w:noProof/>
        </w:rPr>
      </w:pPr>
      <w:bookmarkStart w:id="48" w:name="_Toc514938026"/>
      <w:bookmarkStart w:id="49" w:name="_Toc520485035"/>
      <w:bookmarkStart w:id="50" w:name="_Toc160804577"/>
      <w:bookmarkStart w:id="51" w:name="_Toc167220269"/>
      <w:bookmarkStart w:id="52" w:name="_Toc177549002"/>
      <w:r w:rsidRPr="00047543">
        <w:rPr>
          <w:noProof/>
        </w:rPr>
        <w:t>1.5.1</w:t>
      </w:r>
      <w:r w:rsidRPr="00047543">
        <w:rPr>
          <w:noProof/>
        </w:rPr>
        <w:tab/>
        <w:t>Krav som ska uppfyllas på kort eller lång sikt, inbegripet en detaljerad tidsplan för genomförandet av initiativet</w:t>
      </w:r>
      <w:bookmarkEnd w:id="48"/>
      <w:bookmarkEnd w:id="49"/>
      <w:bookmarkEnd w:id="50"/>
      <w:bookmarkEnd w:id="51"/>
      <w:bookmarkEnd w:id="52"/>
    </w:p>
    <w:p w14:paraId="5066EBB0" w14:textId="77777777" w:rsidR="009A3B01" w:rsidRPr="00047543" w:rsidRDefault="00A97394" w:rsidP="00B871C4">
      <w:pPr>
        <w:pStyle w:val="Text1"/>
        <w:pBdr>
          <w:top w:val="single" w:sz="4" w:space="1" w:color="auto"/>
          <w:left w:val="single" w:sz="4" w:space="0" w:color="auto"/>
          <w:bottom w:val="single" w:sz="4" w:space="1" w:color="auto"/>
          <w:right w:val="single" w:sz="4" w:space="4" w:color="auto"/>
        </w:pBdr>
        <w:ind w:left="851"/>
        <w:rPr>
          <w:noProof/>
        </w:rPr>
      </w:pPr>
      <w:r w:rsidRPr="00047543">
        <w:rPr>
          <w:noProof/>
        </w:rPr>
        <w:t>Med detta förslag föreslår kommissionen en förordning om ändring av förordning (EU) 2019/1238. Denna ändringsförordning kommer att börja tillämpas tolv månader efter dess ikraftträdande.</w:t>
      </w:r>
    </w:p>
    <w:p w14:paraId="176C8EAA" w14:textId="77777777" w:rsidR="0033073C" w:rsidRPr="00047543" w:rsidRDefault="0033073C" w:rsidP="00B871C4">
      <w:pPr>
        <w:pStyle w:val="Text1"/>
        <w:pBdr>
          <w:top w:val="single" w:sz="4" w:space="1" w:color="auto"/>
          <w:left w:val="single" w:sz="4" w:space="0" w:color="auto"/>
          <w:bottom w:val="single" w:sz="4" w:space="1" w:color="auto"/>
          <w:right w:val="single" w:sz="4" w:space="4" w:color="auto"/>
        </w:pBdr>
        <w:ind w:left="851"/>
        <w:rPr>
          <w:noProof/>
        </w:rPr>
      </w:pPr>
      <w:r w:rsidRPr="00047543">
        <w:rPr>
          <w:noProof/>
        </w:rPr>
        <w:t xml:space="preserve">I enlighet med artikel 73 i förordning (EU) 2019/1238 ska kommissionen, fem år efter ikraftträdandet av denna ändringsförordning och därefter vart femte år, genomföra en utvärdering av förordning (EU) 2019/1238 och, efter samråd med Eiopa samt, i tillämpliga fall, de övriga ESA-myndigheterna, lägga fram en rapport om de viktigaste resultaten för Europaparlamentet och rådet. </w:t>
      </w:r>
    </w:p>
    <w:p w14:paraId="3AA9CD6D" w14:textId="77777777" w:rsidR="0040501D" w:rsidRPr="00047543" w:rsidRDefault="0040501D">
      <w:pPr>
        <w:pStyle w:val="ManualHeading3"/>
        <w:rPr>
          <w:bCs/>
          <w:noProof/>
          <w:szCs w:val="24"/>
        </w:rPr>
      </w:pPr>
      <w:bookmarkStart w:id="53" w:name="_Toc514938029"/>
      <w:bookmarkStart w:id="54" w:name="_Toc520485036"/>
      <w:bookmarkStart w:id="55" w:name="_Toc160804578"/>
      <w:bookmarkStart w:id="56" w:name="_Toc167220270"/>
      <w:bookmarkStart w:id="57" w:name="_Toc177549003"/>
      <w:r w:rsidRPr="00047543">
        <w:rPr>
          <w:noProof/>
        </w:rPr>
        <w:t>1.5.2</w:t>
      </w:r>
      <w:r w:rsidRPr="00047543">
        <w:rPr>
          <w:noProof/>
        </w:rPr>
        <w:tab/>
        <w:t>Mervärdet av en åtgärd på EU-nivå (som kan följa av flera faktorer, t.ex. samordningsfördelar, rättssäkerhet, ökad effektivitet eller komplementaritet). Med ”mervärdet av en åtgärd på EU-nivå” i detta avsnitt avses det värde en åtgärd från unionens sida tillför utöver det värde som annars skulle ha skapats av enbart medlemsstaterna.</w:t>
      </w:r>
      <w:bookmarkEnd w:id="53"/>
      <w:bookmarkEnd w:id="54"/>
      <w:bookmarkEnd w:id="55"/>
      <w:bookmarkEnd w:id="56"/>
      <w:bookmarkEnd w:id="57"/>
    </w:p>
    <w:p w14:paraId="1F3A94E2" w14:textId="77777777" w:rsidR="0040501D" w:rsidRPr="00047543" w:rsidRDefault="00295B79" w:rsidP="00B871C4">
      <w:pPr>
        <w:pStyle w:val="Text1"/>
        <w:pBdr>
          <w:top w:val="single" w:sz="4" w:space="1" w:color="auto"/>
          <w:left w:val="single" w:sz="4" w:space="4" w:color="auto"/>
          <w:bottom w:val="single" w:sz="4" w:space="0" w:color="auto"/>
          <w:right w:val="single" w:sz="4" w:space="4" w:color="auto"/>
        </w:pBdr>
        <w:rPr>
          <w:noProof/>
        </w:rPr>
      </w:pPr>
      <w:r w:rsidRPr="00047543">
        <w:rPr>
          <w:noProof/>
        </w:rPr>
        <w:t xml:space="preserve">Förordningen om en paneuropeisk privat pensionsprodukt (PEPP-produkt) har varit fastställd på EU-nivå sedan 2019, eftersom endast åtgärder på unionsnivå kan skapa ett gemensamt regelverk för PEPP-sparinstitut som omfattas av passförfarandet. PEPP-produktens egenskaper kan endast ändras på EU-nivå genom en ändringsförordning. </w:t>
      </w:r>
    </w:p>
    <w:p w14:paraId="256E641E" w14:textId="77777777" w:rsidR="0040501D" w:rsidRPr="00047543" w:rsidRDefault="0040501D">
      <w:pPr>
        <w:pStyle w:val="ManualHeading3"/>
        <w:rPr>
          <w:noProof/>
        </w:rPr>
      </w:pPr>
      <w:bookmarkStart w:id="58" w:name="_Toc514938030"/>
      <w:bookmarkStart w:id="59" w:name="_Toc520485037"/>
      <w:bookmarkStart w:id="60" w:name="_Toc160804579"/>
      <w:bookmarkStart w:id="61" w:name="_Toc167220271"/>
      <w:bookmarkStart w:id="62" w:name="_Toc177549004"/>
      <w:r w:rsidRPr="00047543">
        <w:rPr>
          <w:noProof/>
        </w:rPr>
        <w:t>1.5.3</w:t>
      </w:r>
      <w:r w:rsidRPr="00047543">
        <w:rPr>
          <w:noProof/>
        </w:rPr>
        <w:tab/>
        <w:t>Erfarenheter från tidigare liknande åtgärder</w:t>
      </w:r>
      <w:bookmarkEnd w:id="58"/>
      <w:bookmarkEnd w:id="59"/>
      <w:bookmarkEnd w:id="60"/>
      <w:bookmarkEnd w:id="61"/>
      <w:bookmarkEnd w:id="62"/>
    </w:p>
    <w:p w14:paraId="1703875A" w14:textId="77777777" w:rsidR="0040501D" w:rsidRPr="00047543" w:rsidRDefault="00471A39">
      <w:pPr>
        <w:pStyle w:val="Text1"/>
        <w:pBdr>
          <w:top w:val="single" w:sz="4" w:space="1" w:color="auto"/>
          <w:left w:val="single" w:sz="4" w:space="4" w:color="auto"/>
          <w:bottom w:val="single" w:sz="4" w:space="1" w:color="auto"/>
          <w:right w:val="single" w:sz="4" w:space="4" w:color="auto"/>
        </w:pBdr>
        <w:rPr>
          <w:noProof/>
        </w:rPr>
      </w:pPr>
      <w:r w:rsidRPr="00047543">
        <w:rPr>
          <w:noProof/>
        </w:rPr>
        <w:t>Ej tillämpligt</w:t>
      </w:r>
    </w:p>
    <w:p w14:paraId="7D6C40DD" w14:textId="77777777" w:rsidR="0040501D" w:rsidRPr="00047543" w:rsidRDefault="0040501D">
      <w:pPr>
        <w:pStyle w:val="ManualHeading3"/>
        <w:rPr>
          <w:noProof/>
        </w:rPr>
      </w:pPr>
      <w:bookmarkStart w:id="63" w:name="_Toc514938033"/>
      <w:bookmarkStart w:id="64" w:name="_Toc520485038"/>
      <w:bookmarkStart w:id="65" w:name="_Toc160804580"/>
      <w:bookmarkStart w:id="66" w:name="_Toc167220272"/>
      <w:bookmarkStart w:id="67" w:name="_Toc177549005"/>
      <w:r w:rsidRPr="00047543">
        <w:rPr>
          <w:noProof/>
        </w:rPr>
        <w:t>1.5.4</w:t>
      </w:r>
      <w:r w:rsidRPr="00047543">
        <w:rPr>
          <w:noProof/>
        </w:rPr>
        <w:tab/>
        <w:t>Förenlighet med den fleråriga budgetramen och eventuella synergieffekter med andra relevanta instrument</w:t>
      </w:r>
      <w:bookmarkEnd w:id="63"/>
      <w:bookmarkEnd w:id="64"/>
      <w:bookmarkEnd w:id="65"/>
      <w:bookmarkEnd w:id="66"/>
      <w:bookmarkEnd w:id="67"/>
    </w:p>
    <w:p w14:paraId="3D014ED4" w14:textId="77777777" w:rsidR="0040501D" w:rsidRPr="00047543" w:rsidRDefault="00471A39">
      <w:pPr>
        <w:pStyle w:val="Text1"/>
        <w:pBdr>
          <w:top w:val="single" w:sz="4" w:space="1" w:color="auto"/>
          <w:left w:val="single" w:sz="4" w:space="4" w:color="auto"/>
          <w:bottom w:val="single" w:sz="4" w:space="1" w:color="auto"/>
          <w:right w:val="single" w:sz="4" w:space="4" w:color="auto"/>
        </w:pBdr>
        <w:rPr>
          <w:noProof/>
        </w:rPr>
      </w:pPr>
      <w:r w:rsidRPr="00047543">
        <w:rPr>
          <w:noProof/>
        </w:rPr>
        <w:t>Ej tillämpligt</w:t>
      </w:r>
    </w:p>
    <w:p w14:paraId="7639EE42" w14:textId="77777777" w:rsidR="0040501D" w:rsidRPr="00047543" w:rsidRDefault="0040501D">
      <w:pPr>
        <w:pStyle w:val="ManualHeading3"/>
        <w:rPr>
          <w:noProof/>
        </w:rPr>
      </w:pPr>
      <w:bookmarkStart w:id="68" w:name="_Toc514938036"/>
      <w:bookmarkStart w:id="69" w:name="_Toc520485039"/>
      <w:bookmarkStart w:id="70" w:name="_Toc160804581"/>
      <w:bookmarkStart w:id="71" w:name="_Toc167220273"/>
      <w:bookmarkStart w:id="72" w:name="_Toc177549006"/>
      <w:r w:rsidRPr="00047543">
        <w:rPr>
          <w:noProof/>
        </w:rPr>
        <w:t>1.5.5</w:t>
      </w:r>
      <w:r w:rsidRPr="00047543">
        <w:rPr>
          <w:noProof/>
        </w:rPr>
        <w:tab/>
        <w:t>Bedömning av de olika finansieringsalternativ som finns att tillgå, inbegripet möjligheter till omfördelning</w:t>
      </w:r>
      <w:bookmarkEnd w:id="68"/>
      <w:bookmarkEnd w:id="69"/>
      <w:bookmarkEnd w:id="70"/>
      <w:bookmarkEnd w:id="71"/>
      <w:bookmarkEnd w:id="72"/>
    </w:p>
    <w:p w14:paraId="2776529D" w14:textId="77777777" w:rsidR="0040501D" w:rsidRPr="00047543" w:rsidRDefault="00B47AE1">
      <w:pPr>
        <w:pStyle w:val="Text1"/>
        <w:pBdr>
          <w:top w:val="single" w:sz="4" w:space="1" w:color="auto"/>
          <w:left w:val="single" w:sz="4" w:space="4" w:color="auto"/>
          <w:bottom w:val="single" w:sz="4" w:space="1" w:color="auto"/>
          <w:right w:val="single" w:sz="4" w:space="4" w:color="auto"/>
        </w:pBdr>
        <w:rPr>
          <w:noProof/>
        </w:rPr>
      </w:pPr>
      <w:r w:rsidRPr="00047543">
        <w:rPr>
          <w:noProof/>
        </w:rPr>
        <w:t>Europeiska försäkrings- och tjänstepensionsmyndighetens (</w:t>
      </w:r>
      <w:r w:rsidRPr="00047543">
        <w:rPr>
          <w:i/>
          <w:iCs/>
          <w:noProof/>
        </w:rPr>
        <w:t>Eiopa</w:t>
      </w:r>
      <w:r w:rsidRPr="00047543">
        <w:rPr>
          <w:noProof/>
        </w:rPr>
        <w:t>) uppgifter i samband med registreringsprocessen har redan fastställts. Arbetsbördan i samband med de riktade justeringarna av ansökningsprocessen eller det befintliga registrets tillämpningsområde bör förbli begränsad och förväntas spridas över tiden i takt med att antalet PEPP-produkter ökar. Eiopa bör kunna hantera dessa ytterligare uppgifter inom ramen för sina befintliga resurser.</w:t>
      </w:r>
    </w:p>
    <w:p w14:paraId="014C1599" w14:textId="77777777" w:rsidR="00A27CF2" w:rsidRPr="00047543" w:rsidRDefault="00A27CF2" w:rsidP="00A27CF2">
      <w:pPr>
        <w:pStyle w:val="ManualHeading3"/>
        <w:rPr>
          <w:noProof/>
        </w:rPr>
      </w:pPr>
      <w:r w:rsidRPr="00047543">
        <w:rPr>
          <w:noProof/>
        </w:rPr>
        <w:t>1.5.5</w:t>
      </w:r>
      <w:r w:rsidRPr="00047543">
        <w:rPr>
          <w:noProof/>
        </w:rPr>
        <w:tab/>
        <w:t>Bedömning av de olika finansieringsalternativ som finns att tillgå, inbegripet möjligheter till omfördelning</w:t>
      </w:r>
    </w:p>
    <w:p w14:paraId="5EE549C6" w14:textId="77777777" w:rsidR="00A27CF2" w:rsidRPr="00047543" w:rsidRDefault="00527D9D" w:rsidP="00A27CF2">
      <w:pPr>
        <w:pStyle w:val="Text1"/>
        <w:pBdr>
          <w:top w:val="single" w:sz="4" w:space="1" w:color="auto"/>
          <w:left w:val="single" w:sz="4" w:space="4" w:color="auto"/>
          <w:bottom w:val="single" w:sz="4" w:space="1" w:color="auto"/>
          <w:right w:val="single" w:sz="4" w:space="4" w:color="auto"/>
        </w:pBdr>
        <w:rPr>
          <w:noProof/>
        </w:rPr>
      </w:pPr>
      <w:r w:rsidRPr="00047543">
        <w:rPr>
          <w:noProof/>
        </w:rPr>
        <w:t>Ej tillämpligt</w:t>
      </w:r>
    </w:p>
    <w:p w14:paraId="1D4C1DCE" w14:textId="77777777" w:rsidR="00A27CF2" w:rsidRPr="00047543" w:rsidRDefault="00A27CF2" w:rsidP="00A27CF2">
      <w:pPr>
        <w:pStyle w:val="ManualHeading2"/>
        <w:rPr>
          <w:bCs/>
          <w:noProof/>
          <w:szCs w:val="24"/>
        </w:rPr>
      </w:pPr>
      <w:r w:rsidRPr="00047543">
        <w:rPr>
          <w:noProof/>
        </w:rPr>
        <w:br w:type="page"/>
        <w:t>1.6</w:t>
      </w:r>
      <w:r w:rsidRPr="00047543">
        <w:rPr>
          <w:noProof/>
        </w:rPr>
        <w:tab/>
        <w:t>Förslagets eller initiativets varaktighet och budgetkonsekvenser</w:t>
      </w:r>
    </w:p>
    <w:p w14:paraId="0C2023DB" w14:textId="77777777" w:rsidR="00A27CF2" w:rsidRPr="00047543" w:rsidRDefault="00A27CF2" w:rsidP="00A27CF2">
      <w:pPr>
        <w:pStyle w:val="Text1"/>
        <w:rPr>
          <w:noProof/>
        </w:rPr>
      </w:pPr>
      <w:r w:rsidRPr="00047543">
        <w:rPr>
          <w:rFonts w:ascii="Wingdings" w:hAnsi="Wingdings"/>
          <w:noProof/>
        </w:rPr>
        <w:t></w:t>
      </w:r>
      <w:r w:rsidRPr="00047543">
        <w:rPr>
          <w:noProof/>
        </w:rPr>
        <w:t xml:space="preserve"> </w:t>
      </w:r>
      <w:r w:rsidRPr="00047543">
        <w:rPr>
          <w:b/>
          <w:noProof/>
        </w:rPr>
        <w:t xml:space="preserve">begränsad varaktighet </w:t>
      </w:r>
    </w:p>
    <w:p w14:paraId="480C4EFE" w14:textId="77777777" w:rsidR="00A27CF2" w:rsidRPr="00047543" w:rsidRDefault="00A27CF2" w:rsidP="00A27CF2">
      <w:pPr>
        <w:pStyle w:val="ListDash2"/>
        <w:rPr>
          <w:noProof/>
        </w:rPr>
      </w:pPr>
      <w:r w:rsidRPr="00047543">
        <w:rPr>
          <w:rFonts w:ascii="Wingdings" w:hAnsi="Wingdings"/>
          <w:noProof/>
        </w:rPr>
        <w:t></w:t>
      </w:r>
      <w:r w:rsidRPr="00047543">
        <w:rPr>
          <w:noProof/>
        </w:rPr>
        <w:tab/>
        <w:t xml:space="preserve">verkan från och med [den DD/MM]ÅÅÅÅ till och med [den DD/MM]ÅÅÅÅ </w:t>
      </w:r>
    </w:p>
    <w:p w14:paraId="1B3F3639" w14:textId="77777777" w:rsidR="00A27CF2" w:rsidRPr="00047543" w:rsidRDefault="00A27CF2" w:rsidP="00A27CF2">
      <w:pPr>
        <w:pStyle w:val="ListDash2"/>
        <w:rPr>
          <w:noProof/>
        </w:rPr>
      </w:pPr>
      <w:r w:rsidRPr="00047543">
        <w:rPr>
          <w:rFonts w:ascii="Wingdings" w:hAnsi="Wingdings"/>
          <w:noProof/>
        </w:rPr>
        <w:t></w:t>
      </w:r>
      <w:r w:rsidRPr="00047543">
        <w:rPr>
          <w:noProof/>
        </w:rPr>
        <w:tab/>
        <w:t xml:space="preserve">budgetkonsekvenser från och med ÅÅÅÅ till och med ÅÅÅÅ för åtagandebemyndiganden och från och med ÅÅÅÅ till och med ÅÅÅÅ för betalningsbemyndiganden. </w:t>
      </w:r>
    </w:p>
    <w:p w14:paraId="630FFB47" w14:textId="77777777" w:rsidR="00A27CF2" w:rsidRPr="00047543" w:rsidRDefault="00A27CF2" w:rsidP="00A27CF2">
      <w:pPr>
        <w:pStyle w:val="Text1"/>
        <w:rPr>
          <w:noProof/>
        </w:rPr>
      </w:pPr>
      <w:r w:rsidRPr="00047543">
        <w:rPr>
          <w:rFonts w:ascii="Wingdings" w:hAnsi="Wingdings"/>
          <w:noProof/>
        </w:rPr>
        <w:t></w:t>
      </w:r>
      <w:r w:rsidRPr="00047543">
        <w:rPr>
          <w:b/>
          <w:i/>
          <w:noProof/>
        </w:rPr>
        <w:t xml:space="preserve"> </w:t>
      </w:r>
      <w:r w:rsidRPr="00047543">
        <w:rPr>
          <w:noProof/>
        </w:rPr>
        <w:t>obegränsad varaktighet</w:t>
      </w:r>
    </w:p>
    <w:p w14:paraId="7727B313" w14:textId="77777777" w:rsidR="00A27CF2" w:rsidRPr="00047543" w:rsidRDefault="00A27CF2" w:rsidP="00A27CF2">
      <w:pPr>
        <w:pStyle w:val="ListDash1"/>
        <w:rPr>
          <w:noProof/>
        </w:rPr>
      </w:pPr>
      <w:r w:rsidRPr="00047543">
        <w:rPr>
          <w:noProof/>
        </w:rPr>
        <w:t>Efter en inledande period ÅÅÅÅ–ÅÅÅÅ,</w:t>
      </w:r>
    </w:p>
    <w:p w14:paraId="490DC967" w14:textId="77777777" w:rsidR="00A27CF2" w:rsidRPr="00047543" w:rsidRDefault="00A27CF2" w:rsidP="00A27CF2">
      <w:pPr>
        <w:pStyle w:val="ListDash1"/>
        <w:rPr>
          <w:noProof/>
        </w:rPr>
      </w:pPr>
      <w:r w:rsidRPr="00047543">
        <w:rPr>
          <w:noProof/>
        </w:rPr>
        <w:t>beräknas genomförandetakten nå en stabil nivå.</w:t>
      </w:r>
    </w:p>
    <w:p w14:paraId="30F444AB" w14:textId="77777777" w:rsidR="00A27CF2" w:rsidRPr="00047543" w:rsidRDefault="00A27CF2" w:rsidP="00A27CF2">
      <w:pPr>
        <w:pStyle w:val="ManualHeading2"/>
        <w:rPr>
          <w:bCs/>
          <w:noProof/>
          <w:szCs w:val="24"/>
        </w:rPr>
      </w:pPr>
      <w:r w:rsidRPr="00047543">
        <w:rPr>
          <w:noProof/>
        </w:rPr>
        <w:t>1.7</w:t>
      </w:r>
      <w:r w:rsidRPr="00047543">
        <w:rPr>
          <w:noProof/>
        </w:rPr>
        <w:tab/>
        <w:t xml:space="preserve">Planerad(e) genomförandemetod(er) </w:t>
      </w:r>
    </w:p>
    <w:p w14:paraId="25FB1C34" w14:textId="77777777" w:rsidR="00A27CF2" w:rsidRPr="00047543" w:rsidRDefault="00A27CF2" w:rsidP="00A27CF2">
      <w:pPr>
        <w:pStyle w:val="Text1"/>
        <w:rPr>
          <w:noProof/>
        </w:rPr>
      </w:pPr>
      <w:r w:rsidRPr="00047543">
        <w:rPr>
          <w:rFonts w:ascii="Wingdings" w:hAnsi="Wingdings"/>
          <w:noProof/>
        </w:rPr>
        <w:t></w:t>
      </w:r>
      <w:r w:rsidRPr="00047543">
        <w:rPr>
          <w:i/>
          <w:noProof/>
        </w:rPr>
        <w:t xml:space="preserve"> </w:t>
      </w:r>
      <w:r w:rsidRPr="00047543">
        <w:rPr>
          <w:b/>
          <w:noProof/>
        </w:rPr>
        <w:t>Direkt förvaltning</w:t>
      </w:r>
      <w:r w:rsidRPr="00047543">
        <w:rPr>
          <w:noProof/>
        </w:rPr>
        <w:t xml:space="preserve"> som sköts av kommissionen</w:t>
      </w:r>
    </w:p>
    <w:p w14:paraId="2D75C6B1" w14:textId="77777777" w:rsidR="00A27CF2" w:rsidRPr="00047543" w:rsidRDefault="00A27CF2" w:rsidP="00A27CF2">
      <w:pPr>
        <w:pStyle w:val="ListDash2"/>
        <w:rPr>
          <w:rFonts w:cs="EUAlbertina"/>
          <w:noProof/>
        </w:rPr>
      </w:pPr>
      <w:r w:rsidRPr="00047543">
        <w:rPr>
          <w:rFonts w:ascii="Wingdings" w:hAnsi="Wingdings"/>
          <w:noProof/>
        </w:rPr>
        <w:t></w:t>
      </w:r>
      <w:r w:rsidRPr="00047543">
        <w:rPr>
          <w:noProof/>
        </w:rPr>
        <w:t xml:space="preserve"> via dess avdelningar, vilket också inbegriper personalen vid unionens delegationer; </w:t>
      </w:r>
    </w:p>
    <w:p w14:paraId="1A5438F0" w14:textId="77777777" w:rsidR="00A27CF2" w:rsidRPr="00047543" w:rsidRDefault="00A27CF2" w:rsidP="00A27CF2">
      <w:pPr>
        <w:pStyle w:val="ListDash2"/>
        <w:rPr>
          <w:noProof/>
        </w:rPr>
      </w:pPr>
      <w:r w:rsidRPr="00047543">
        <w:rPr>
          <w:rFonts w:ascii="Wingdings" w:hAnsi="Wingdings"/>
          <w:noProof/>
        </w:rPr>
        <w:t></w:t>
      </w:r>
      <w:r w:rsidRPr="00047543">
        <w:rPr>
          <w:noProof/>
        </w:rPr>
        <w:tab/>
        <w:t xml:space="preserve">via genomförandeorgan </w:t>
      </w:r>
    </w:p>
    <w:p w14:paraId="2C19115A" w14:textId="77777777" w:rsidR="00A27CF2" w:rsidRPr="00047543" w:rsidRDefault="00A27CF2" w:rsidP="00A27CF2">
      <w:pPr>
        <w:pStyle w:val="Text1"/>
        <w:rPr>
          <w:noProof/>
        </w:rPr>
      </w:pPr>
      <w:r w:rsidRPr="00047543">
        <w:rPr>
          <w:rFonts w:ascii="Wingdings" w:hAnsi="Wingdings"/>
          <w:noProof/>
        </w:rPr>
        <w:t></w:t>
      </w:r>
      <w:r w:rsidRPr="00047543">
        <w:rPr>
          <w:b/>
          <w:i/>
          <w:noProof/>
        </w:rPr>
        <w:t xml:space="preserve"> </w:t>
      </w:r>
      <w:r w:rsidRPr="00047543">
        <w:rPr>
          <w:b/>
          <w:noProof/>
        </w:rPr>
        <w:t>Delad förvaltning</w:t>
      </w:r>
      <w:r w:rsidRPr="00047543">
        <w:rPr>
          <w:noProof/>
        </w:rPr>
        <w:t xml:space="preserve"> med medlemsstaterna </w:t>
      </w:r>
    </w:p>
    <w:p w14:paraId="58BB6C15" w14:textId="77777777" w:rsidR="00A27CF2" w:rsidRPr="00047543" w:rsidRDefault="00A27CF2" w:rsidP="00A27CF2">
      <w:pPr>
        <w:pStyle w:val="Text1"/>
        <w:rPr>
          <w:noProof/>
        </w:rPr>
      </w:pPr>
      <w:r w:rsidRPr="00047543">
        <w:rPr>
          <w:rFonts w:ascii="Wingdings" w:hAnsi="Wingdings"/>
          <w:noProof/>
        </w:rPr>
        <w:t></w:t>
      </w:r>
      <w:r w:rsidRPr="00047543">
        <w:rPr>
          <w:i/>
          <w:noProof/>
        </w:rPr>
        <w:t xml:space="preserve"> </w:t>
      </w:r>
      <w:r w:rsidRPr="00047543">
        <w:rPr>
          <w:b/>
          <w:noProof/>
        </w:rPr>
        <w:t xml:space="preserve">Indirekt förvaltning </w:t>
      </w:r>
      <w:r w:rsidRPr="00047543">
        <w:rPr>
          <w:noProof/>
        </w:rPr>
        <w:t>genom att uppgifter som ingår i budgetgenomförandet anförtros</w:t>
      </w:r>
    </w:p>
    <w:p w14:paraId="292E38EC" w14:textId="77777777" w:rsidR="00A27CF2" w:rsidRPr="00047543" w:rsidRDefault="00A27CF2" w:rsidP="00A27CF2">
      <w:pPr>
        <w:pStyle w:val="ListDash2"/>
        <w:rPr>
          <w:noProof/>
        </w:rPr>
      </w:pPr>
      <w:r w:rsidRPr="00047543">
        <w:rPr>
          <w:rFonts w:ascii="Wingdings" w:hAnsi="Wingdings"/>
          <w:noProof/>
        </w:rPr>
        <w:t></w:t>
      </w:r>
      <w:r w:rsidRPr="00047543">
        <w:rPr>
          <w:noProof/>
        </w:rPr>
        <w:t xml:space="preserve"> tredjeländer eller organ som de har utsett</w:t>
      </w:r>
    </w:p>
    <w:p w14:paraId="6D4A80A9" w14:textId="77777777" w:rsidR="00A27CF2" w:rsidRPr="00047543" w:rsidRDefault="00A27CF2" w:rsidP="00A27CF2">
      <w:pPr>
        <w:pStyle w:val="ListDash2"/>
        <w:rPr>
          <w:noProof/>
        </w:rPr>
      </w:pPr>
      <w:r w:rsidRPr="00047543">
        <w:rPr>
          <w:rFonts w:ascii="Wingdings" w:hAnsi="Wingdings"/>
          <w:noProof/>
        </w:rPr>
        <w:t></w:t>
      </w:r>
      <w:r w:rsidRPr="00047543">
        <w:rPr>
          <w:noProof/>
        </w:rPr>
        <w:t xml:space="preserve"> internationella organisationer och organ kopplade till dem (ange vilka)</w:t>
      </w:r>
    </w:p>
    <w:p w14:paraId="5E36C5CF" w14:textId="77777777" w:rsidR="00A27CF2" w:rsidRPr="00047543" w:rsidRDefault="00A27CF2" w:rsidP="00A27CF2">
      <w:pPr>
        <w:pStyle w:val="ListDash2"/>
        <w:rPr>
          <w:noProof/>
        </w:rPr>
      </w:pPr>
      <w:r w:rsidRPr="00047543">
        <w:rPr>
          <w:rFonts w:ascii="Wingdings" w:hAnsi="Wingdings"/>
          <w:noProof/>
        </w:rPr>
        <w:t></w:t>
      </w:r>
      <w:r w:rsidRPr="00047543">
        <w:rPr>
          <w:noProof/>
        </w:rPr>
        <w:t xml:space="preserve"> Europeiska investeringsbanken och Europeiska investeringsfonden</w:t>
      </w:r>
    </w:p>
    <w:p w14:paraId="764F7E1F" w14:textId="77777777" w:rsidR="00A27CF2" w:rsidRPr="00047543" w:rsidRDefault="00A27CF2" w:rsidP="00A27CF2">
      <w:pPr>
        <w:pStyle w:val="ListDash2"/>
        <w:rPr>
          <w:noProof/>
        </w:rPr>
      </w:pPr>
      <w:r w:rsidRPr="00047543">
        <w:rPr>
          <w:rFonts w:ascii="Wingdings" w:hAnsi="Wingdings"/>
          <w:noProof/>
        </w:rPr>
        <w:t></w:t>
      </w:r>
      <w:r w:rsidRPr="00047543">
        <w:rPr>
          <w:noProof/>
        </w:rPr>
        <w:t xml:space="preserve"> organ som avses i artiklarna 70 och 71 i budgetförordningen</w:t>
      </w:r>
    </w:p>
    <w:p w14:paraId="62A668FD" w14:textId="77777777" w:rsidR="00A27CF2" w:rsidRPr="00047543" w:rsidRDefault="00A27CF2" w:rsidP="00A27CF2">
      <w:pPr>
        <w:pStyle w:val="ListDash2"/>
        <w:rPr>
          <w:noProof/>
        </w:rPr>
      </w:pPr>
      <w:r w:rsidRPr="00047543">
        <w:rPr>
          <w:rFonts w:ascii="Wingdings" w:hAnsi="Wingdings"/>
          <w:noProof/>
        </w:rPr>
        <w:t></w:t>
      </w:r>
      <w:r w:rsidRPr="00047543">
        <w:rPr>
          <w:noProof/>
        </w:rPr>
        <w:t xml:space="preserve"> offentligrättsliga organ</w:t>
      </w:r>
    </w:p>
    <w:p w14:paraId="2516AA52" w14:textId="77777777" w:rsidR="00A27CF2" w:rsidRPr="00047543" w:rsidRDefault="00A27CF2" w:rsidP="00A27CF2">
      <w:pPr>
        <w:pStyle w:val="ListDash2"/>
        <w:rPr>
          <w:noProof/>
        </w:rPr>
      </w:pPr>
      <w:r w:rsidRPr="00047543">
        <w:rPr>
          <w:rFonts w:ascii="Wingdings" w:hAnsi="Wingdings"/>
          <w:noProof/>
        </w:rPr>
        <w:t></w:t>
      </w:r>
      <w:r w:rsidRPr="00047543">
        <w:rPr>
          <w:noProof/>
        </w:rPr>
        <w:t xml:space="preserve"> privaträttsliga organ som har anförtrotts offentliga förvaltningsuppgifter i den utsträckning som de har försetts med tillräckliga ekonomiska garantier</w:t>
      </w:r>
    </w:p>
    <w:p w14:paraId="7190E1A7" w14:textId="77777777" w:rsidR="00A27CF2" w:rsidRPr="00047543" w:rsidRDefault="00A27CF2" w:rsidP="00A27CF2">
      <w:pPr>
        <w:pStyle w:val="ListDash2"/>
        <w:rPr>
          <w:noProof/>
        </w:rPr>
      </w:pPr>
      <w:r w:rsidRPr="00047543">
        <w:rPr>
          <w:rFonts w:ascii="Wingdings" w:hAnsi="Wingdings"/>
          <w:noProof/>
        </w:rPr>
        <w:t></w:t>
      </w:r>
      <w:r w:rsidRPr="00047543">
        <w:rPr>
          <w:noProof/>
        </w:rPr>
        <w:t xml:space="preserve"> organ som omfattas av privaträtten i en medlemsstat, som anförtrotts genomförandeuppgifter inom ramen för ett offentlig-privat partnerskap och som har försetts med tillräckliga ekonomiska garantier</w:t>
      </w:r>
    </w:p>
    <w:p w14:paraId="5E2DCA03" w14:textId="77777777" w:rsidR="00A27CF2" w:rsidRPr="00047543" w:rsidRDefault="00A27CF2" w:rsidP="00A27CF2">
      <w:pPr>
        <w:pStyle w:val="ListDash2"/>
        <w:rPr>
          <w:noProof/>
        </w:rPr>
      </w:pPr>
      <w:r w:rsidRPr="00047543">
        <w:rPr>
          <w:rFonts w:ascii="Wingdings" w:hAnsi="Wingdings"/>
          <w:noProof/>
        </w:rPr>
        <w:t></w:t>
      </w:r>
      <w:r w:rsidRPr="00047543">
        <w:rPr>
          <w:noProof/>
        </w:rPr>
        <w:t xml:space="preserve"> organ eller personer som anförtrotts genomförandet av särskilda åtgärder inom den gemensamma utrikes- och säkerhetspolitiken enligt avdelning V i fördraget om Europeiska unionen och som fastställs i den grundläggande akten</w:t>
      </w:r>
    </w:p>
    <w:p w14:paraId="1DABC928" w14:textId="77777777" w:rsidR="00A27CF2" w:rsidRPr="00047543" w:rsidRDefault="00A27CF2" w:rsidP="00A27CF2">
      <w:pPr>
        <w:pStyle w:val="ListDash2"/>
        <w:rPr>
          <w:noProof/>
        </w:rPr>
      </w:pPr>
      <w:r w:rsidRPr="00047543">
        <w:rPr>
          <w:rFonts w:ascii="Wingdings" w:hAnsi="Wingdings"/>
          <w:noProof/>
        </w:rPr>
        <w:t></w:t>
      </w:r>
      <w:r w:rsidRPr="00047543">
        <w:rPr>
          <w:rFonts w:ascii="Wingdings" w:hAnsi="Wingdings"/>
          <w:noProof/>
        </w:rPr>
        <w:t></w:t>
      </w:r>
      <w:r w:rsidRPr="00047543">
        <w:rPr>
          <w:noProof/>
        </w:rPr>
        <w:t xml:space="preserve"> organ som är etablerade i en medlemsstat och som omfattas av en medlemsstats privaträtt eller unionsrätten och som i enlighet med sektorsspecifika regler kan anförtros genomförandet av unionsmedel eller budgetgarantier, i den mån sådana organ kontrolleras av offentligrättsliga organ eller privaträttsliga organ som anförtrotts offentliga förvaltningsuppgifter och har tillräckliga finansiella garantier i form av gemensamt och solidariskt ansvar från kontrollorganens sida eller likvärdiga finansiella garantier, som för varje åtgärd kan vara begränsad till det högsta beloppet för unionens stöd.</w:t>
      </w:r>
    </w:p>
    <w:p w14:paraId="6250C4DE" w14:textId="77777777" w:rsidR="00A27CF2" w:rsidRPr="00047543" w:rsidRDefault="00A27CF2" w:rsidP="00A27CF2">
      <w:pPr>
        <w:rPr>
          <w:noProof/>
        </w:rPr>
      </w:pPr>
      <w:r w:rsidRPr="00047543">
        <w:rPr>
          <w:noProof/>
        </w:rPr>
        <w:t xml:space="preserve">Anmärkningar </w:t>
      </w:r>
    </w:p>
    <w:p w14:paraId="4F9D6179" w14:textId="77777777" w:rsidR="00A27CF2" w:rsidRPr="00047543" w:rsidRDefault="00527D9D" w:rsidP="00A27CF2">
      <w:pPr>
        <w:pBdr>
          <w:top w:val="single" w:sz="4" w:space="1" w:color="auto"/>
          <w:left w:val="single" w:sz="4" w:space="4" w:color="auto"/>
          <w:bottom w:val="single" w:sz="4" w:space="1" w:color="auto"/>
          <w:right w:val="single" w:sz="4" w:space="4" w:color="auto"/>
        </w:pBdr>
        <w:rPr>
          <w:noProof/>
        </w:rPr>
      </w:pPr>
      <w:r w:rsidRPr="00047543">
        <w:rPr>
          <w:noProof/>
        </w:rPr>
        <w:t>Ej tillämpligt</w:t>
      </w:r>
    </w:p>
    <w:p w14:paraId="63B13D37" w14:textId="77777777" w:rsidR="00A27CF2" w:rsidRPr="00047543" w:rsidRDefault="00A27CF2" w:rsidP="00A27CF2">
      <w:pPr>
        <w:rPr>
          <w:noProof/>
        </w:rPr>
        <w:sectPr w:rsidR="00A27CF2" w:rsidRPr="00047543" w:rsidSect="003E44E5">
          <w:pgSz w:w="11907" w:h="16840" w:code="9"/>
          <w:pgMar w:top="1134" w:right="1418" w:bottom="1134" w:left="1418" w:header="709" w:footer="709" w:gutter="0"/>
          <w:cols w:space="708"/>
          <w:docGrid w:linePitch="360"/>
        </w:sectPr>
      </w:pPr>
    </w:p>
    <w:p w14:paraId="21865427" w14:textId="77777777" w:rsidR="00A27CF2" w:rsidRPr="00047543" w:rsidRDefault="00A27CF2" w:rsidP="00A27CF2">
      <w:pPr>
        <w:pStyle w:val="ManualHeading1"/>
        <w:rPr>
          <w:bCs/>
          <w:noProof/>
          <w:szCs w:val="24"/>
        </w:rPr>
      </w:pPr>
      <w:r w:rsidRPr="00047543">
        <w:rPr>
          <w:noProof/>
        </w:rPr>
        <w:t>2</w:t>
      </w:r>
      <w:r w:rsidRPr="00047543">
        <w:rPr>
          <w:noProof/>
        </w:rPr>
        <w:tab/>
        <w:t xml:space="preserve">FÖRVALTNING </w:t>
      </w:r>
    </w:p>
    <w:p w14:paraId="39572898" w14:textId="77777777" w:rsidR="00A27CF2" w:rsidRPr="00047543" w:rsidRDefault="00A27CF2" w:rsidP="00A27CF2">
      <w:pPr>
        <w:pStyle w:val="ManualHeading2"/>
        <w:rPr>
          <w:noProof/>
        </w:rPr>
      </w:pPr>
      <w:r w:rsidRPr="00047543">
        <w:rPr>
          <w:noProof/>
        </w:rPr>
        <w:t>2.1</w:t>
      </w:r>
      <w:r w:rsidRPr="00047543">
        <w:rPr>
          <w:noProof/>
        </w:rPr>
        <w:tab/>
        <w:t xml:space="preserve">Regler om uppföljning och rapportering </w:t>
      </w:r>
    </w:p>
    <w:p w14:paraId="5FBD338C" w14:textId="77777777" w:rsidR="00A27CF2" w:rsidRPr="00047543" w:rsidRDefault="00527D9D" w:rsidP="00A27CF2">
      <w:pPr>
        <w:pStyle w:val="Text1"/>
        <w:pBdr>
          <w:top w:val="single" w:sz="4" w:space="1" w:color="auto"/>
          <w:left w:val="single" w:sz="4" w:space="4" w:color="auto"/>
          <w:bottom w:val="single" w:sz="4" w:space="1" w:color="auto"/>
          <w:right w:val="single" w:sz="4" w:space="4" w:color="auto"/>
        </w:pBdr>
        <w:rPr>
          <w:noProof/>
        </w:rPr>
      </w:pPr>
      <w:r w:rsidRPr="00047543">
        <w:rPr>
          <w:noProof/>
        </w:rPr>
        <w:t>Ej tillämpligt</w:t>
      </w:r>
    </w:p>
    <w:p w14:paraId="786F6403" w14:textId="77777777" w:rsidR="00A27CF2" w:rsidRPr="00047543" w:rsidRDefault="00A27CF2" w:rsidP="00A27CF2">
      <w:pPr>
        <w:pStyle w:val="ManualHeading2"/>
        <w:rPr>
          <w:bCs/>
          <w:noProof/>
          <w:szCs w:val="24"/>
        </w:rPr>
      </w:pPr>
      <w:r w:rsidRPr="00047543">
        <w:rPr>
          <w:noProof/>
        </w:rPr>
        <w:t>2.2</w:t>
      </w:r>
      <w:r w:rsidRPr="00047543">
        <w:rPr>
          <w:noProof/>
        </w:rPr>
        <w:tab/>
        <w:t xml:space="preserve">Förvaltnings- och kontrollsystem </w:t>
      </w:r>
    </w:p>
    <w:p w14:paraId="645CC558" w14:textId="77777777" w:rsidR="00A27CF2" w:rsidRPr="00047543" w:rsidRDefault="00A27CF2" w:rsidP="00A27CF2">
      <w:pPr>
        <w:pStyle w:val="ManualHeading3"/>
        <w:rPr>
          <w:noProof/>
        </w:rPr>
      </w:pPr>
      <w:r w:rsidRPr="00047543">
        <w:rPr>
          <w:noProof/>
        </w:rPr>
        <w:t>2.2.1</w:t>
      </w:r>
      <w:r w:rsidRPr="00047543">
        <w:rPr>
          <w:noProof/>
        </w:rPr>
        <w:tab/>
        <w:t>Motivering av den budgetgenomförandemetod, de finansieringsmekanismer, de betalningsvillkor och den kontrollstrategi som föreslås</w:t>
      </w:r>
    </w:p>
    <w:p w14:paraId="560B9D5B" w14:textId="77777777" w:rsidR="00A27CF2" w:rsidRPr="00047543" w:rsidRDefault="00527D9D" w:rsidP="00A27CF2">
      <w:pPr>
        <w:pStyle w:val="Text1"/>
        <w:pBdr>
          <w:top w:val="single" w:sz="4" w:space="1" w:color="auto"/>
          <w:left w:val="single" w:sz="4" w:space="4" w:color="auto"/>
          <w:bottom w:val="single" w:sz="4" w:space="1" w:color="auto"/>
          <w:right w:val="single" w:sz="4" w:space="4" w:color="auto"/>
        </w:pBdr>
        <w:rPr>
          <w:noProof/>
        </w:rPr>
      </w:pPr>
      <w:r w:rsidRPr="00047543">
        <w:rPr>
          <w:noProof/>
        </w:rPr>
        <w:t>Ej tillämpligt</w:t>
      </w:r>
    </w:p>
    <w:p w14:paraId="16A0847A" w14:textId="77777777" w:rsidR="00A27CF2" w:rsidRPr="00047543" w:rsidRDefault="00A27CF2" w:rsidP="00A27CF2">
      <w:pPr>
        <w:pStyle w:val="ManualHeading3"/>
        <w:rPr>
          <w:bCs/>
          <w:noProof/>
          <w:szCs w:val="24"/>
        </w:rPr>
      </w:pPr>
      <w:r w:rsidRPr="00047543">
        <w:rPr>
          <w:noProof/>
        </w:rPr>
        <w:t>2.2.2</w:t>
      </w:r>
      <w:r w:rsidRPr="00047543">
        <w:rPr>
          <w:noProof/>
        </w:rPr>
        <w:tab/>
        <w:t>Uppgifter om identifierade risker och om det eller de interna kontrollsystem som inrättats för att begränsa riskerna</w:t>
      </w:r>
    </w:p>
    <w:p w14:paraId="2706FCB0" w14:textId="77777777" w:rsidR="00A27CF2" w:rsidRPr="00047543" w:rsidRDefault="00527D9D" w:rsidP="00A27CF2">
      <w:pPr>
        <w:pStyle w:val="Text1"/>
        <w:pBdr>
          <w:top w:val="single" w:sz="4" w:space="1" w:color="auto"/>
          <w:left w:val="single" w:sz="4" w:space="4" w:color="auto"/>
          <w:bottom w:val="single" w:sz="4" w:space="1" w:color="auto"/>
          <w:right w:val="single" w:sz="4" w:space="4" w:color="auto"/>
        </w:pBdr>
        <w:rPr>
          <w:noProof/>
        </w:rPr>
      </w:pPr>
      <w:r w:rsidRPr="00047543">
        <w:rPr>
          <w:noProof/>
        </w:rPr>
        <w:t>Ej tillämpligt</w:t>
      </w:r>
    </w:p>
    <w:p w14:paraId="5218A089" w14:textId="77777777" w:rsidR="00A27CF2" w:rsidRPr="00047543" w:rsidRDefault="00A27CF2" w:rsidP="00A27CF2">
      <w:pPr>
        <w:pStyle w:val="ManualHeading3"/>
        <w:rPr>
          <w:noProof/>
        </w:rPr>
      </w:pPr>
      <w:r w:rsidRPr="00047543">
        <w:rPr>
          <w:noProof/>
        </w:rPr>
        <w:t>2.2.3</w:t>
      </w:r>
      <w:r w:rsidRPr="00047543">
        <w:rPr>
          <w:noProof/>
        </w:rPr>
        <w:tab/>
        <w:t xml:space="preserve">Beräkning och motivering av kontrollernas kostnadseffektivitet (dvs. förhållandet mellan kostnaden för kontrollerna och värdet av de medel som förvaltas) och en bedömning av den förväntade risken för fel (vid betalning och vid avslutande) </w:t>
      </w:r>
    </w:p>
    <w:p w14:paraId="15D3953E" w14:textId="77777777" w:rsidR="00A27CF2" w:rsidRPr="00047543" w:rsidRDefault="00527D9D" w:rsidP="00A27CF2">
      <w:pPr>
        <w:pStyle w:val="Text1"/>
        <w:pBdr>
          <w:top w:val="single" w:sz="4" w:space="1" w:color="auto"/>
          <w:left w:val="single" w:sz="4" w:space="4" w:color="auto"/>
          <w:bottom w:val="single" w:sz="4" w:space="1" w:color="auto"/>
          <w:right w:val="single" w:sz="4" w:space="4" w:color="auto"/>
        </w:pBdr>
        <w:rPr>
          <w:noProof/>
        </w:rPr>
      </w:pPr>
      <w:r w:rsidRPr="00047543">
        <w:rPr>
          <w:noProof/>
        </w:rPr>
        <w:t>Ej tillämpligt</w:t>
      </w:r>
    </w:p>
    <w:p w14:paraId="71112D75" w14:textId="77777777" w:rsidR="00A27CF2" w:rsidRPr="00047543" w:rsidRDefault="00A27CF2" w:rsidP="00A27CF2">
      <w:pPr>
        <w:pStyle w:val="ManualHeading2"/>
        <w:rPr>
          <w:bCs/>
          <w:noProof/>
          <w:szCs w:val="24"/>
        </w:rPr>
      </w:pPr>
      <w:r w:rsidRPr="00047543">
        <w:rPr>
          <w:noProof/>
        </w:rPr>
        <w:t>2.3</w:t>
      </w:r>
      <w:r w:rsidRPr="00047543">
        <w:rPr>
          <w:noProof/>
        </w:rPr>
        <w:tab/>
        <w:t xml:space="preserve">Åtgärder för att förebygga bedrägeri och oriktigheter </w:t>
      </w:r>
    </w:p>
    <w:p w14:paraId="3B09DBB6" w14:textId="77777777" w:rsidR="00A27CF2" w:rsidRPr="00047543" w:rsidRDefault="00527D9D" w:rsidP="00A27CF2">
      <w:pPr>
        <w:pStyle w:val="Text1"/>
        <w:pBdr>
          <w:top w:val="single" w:sz="4" w:space="1" w:color="auto"/>
          <w:left w:val="single" w:sz="4" w:space="4" w:color="auto"/>
          <w:bottom w:val="single" w:sz="4" w:space="1" w:color="auto"/>
          <w:right w:val="single" w:sz="4" w:space="4" w:color="auto"/>
        </w:pBdr>
        <w:rPr>
          <w:noProof/>
        </w:rPr>
      </w:pPr>
      <w:r w:rsidRPr="00047543">
        <w:rPr>
          <w:noProof/>
        </w:rPr>
        <w:t>Ej tillämpligt</w:t>
      </w:r>
    </w:p>
    <w:p w14:paraId="043EB8DA" w14:textId="77777777" w:rsidR="00A27CF2" w:rsidRPr="00047543" w:rsidRDefault="00A27CF2" w:rsidP="00A27CF2">
      <w:pPr>
        <w:rPr>
          <w:noProof/>
        </w:rPr>
        <w:sectPr w:rsidR="00A27CF2" w:rsidRPr="00047543" w:rsidSect="003E44E5">
          <w:pgSz w:w="11907" w:h="16840" w:code="9"/>
          <w:pgMar w:top="1134" w:right="1418" w:bottom="1134" w:left="1418" w:header="709" w:footer="709" w:gutter="0"/>
          <w:cols w:space="708"/>
          <w:docGrid w:linePitch="360"/>
        </w:sectPr>
      </w:pPr>
    </w:p>
    <w:p w14:paraId="75462D9A" w14:textId="77777777" w:rsidR="00A27CF2" w:rsidRPr="00047543" w:rsidRDefault="00A27CF2" w:rsidP="00A27CF2">
      <w:pPr>
        <w:pStyle w:val="ManualHeading1"/>
        <w:rPr>
          <w:bCs/>
          <w:noProof/>
          <w:szCs w:val="24"/>
        </w:rPr>
      </w:pPr>
      <w:r w:rsidRPr="00047543">
        <w:rPr>
          <w:noProof/>
        </w:rPr>
        <w:t>3.</w:t>
      </w:r>
      <w:r w:rsidRPr="00047543">
        <w:rPr>
          <w:noProof/>
        </w:rPr>
        <w:tab/>
        <w:t xml:space="preserve">FÖRSLAGETS ELLER INITIATIVETS BERÄKNADE BUDGETKONSEKVENSER </w:t>
      </w:r>
    </w:p>
    <w:p w14:paraId="205065CF" w14:textId="77777777" w:rsidR="00A27CF2" w:rsidRPr="00047543" w:rsidRDefault="00A27CF2" w:rsidP="00A27CF2">
      <w:pPr>
        <w:pStyle w:val="ManualHeading2"/>
        <w:rPr>
          <w:noProof/>
        </w:rPr>
      </w:pPr>
      <w:r w:rsidRPr="00047543">
        <w:rPr>
          <w:noProof/>
        </w:rPr>
        <w:t>3.1</w:t>
      </w:r>
      <w:r w:rsidRPr="00047543">
        <w:rPr>
          <w:noProof/>
        </w:rPr>
        <w:tab/>
        <w:t xml:space="preserve">Berörda rubriker i den fleråriga budgetramen och utgiftsposter i den årliga budgeten </w:t>
      </w:r>
    </w:p>
    <w:p w14:paraId="475E693A" w14:textId="77777777" w:rsidR="00A27CF2" w:rsidRPr="00047543" w:rsidRDefault="00A27CF2" w:rsidP="00A27CF2">
      <w:pPr>
        <w:pStyle w:val="ListBullet1"/>
        <w:rPr>
          <w:noProof/>
        </w:rPr>
      </w:pPr>
      <w:r w:rsidRPr="00047543">
        <w:rPr>
          <w:noProof/>
        </w:rPr>
        <w:t xml:space="preserve">Befintliga budgetposter </w:t>
      </w:r>
    </w:p>
    <w:p w14:paraId="0BF7A44D" w14:textId="77777777" w:rsidR="00A27CF2" w:rsidRPr="00047543" w:rsidRDefault="00A27CF2" w:rsidP="00A27CF2">
      <w:pPr>
        <w:pStyle w:val="Text1"/>
        <w:rPr>
          <w:i/>
          <w:noProof/>
        </w:rPr>
      </w:pPr>
      <w:r w:rsidRPr="00047543">
        <w:rPr>
          <w:i/>
          <w:noProof/>
        </w:rPr>
        <w:t xml:space="preserve">Redovisa enligt de berörda rubrikerna i den fleråriga budgetramen </w:t>
      </w:r>
      <w:r w:rsidRPr="00047543">
        <w:rPr>
          <w:i/>
          <w:noProof/>
          <w:u w:val="single"/>
        </w:rPr>
        <w:t>i nummerföljd</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A27CF2" w:rsidRPr="00047543" w14:paraId="3A4C6937" w14:textId="77777777" w:rsidTr="1A0D1B41">
        <w:trPr>
          <w:jc w:val="center"/>
        </w:trPr>
        <w:tc>
          <w:tcPr>
            <w:tcW w:w="1092" w:type="dxa"/>
            <w:vAlign w:val="center"/>
          </w:tcPr>
          <w:p w14:paraId="3666C35D" w14:textId="77777777" w:rsidR="00A27CF2" w:rsidRPr="00047543" w:rsidRDefault="00A27CF2">
            <w:pPr>
              <w:spacing w:before="60" w:after="60"/>
              <w:jc w:val="center"/>
              <w:rPr>
                <w:noProof/>
              </w:rPr>
            </w:pPr>
            <w:r w:rsidRPr="00047543">
              <w:rPr>
                <w:noProof/>
                <w:sz w:val="18"/>
              </w:rPr>
              <w:t>Rubrik i den fleråriga budgetramen</w:t>
            </w:r>
          </w:p>
        </w:tc>
        <w:tc>
          <w:tcPr>
            <w:tcW w:w="4002" w:type="dxa"/>
            <w:vAlign w:val="center"/>
          </w:tcPr>
          <w:p w14:paraId="1F6192C4" w14:textId="77777777" w:rsidR="00A27CF2" w:rsidRPr="00047543" w:rsidRDefault="00A27CF2">
            <w:pPr>
              <w:spacing w:before="60" w:after="60"/>
              <w:jc w:val="center"/>
              <w:rPr>
                <w:noProof/>
              </w:rPr>
            </w:pPr>
            <w:r w:rsidRPr="00047543">
              <w:rPr>
                <w:noProof/>
                <w:sz w:val="20"/>
              </w:rPr>
              <w:t>Budgetpost</w:t>
            </w:r>
          </w:p>
        </w:tc>
        <w:tc>
          <w:tcPr>
            <w:tcW w:w="1092" w:type="dxa"/>
            <w:vAlign w:val="center"/>
          </w:tcPr>
          <w:p w14:paraId="7D4823B8" w14:textId="77777777" w:rsidR="00A27CF2" w:rsidRPr="00047543" w:rsidRDefault="00A27CF2">
            <w:pPr>
              <w:spacing w:before="60" w:after="60"/>
              <w:jc w:val="center"/>
              <w:rPr>
                <w:noProof/>
              </w:rPr>
            </w:pPr>
            <w:r w:rsidRPr="00047543">
              <w:rPr>
                <w:noProof/>
                <w:sz w:val="18"/>
              </w:rPr>
              <w:t>Typ av utgifter</w:t>
            </w:r>
          </w:p>
        </w:tc>
        <w:tc>
          <w:tcPr>
            <w:tcW w:w="4487" w:type="dxa"/>
            <w:gridSpan w:val="4"/>
            <w:vAlign w:val="center"/>
          </w:tcPr>
          <w:p w14:paraId="538F44BA" w14:textId="77777777" w:rsidR="00A27CF2" w:rsidRPr="00047543" w:rsidRDefault="00A27CF2">
            <w:pPr>
              <w:spacing w:before="60" w:after="60"/>
              <w:jc w:val="center"/>
              <w:rPr>
                <w:noProof/>
              </w:rPr>
            </w:pPr>
            <w:r w:rsidRPr="00047543">
              <w:rPr>
                <w:noProof/>
                <w:sz w:val="20"/>
              </w:rPr>
              <w:t xml:space="preserve">Bidrag </w:t>
            </w:r>
          </w:p>
        </w:tc>
      </w:tr>
      <w:tr w:rsidR="00A27CF2" w:rsidRPr="00047543" w14:paraId="009AE6C9" w14:textId="77777777" w:rsidTr="1A0D1B41">
        <w:trPr>
          <w:cantSplit/>
          <w:jc w:val="center"/>
        </w:trPr>
        <w:tc>
          <w:tcPr>
            <w:tcW w:w="1092" w:type="dxa"/>
            <w:vAlign w:val="center"/>
          </w:tcPr>
          <w:p w14:paraId="206D2E10" w14:textId="77777777" w:rsidR="00A27CF2" w:rsidRPr="00047543" w:rsidRDefault="00A27CF2">
            <w:pPr>
              <w:jc w:val="center"/>
              <w:rPr>
                <w:noProof/>
              </w:rPr>
            </w:pPr>
          </w:p>
        </w:tc>
        <w:tc>
          <w:tcPr>
            <w:tcW w:w="4002" w:type="dxa"/>
            <w:vAlign w:val="center"/>
          </w:tcPr>
          <w:p w14:paraId="178CCF71" w14:textId="77777777" w:rsidR="00A27CF2" w:rsidRPr="00047543" w:rsidRDefault="00A27CF2">
            <w:pPr>
              <w:rPr>
                <w:noProof/>
              </w:rPr>
            </w:pPr>
            <w:r w:rsidRPr="00047543">
              <w:rPr>
                <w:noProof/>
                <w:sz w:val="20"/>
              </w:rPr>
              <w:t xml:space="preserve">Nummer </w:t>
            </w:r>
            <w:r w:rsidRPr="00047543">
              <w:rPr>
                <w:noProof/>
              </w:rPr>
              <w:t xml:space="preserve"> </w:t>
            </w:r>
            <w:r w:rsidRPr="00047543">
              <w:rPr>
                <w:noProof/>
              </w:rPr>
              <w:cr/>
            </w:r>
            <w:r w:rsidRPr="00047543">
              <w:rPr>
                <w:noProof/>
              </w:rPr>
              <w:br/>
            </w:r>
          </w:p>
        </w:tc>
        <w:tc>
          <w:tcPr>
            <w:tcW w:w="1092" w:type="dxa"/>
            <w:vAlign w:val="center"/>
          </w:tcPr>
          <w:p w14:paraId="0FFEDB4D" w14:textId="77777777" w:rsidR="00A27CF2" w:rsidRPr="00047543" w:rsidRDefault="00A27CF2">
            <w:pPr>
              <w:jc w:val="center"/>
              <w:rPr>
                <w:noProof/>
              </w:rPr>
            </w:pPr>
            <w:r w:rsidRPr="00047543">
              <w:rPr>
                <w:noProof/>
                <w:sz w:val="18"/>
              </w:rPr>
              <w:t>Diff./Icke-diff</w:t>
            </w:r>
            <w:r w:rsidRPr="00047543">
              <w:rPr>
                <w:rStyle w:val="FootnoteReference"/>
                <w:noProof/>
                <w:sz w:val="18"/>
              </w:rPr>
              <w:footnoteReference w:id="35"/>
            </w:r>
            <w:r w:rsidRPr="00047543">
              <w:rPr>
                <w:noProof/>
              </w:rPr>
              <w:t>.</w:t>
            </w:r>
          </w:p>
        </w:tc>
        <w:tc>
          <w:tcPr>
            <w:tcW w:w="966" w:type="dxa"/>
            <w:vAlign w:val="center"/>
          </w:tcPr>
          <w:p w14:paraId="3F2FC3C2" w14:textId="77777777" w:rsidR="00A27CF2" w:rsidRPr="00047543" w:rsidRDefault="00A27CF2">
            <w:pPr>
              <w:jc w:val="center"/>
              <w:rPr>
                <w:b/>
                <w:noProof/>
                <w:sz w:val="18"/>
              </w:rPr>
            </w:pPr>
            <w:r w:rsidRPr="00047543">
              <w:rPr>
                <w:noProof/>
                <w:sz w:val="18"/>
              </w:rPr>
              <w:t>från Efta-länder</w:t>
            </w:r>
            <w:r w:rsidRPr="00047543">
              <w:rPr>
                <w:rStyle w:val="FootnoteReference"/>
                <w:noProof/>
                <w:sz w:val="18"/>
              </w:rPr>
              <w:footnoteReference w:id="36"/>
            </w:r>
          </w:p>
        </w:tc>
        <w:tc>
          <w:tcPr>
            <w:tcW w:w="1092" w:type="dxa"/>
            <w:vAlign w:val="center"/>
          </w:tcPr>
          <w:p w14:paraId="2675B874" w14:textId="77777777" w:rsidR="00A27CF2" w:rsidRPr="00047543" w:rsidRDefault="00A27CF2">
            <w:pPr>
              <w:jc w:val="center"/>
              <w:rPr>
                <w:noProof/>
                <w:sz w:val="18"/>
              </w:rPr>
            </w:pPr>
            <w:r w:rsidRPr="00047543">
              <w:rPr>
                <w:noProof/>
                <w:sz w:val="18"/>
              </w:rPr>
              <w:t>från kandidatländer och potentiella kandidater</w:t>
            </w:r>
            <w:r w:rsidRPr="00047543">
              <w:rPr>
                <w:rStyle w:val="FootnoteReference"/>
                <w:noProof/>
                <w:sz w:val="18"/>
              </w:rPr>
              <w:footnoteReference w:id="37"/>
            </w:r>
          </w:p>
        </w:tc>
        <w:tc>
          <w:tcPr>
            <w:tcW w:w="966" w:type="dxa"/>
            <w:vAlign w:val="center"/>
          </w:tcPr>
          <w:p w14:paraId="0D31FEDA" w14:textId="77777777" w:rsidR="00A27CF2" w:rsidRPr="00047543" w:rsidRDefault="00A27CF2">
            <w:pPr>
              <w:jc w:val="center"/>
              <w:rPr>
                <w:noProof/>
                <w:sz w:val="18"/>
              </w:rPr>
            </w:pPr>
            <w:r w:rsidRPr="00047543">
              <w:rPr>
                <w:noProof/>
                <w:sz w:val="18"/>
              </w:rPr>
              <w:t>från andra tredjeländer</w:t>
            </w:r>
          </w:p>
        </w:tc>
        <w:tc>
          <w:tcPr>
            <w:tcW w:w="1463" w:type="dxa"/>
            <w:vAlign w:val="center"/>
          </w:tcPr>
          <w:p w14:paraId="520ABA53" w14:textId="77777777" w:rsidR="00A27CF2" w:rsidRPr="00047543" w:rsidRDefault="00A27CF2">
            <w:pPr>
              <w:jc w:val="center"/>
              <w:rPr>
                <w:noProof/>
              </w:rPr>
            </w:pPr>
            <w:r w:rsidRPr="00047543">
              <w:rPr>
                <w:noProof/>
                <w:sz w:val="18"/>
              </w:rPr>
              <w:t>övriga inkomster avsatta för särskilda ändamål</w:t>
            </w:r>
          </w:p>
        </w:tc>
      </w:tr>
      <w:tr w:rsidR="00A27CF2" w:rsidRPr="00047543" w14:paraId="2B207BBC" w14:textId="77777777" w:rsidTr="00B871C4">
        <w:trPr>
          <w:jc w:val="center"/>
        </w:trPr>
        <w:tc>
          <w:tcPr>
            <w:tcW w:w="1092" w:type="dxa"/>
            <w:vAlign w:val="center"/>
          </w:tcPr>
          <w:p w14:paraId="51945E52" w14:textId="77777777" w:rsidR="00A27CF2" w:rsidRPr="00047543" w:rsidRDefault="00A27CF2">
            <w:pPr>
              <w:jc w:val="center"/>
              <w:rPr>
                <w:noProof/>
                <w:color w:val="0000FF"/>
              </w:rPr>
            </w:pPr>
          </w:p>
        </w:tc>
        <w:tc>
          <w:tcPr>
            <w:tcW w:w="4002" w:type="dxa"/>
            <w:vAlign w:val="center"/>
          </w:tcPr>
          <w:p w14:paraId="43F35D8F" w14:textId="77777777" w:rsidR="00A27CF2" w:rsidRPr="00047543" w:rsidRDefault="00A27CF2">
            <w:pPr>
              <w:spacing w:before="60"/>
              <w:rPr>
                <w:noProof/>
              </w:rPr>
            </w:pPr>
            <w:r w:rsidRPr="00047543">
              <w:rPr>
                <w:noProof/>
                <w:sz w:val="22"/>
              </w:rPr>
              <w:t>[XX.YY.YY.YY]</w:t>
            </w:r>
          </w:p>
          <w:p w14:paraId="6A592039" w14:textId="77777777" w:rsidR="00A27CF2" w:rsidRPr="00047543" w:rsidRDefault="00A27CF2">
            <w:pPr>
              <w:spacing w:after="60"/>
              <w:rPr>
                <w:noProof/>
              </w:rPr>
            </w:pPr>
          </w:p>
        </w:tc>
        <w:tc>
          <w:tcPr>
            <w:tcW w:w="1092" w:type="dxa"/>
            <w:vAlign w:val="center"/>
          </w:tcPr>
          <w:p w14:paraId="78360C69" w14:textId="77777777" w:rsidR="00A27CF2" w:rsidRPr="00047543" w:rsidRDefault="00A27CF2">
            <w:pPr>
              <w:jc w:val="center"/>
              <w:rPr>
                <w:noProof/>
                <w:color w:val="0000FF"/>
              </w:rPr>
            </w:pPr>
            <w:r w:rsidRPr="00047543">
              <w:rPr>
                <w:noProof/>
                <w:sz w:val="22"/>
              </w:rPr>
              <w:t>Diff./Icke-diff.</w:t>
            </w:r>
          </w:p>
        </w:tc>
        <w:tc>
          <w:tcPr>
            <w:tcW w:w="966" w:type="dxa"/>
            <w:vAlign w:val="center"/>
          </w:tcPr>
          <w:p w14:paraId="4C8712F4" w14:textId="77777777" w:rsidR="00A27CF2" w:rsidRPr="00047543" w:rsidRDefault="00A27CF2">
            <w:pPr>
              <w:jc w:val="center"/>
              <w:rPr>
                <w:noProof/>
                <w:sz w:val="20"/>
                <w:szCs w:val="20"/>
              </w:rPr>
            </w:pPr>
            <w:r w:rsidRPr="00047543">
              <w:rPr>
                <w:noProof/>
                <w:sz w:val="20"/>
              </w:rPr>
              <w:t>JA/NEJ</w:t>
            </w:r>
          </w:p>
        </w:tc>
        <w:tc>
          <w:tcPr>
            <w:tcW w:w="1092" w:type="dxa"/>
            <w:vAlign w:val="center"/>
          </w:tcPr>
          <w:p w14:paraId="74EEE963" w14:textId="77777777" w:rsidR="00A27CF2" w:rsidRPr="00047543" w:rsidRDefault="00A27CF2">
            <w:pPr>
              <w:jc w:val="center"/>
              <w:rPr>
                <w:noProof/>
                <w:sz w:val="20"/>
                <w:szCs w:val="20"/>
              </w:rPr>
            </w:pPr>
            <w:r w:rsidRPr="00047543">
              <w:rPr>
                <w:noProof/>
                <w:sz w:val="20"/>
              </w:rPr>
              <w:t>JA/NEJ</w:t>
            </w:r>
          </w:p>
        </w:tc>
        <w:tc>
          <w:tcPr>
            <w:tcW w:w="966" w:type="dxa"/>
            <w:vAlign w:val="center"/>
          </w:tcPr>
          <w:p w14:paraId="0C7C7780" w14:textId="77777777" w:rsidR="00A27CF2" w:rsidRPr="00047543" w:rsidRDefault="00A27CF2">
            <w:pPr>
              <w:jc w:val="center"/>
              <w:rPr>
                <w:noProof/>
                <w:sz w:val="20"/>
                <w:szCs w:val="20"/>
              </w:rPr>
            </w:pPr>
            <w:r w:rsidRPr="00047543">
              <w:rPr>
                <w:noProof/>
                <w:sz w:val="20"/>
              </w:rPr>
              <w:t>JA/NEJ</w:t>
            </w:r>
          </w:p>
        </w:tc>
        <w:tc>
          <w:tcPr>
            <w:tcW w:w="1463" w:type="dxa"/>
            <w:vAlign w:val="center"/>
          </w:tcPr>
          <w:p w14:paraId="1E0118C8" w14:textId="77777777" w:rsidR="00A27CF2" w:rsidRPr="00047543" w:rsidRDefault="00A27CF2">
            <w:pPr>
              <w:jc w:val="center"/>
              <w:rPr>
                <w:noProof/>
                <w:sz w:val="20"/>
                <w:szCs w:val="20"/>
              </w:rPr>
            </w:pPr>
            <w:r w:rsidRPr="00047543">
              <w:rPr>
                <w:noProof/>
                <w:sz w:val="20"/>
              </w:rPr>
              <w:t>JA/NEJ</w:t>
            </w:r>
          </w:p>
        </w:tc>
      </w:tr>
      <w:tr w:rsidR="00A27CF2" w:rsidRPr="00047543" w14:paraId="10CE0309" w14:textId="77777777" w:rsidTr="00B871C4">
        <w:trPr>
          <w:jc w:val="center"/>
        </w:trPr>
        <w:tc>
          <w:tcPr>
            <w:tcW w:w="1092" w:type="dxa"/>
            <w:vAlign w:val="center"/>
          </w:tcPr>
          <w:p w14:paraId="1837B54A" w14:textId="77777777" w:rsidR="00A27CF2" w:rsidRPr="00047543" w:rsidRDefault="00A27CF2">
            <w:pPr>
              <w:jc w:val="center"/>
              <w:rPr>
                <w:noProof/>
                <w:color w:val="0000FF"/>
              </w:rPr>
            </w:pPr>
          </w:p>
        </w:tc>
        <w:tc>
          <w:tcPr>
            <w:tcW w:w="4002" w:type="dxa"/>
            <w:vAlign w:val="center"/>
          </w:tcPr>
          <w:p w14:paraId="2C329121" w14:textId="77777777" w:rsidR="00A27CF2" w:rsidRPr="00047543" w:rsidRDefault="00A27CF2">
            <w:pPr>
              <w:spacing w:before="60"/>
              <w:rPr>
                <w:noProof/>
              </w:rPr>
            </w:pPr>
            <w:r w:rsidRPr="00047543">
              <w:rPr>
                <w:noProof/>
                <w:sz w:val="22"/>
              </w:rPr>
              <w:t>[XX.YY.YY.YY]</w:t>
            </w:r>
          </w:p>
          <w:p w14:paraId="2AF67023" w14:textId="77777777" w:rsidR="00A27CF2" w:rsidRPr="00047543" w:rsidRDefault="00A27CF2">
            <w:pPr>
              <w:spacing w:after="60"/>
              <w:rPr>
                <w:noProof/>
              </w:rPr>
            </w:pPr>
          </w:p>
        </w:tc>
        <w:tc>
          <w:tcPr>
            <w:tcW w:w="1092" w:type="dxa"/>
            <w:vAlign w:val="center"/>
          </w:tcPr>
          <w:p w14:paraId="4B38BDB0" w14:textId="77777777" w:rsidR="00A27CF2" w:rsidRPr="00047543" w:rsidRDefault="00A27CF2">
            <w:pPr>
              <w:jc w:val="center"/>
              <w:rPr>
                <w:noProof/>
                <w:color w:val="0000FF"/>
              </w:rPr>
            </w:pPr>
            <w:r w:rsidRPr="00047543">
              <w:rPr>
                <w:noProof/>
                <w:sz w:val="22"/>
              </w:rPr>
              <w:t>Diff./Icke-diff.</w:t>
            </w:r>
          </w:p>
        </w:tc>
        <w:tc>
          <w:tcPr>
            <w:tcW w:w="966" w:type="dxa"/>
            <w:vAlign w:val="center"/>
          </w:tcPr>
          <w:p w14:paraId="5AD1F402" w14:textId="77777777" w:rsidR="00A27CF2" w:rsidRPr="00047543" w:rsidRDefault="00A27CF2">
            <w:pPr>
              <w:jc w:val="center"/>
              <w:rPr>
                <w:noProof/>
                <w:sz w:val="20"/>
                <w:szCs w:val="20"/>
              </w:rPr>
            </w:pPr>
            <w:r w:rsidRPr="00047543">
              <w:rPr>
                <w:noProof/>
                <w:sz w:val="20"/>
              </w:rPr>
              <w:t>JA/NEJ</w:t>
            </w:r>
          </w:p>
        </w:tc>
        <w:tc>
          <w:tcPr>
            <w:tcW w:w="1092" w:type="dxa"/>
            <w:vAlign w:val="center"/>
          </w:tcPr>
          <w:p w14:paraId="438AE038" w14:textId="77777777" w:rsidR="00A27CF2" w:rsidRPr="00047543" w:rsidRDefault="00A27CF2">
            <w:pPr>
              <w:jc w:val="center"/>
              <w:rPr>
                <w:noProof/>
                <w:sz w:val="20"/>
                <w:szCs w:val="20"/>
              </w:rPr>
            </w:pPr>
            <w:r w:rsidRPr="00047543">
              <w:rPr>
                <w:noProof/>
                <w:sz w:val="20"/>
              </w:rPr>
              <w:t>JA/NEJ</w:t>
            </w:r>
          </w:p>
        </w:tc>
        <w:tc>
          <w:tcPr>
            <w:tcW w:w="966" w:type="dxa"/>
            <w:vAlign w:val="center"/>
          </w:tcPr>
          <w:p w14:paraId="41C8A8F9" w14:textId="77777777" w:rsidR="00A27CF2" w:rsidRPr="00047543" w:rsidRDefault="00A27CF2">
            <w:pPr>
              <w:jc w:val="center"/>
              <w:rPr>
                <w:noProof/>
                <w:sz w:val="20"/>
                <w:szCs w:val="20"/>
              </w:rPr>
            </w:pPr>
            <w:r w:rsidRPr="00047543">
              <w:rPr>
                <w:noProof/>
                <w:sz w:val="20"/>
              </w:rPr>
              <w:t>JA/NEJ</w:t>
            </w:r>
          </w:p>
        </w:tc>
        <w:tc>
          <w:tcPr>
            <w:tcW w:w="1463" w:type="dxa"/>
            <w:vAlign w:val="center"/>
          </w:tcPr>
          <w:p w14:paraId="4A07301F" w14:textId="77777777" w:rsidR="00A27CF2" w:rsidRPr="00047543" w:rsidRDefault="00A27CF2">
            <w:pPr>
              <w:jc w:val="center"/>
              <w:rPr>
                <w:noProof/>
                <w:sz w:val="20"/>
                <w:szCs w:val="20"/>
              </w:rPr>
            </w:pPr>
            <w:r w:rsidRPr="00047543">
              <w:rPr>
                <w:noProof/>
                <w:sz w:val="20"/>
              </w:rPr>
              <w:t>JA/NEJ</w:t>
            </w:r>
          </w:p>
        </w:tc>
      </w:tr>
      <w:tr w:rsidR="00A27CF2" w:rsidRPr="00047543" w14:paraId="3CED44AB" w14:textId="77777777" w:rsidTr="00B871C4">
        <w:trPr>
          <w:jc w:val="center"/>
        </w:trPr>
        <w:tc>
          <w:tcPr>
            <w:tcW w:w="1092" w:type="dxa"/>
            <w:vAlign w:val="center"/>
          </w:tcPr>
          <w:p w14:paraId="4A5727B7" w14:textId="77777777" w:rsidR="00A27CF2" w:rsidRPr="00047543" w:rsidRDefault="00A27CF2">
            <w:pPr>
              <w:jc w:val="center"/>
              <w:rPr>
                <w:noProof/>
                <w:color w:val="0000FF"/>
              </w:rPr>
            </w:pPr>
          </w:p>
        </w:tc>
        <w:tc>
          <w:tcPr>
            <w:tcW w:w="4002" w:type="dxa"/>
            <w:vAlign w:val="center"/>
          </w:tcPr>
          <w:p w14:paraId="0C9B8135" w14:textId="77777777" w:rsidR="00A27CF2" w:rsidRPr="00047543" w:rsidRDefault="00A27CF2">
            <w:pPr>
              <w:spacing w:before="60"/>
              <w:rPr>
                <w:noProof/>
              </w:rPr>
            </w:pPr>
            <w:r w:rsidRPr="00047543">
              <w:rPr>
                <w:noProof/>
                <w:sz w:val="22"/>
              </w:rPr>
              <w:t>[XX.YY.YY.YY]</w:t>
            </w:r>
          </w:p>
          <w:p w14:paraId="44B88D0B" w14:textId="77777777" w:rsidR="00A27CF2" w:rsidRPr="00047543" w:rsidRDefault="00A27CF2">
            <w:pPr>
              <w:spacing w:after="60"/>
              <w:rPr>
                <w:noProof/>
              </w:rPr>
            </w:pPr>
          </w:p>
        </w:tc>
        <w:tc>
          <w:tcPr>
            <w:tcW w:w="1092" w:type="dxa"/>
            <w:vAlign w:val="center"/>
          </w:tcPr>
          <w:p w14:paraId="7707C113" w14:textId="77777777" w:rsidR="00A27CF2" w:rsidRPr="00047543" w:rsidRDefault="00A27CF2">
            <w:pPr>
              <w:jc w:val="center"/>
              <w:rPr>
                <w:noProof/>
                <w:color w:val="0000FF"/>
              </w:rPr>
            </w:pPr>
            <w:r w:rsidRPr="00047543">
              <w:rPr>
                <w:noProof/>
                <w:sz w:val="22"/>
              </w:rPr>
              <w:t>Diff./Icke-diff.</w:t>
            </w:r>
          </w:p>
        </w:tc>
        <w:tc>
          <w:tcPr>
            <w:tcW w:w="966" w:type="dxa"/>
            <w:vAlign w:val="center"/>
          </w:tcPr>
          <w:p w14:paraId="7F86ED2F" w14:textId="77777777" w:rsidR="00A27CF2" w:rsidRPr="00047543" w:rsidRDefault="00A27CF2">
            <w:pPr>
              <w:jc w:val="center"/>
              <w:rPr>
                <w:noProof/>
                <w:sz w:val="20"/>
                <w:szCs w:val="20"/>
              </w:rPr>
            </w:pPr>
            <w:r w:rsidRPr="00047543">
              <w:rPr>
                <w:noProof/>
                <w:sz w:val="20"/>
              </w:rPr>
              <w:t>JA/NEJ</w:t>
            </w:r>
          </w:p>
        </w:tc>
        <w:tc>
          <w:tcPr>
            <w:tcW w:w="1092" w:type="dxa"/>
            <w:vAlign w:val="center"/>
          </w:tcPr>
          <w:p w14:paraId="76462ADE" w14:textId="77777777" w:rsidR="00A27CF2" w:rsidRPr="00047543" w:rsidRDefault="00A27CF2">
            <w:pPr>
              <w:jc w:val="center"/>
              <w:rPr>
                <w:noProof/>
                <w:sz w:val="20"/>
                <w:szCs w:val="20"/>
              </w:rPr>
            </w:pPr>
            <w:r w:rsidRPr="00047543">
              <w:rPr>
                <w:noProof/>
                <w:sz w:val="20"/>
              </w:rPr>
              <w:t>JA/NEJ</w:t>
            </w:r>
          </w:p>
        </w:tc>
        <w:tc>
          <w:tcPr>
            <w:tcW w:w="966" w:type="dxa"/>
            <w:vAlign w:val="center"/>
          </w:tcPr>
          <w:p w14:paraId="7CE77E28" w14:textId="77777777" w:rsidR="00A27CF2" w:rsidRPr="00047543" w:rsidRDefault="00A27CF2">
            <w:pPr>
              <w:jc w:val="center"/>
              <w:rPr>
                <w:noProof/>
                <w:sz w:val="20"/>
                <w:szCs w:val="20"/>
              </w:rPr>
            </w:pPr>
            <w:r w:rsidRPr="00047543">
              <w:rPr>
                <w:noProof/>
                <w:sz w:val="20"/>
              </w:rPr>
              <w:t>JA/NEJ</w:t>
            </w:r>
          </w:p>
        </w:tc>
        <w:tc>
          <w:tcPr>
            <w:tcW w:w="1463" w:type="dxa"/>
            <w:vAlign w:val="center"/>
          </w:tcPr>
          <w:p w14:paraId="57DFB9F1" w14:textId="77777777" w:rsidR="00A27CF2" w:rsidRPr="00047543" w:rsidRDefault="00A27CF2">
            <w:pPr>
              <w:jc w:val="center"/>
              <w:rPr>
                <w:noProof/>
                <w:sz w:val="20"/>
                <w:szCs w:val="20"/>
              </w:rPr>
            </w:pPr>
            <w:r w:rsidRPr="00047543">
              <w:rPr>
                <w:noProof/>
                <w:sz w:val="20"/>
              </w:rPr>
              <w:t>JA/NEJ</w:t>
            </w:r>
          </w:p>
        </w:tc>
      </w:tr>
    </w:tbl>
    <w:p w14:paraId="75702018" w14:textId="77777777" w:rsidR="00A27CF2" w:rsidRPr="00047543" w:rsidRDefault="00A27CF2" w:rsidP="00A27CF2">
      <w:pPr>
        <w:pStyle w:val="ListBullet1"/>
        <w:rPr>
          <w:noProof/>
        </w:rPr>
      </w:pPr>
      <w:r w:rsidRPr="00047543">
        <w:rPr>
          <w:noProof/>
        </w:rPr>
        <w:t xml:space="preserve">Nya budgetposter som föreslås </w:t>
      </w:r>
    </w:p>
    <w:p w14:paraId="698C3FF6" w14:textId="77777777" w:rsidR="00A27CF2" w:rsidRPr="00047543" w:rsidRDefault="00A27CF2" w:rsidP="00A27CF2">
      <w:pPr>
        <w:pStyle w:val="Text1"/>
        <w:rPr>
          <w:i/>
          <w:noProof/>
          <w:sz w:val="20"/>
        </w:rPr>
      </w:pPr>
      <w:r w:rsidRPr="00047543">
        <w:rPr>
          <w:i/>
          <w:noProof/>
        </w:rPr>
        <w:t xml:space="preserve">Redovisa enligt de berörda rubrikerna i den fleråriga budgetramen </w:t>
      </w:r>
      <w:r w:rsidRPr="00047543">
        <w:rPr>
          <w:i/>
          <w:noProof/>
          <w:u w:val="single"/>
        </w:rPr>
        <w:t>i nummerföljd</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A27CF2" w:rsidRPr="00047543" w14:paraId="468F6010" w14:textId="77777777">
        <w:trPr>
          <w:jc w:val="center"/>
        </w:trPr>
        <w:tc>
          <w:tcPr>
            <w:tcW w:w="1080" w:type="dxa"/>
            <w:vMerge w:val="restart"/>
            <w:vAlign w:val="center"/>
          </w:tcPr>
          <w:p w14:paraId="447EBB53" w14:textId="77777777" w:rsidR="00A27CF2" w:rsidRPr="00047543" w:rsidRDefault="00A27CF2">
            <w:pPr>
              <w:spacing w:before="60" w:after="60"/>
              <w:jc w:val="center"/>
              <w:rPr>
                <w:noProof/>
                <w:sz w:val="18"/>
                <w:szCs w:val="18"/>
              </w:rPr>
            </w:pPr>
            <w:r w:rsidRPr="00047543">
              <w:rPr>
                <w:noProof/>
                <w:sz w:val="18"/>
              </w:rPr>
              <w:t>Rubrik i den fleråriga budgetramen</w:t>
            </w:r>
          </w:p>
        </w:tc>
        <w:tc>
          <w:tcPr>
            <w:tcW w:w="3960" w:type="dxa"/>
            <w:vAlign w:val="center"/>
          </w:tcPr>
          <w:p w14:paraId="4CE53BC3" w14:textId="77777777" w:rsidR="00A27CF2" w:rsidRPr="00047543" w:rsidRDefault="00A27CF2">
            <w:pPr>
              <w:spacing w:before="60" w:after="60"/>
              <w:jc w:val="center"/>
              <w:rPr>
                <w:noProof/>
              </w:rPr>
            </w:pPr>
            <w:r w:rsidRPr="00047543">
              <w:rPr>
                <w:noProof/>
                <w:sz w:val="20"/>
              </w:rPr>
              <w:t>Budgetpost</w:t>
            </w:r>
          </w:p>
        </w:tc>
        <w:tc>
          <w:tcPr>
            <w:tcW w:w="1080" w:type="dxa"/>
            <w:vAlign w:val="center"/>
          </w:tcPr>
          <w:p w14:paraId="1132952A" w14:textId="77777777" w:rsidR="00A27CF2" w:rsidRPr="00047543" w:rsidRDefault="00A27CF2">
            <w:pPr>
              <w:spacing w:before="60" w:after="60"/>
              <w:jc w:val="center"/>
              <w:rPr>
                <w:noProof/>
              </w:rPr>
            </w:pPr>
            <w:r w:rsidRPr="00047543">
              <w:rPr>
                <w:noProof/>
                <w:sz w:val="18"/>
              </w:rPr>
              <w:t>Typ av utgifter</w:t>
            </w:r>
          </w:p>
        </w:tc>
        <w:tc>
          <w:tcPr>
            <w:tcW w:w="4440" w:type="dxa"/>
            <w:gridSpan w:val="4"/>
            <w:vAlign w:val="center"/>
          </w:tcPr>
          <w:p w14:paraId="5C912042" w14:textId="77777777" w:rsidR="00A27CF2" w:rsidRPr="00047543" w:rsidRDefault="00A27CF2">
            <w:pPr>
              <w:spacing w:before="60" w:after="60"/>
              <w:jc w:val="center"/>
              <w:rPr>
                <w:noProof/>
              </w:rPr>
            </w:pPr>
            <w:r w:rsidRPr="00047543">
              <w:rPr>
                <w:noProof/>
                <w:sz w:val="20"/>
              </w:rPr>
              <w:t xml:space="preserve">Bidrag </w:t>
            </w:r>
          </w:p>
        </w:tc>
      </w:tr>
      <w:tr w:rsidR="00A27CF2" w:rsidRPr="00047543" w14:paraId="0CE90ACE" w14:textId="77777777">
        <w:trPr>
          <w:cantSplit/>
          <w:jc w:val="center"/>
        </w:trPr>
        <w:tc>
          <w:tcPr>
            <w:tcW w:w="1080" w:type="dxa"/>
            <w:vMerge/>
            <w:vAlign w:val="center"/>
          </w:tcPr>
          <w:p w14:paraId="056528B9" w14:textId="77777777" w:rsidR="00A27CF2" w:rsidRPr="00047543" w:rsidRDefault="00A27CF2">
            <w:pPr>
              <w:jc w:val="center"/>
              <w:rPr>
                <w:noProof/>
              </w:rPr>
            </w:pPr>
          </w:p>
        </w:tc>
        <w:tc>
          <w:tcPr>
            <w:tcW w:w="3960" w:type="dxa"/>
            <w:vAlign w:val="center"/>
          </w:tcPr>
          <w:p w14:paraId="14D7EBB2" w14:textId="77777777" w:rsidR="00A27CF2" w:rsidRPr="00047543" w:rsidRDefault="00A27CF2">
            <w:pPr>
              <w:rPr>
                <w:noProof/>
              </w:rPr>
            </w:pPr>
            <w:r w:rsidRPr="00047543">
              <w:rPr>
                <w:noProof/>
                <w:sz w:val="20"/>
              </w:rPr>
              <w:t xml:space="preserve">Nummer </w:t>
            </w:r>
            <w:r w:rsidRPr="00047543">
              <w:rPr>
                <w:noProof/>
              </w:rPr>
              <w:t xml:space="preserve"> </w:t>
            </w:r>
            <w:r w:rsidRPr="00047543">
              <w:rPr>
                <w:noProof/>
              </w:rPr>
              <w:cr/>
            </w:r>
            <w:r w:rsidRPr="00047543">
              <w:rPr>
                <w:noProof/>
              </w:rPr>
              <w:br/>
            </w:r>
          </w:p>
        </w:tc>
        <w:tc>
          <w:tcPr>
            <w:tcW w:w="1080" w:type="dxa"/>
            <w:vAlign w:val="center"/>
          </w:tcPr>
          <w:p w14:paraId="3A79BEC4" w14:textId="77777777" w:rsidR="00A27CF2" w:rsidRPr="00047543" w:rsidRDefault="00A27CF2">
            <w:pPr>
              <w:jc w:val="center"/>
              <w:rPr>
                <w:noProof/>
              </w:rPr>
            </w:pPr>
            <w:r w:rsidRPr="00047543">
              <w:rPr>
                <w:noProof/>
                <w:sz w:val="18"/>
              </w:rPr>
              <w:t>Diff./Icke-diff.</w:t>
            </w:r>
          </w:p>
        </w:tc>
        <w:tc>
          <w:tcPr>
            <w:tcW w:w="956" w:type="dxa"/>
            <w:vAlign w:val="center"/>
          </w:tcPr>
          <w:p w14:paraId="6B983A65" w14:textId="77777777" w:rsidR="00A27CF2" w:rsidRPr="00047543" w:rsidRDefault="00A27CF2">
            <w:pPr>
              <w:jc w:val="center"/>
              <w:rPr>
                <w:noProof/>
                <w:sz w:val="18"/>
              </w:rPr>
            </w:pPr>
            <w:r w:rsidRPr="00047543">
              <w:rPr>
                <w:noProof/>
                <w:sz w:val="18"/>
              </w:rPr>
              <w:t>från Efta-länder</w:t>
            </w:r>
          </w:p>
        </w:tc>
        <w:tc>
          <w:tcPr>
            <w:tcW w:w="1080" w:type="dxa"/>
            <w:vAlign w:val="center"/>
          </w:tcPr>
          <w:p w14:paraId="4A0522B0" w14:textId="77777777" w:rsidR="00A27CF2" w:rsidRPr="00047543" w:rsidRDefault="00A27CF2">
            <w:pPr>
              <w:jc w:val="center"/>
              <w:rPr>
                <w:noProof/>
                <w:sz w:val="18"/>
              </w:rPr>
            </w:pPr>
            <w:r w:rsidRPr="00047543">
              <w:rPr>
                <w:noProof/>
                <w:sz w:val="18"/>
              </w:rPr>
              <w:t>från kandidatländer och potentiella kandidater</w:t>
            </w:r>
          </w:p>
        </w:tc>
        <w:tc>
          <w:tcPr>
            <w:tcW w:w="956" w:type="dxa"/>
            <w:vAlign w:val="center"/>
          </w:tcPr>
          <w:p w14:paraId="4210864A" w14:textId="77777777" w:rsidR="00A27CF2" w:rsidRPr="00047543" w:rsidRDefault="00A27CF2">
            <w:pPr>
              <w:jc w:val="center"/>
              <w:rPr>
                <w:noProof/>
                <w:sz w:val="18"/>
              </w:rPr>
            </w:pPr>
            <w:r w:rsidRPr="00047543">
              <w:rPr>
                <w:noProof/>
                <w:sz w:val="18"/>
              </w:rPr>
              <w:t>från andra tredjeländer</w:t>
            </w:r>
          </w:p>
        </w:tc>
        <w:tc>
          <w:tcPr>
            <w:tcW w:w="1448" w:type="dxa"/>
            <w:vAlign w:val="center"/>
          </w:tcPr>
          <w:p w14:paraId="0EFCA23F" w14:textId="77777777" w:rsidR="00A27CF2" w:rsidRPr="00047543" w:rsidRDefault="00A27CF2">
            <w:pPr>
              <w:jc w:val="center"/>
              <w:rPr>
                <w:noProof/>
              </w:rPr>
            </w:pPr>
            <w:r w:rsidRPr="00047543">
              <w:rPr>
                <w:noProof/>
                <w:sz w:val="18"/>
              </w:rPr>
              <w:t xml:space="preserve">övriga inkomster avsatta för särskilda ändamål </w:t>
            </w:r>
          </w:p>
        </w:tc>
      </w:tr>
      <w:tr w:rsidR="00A27CF2" w:rsidRPr="00047543" w14:paraId="7C2F5700" w14:textId="77777777">
        <w:trPr>
          <w:cantSplit/>
          <w:jc w:val="center"/>
        </w:trPr>
        <w:tc>
          <w:tcPr>
            <w:tcW w:w="1080" w:type="dxa"/>
            <w:vAlign w:val="center"/>
          </w:tcPr>
          <w:p w14:paraId="635031FD" w14:textId="77777777" w:rsidR="00A27CF2" w:rsidRPr="00047543" w:rsidRDefault="00A27CF2">
            <w:pPr>
              <w:jc w:val="center"/>
              <w:rPr>
                <w:noProof/>
                <w:color w:val="0000FF"/>
              </w:rPr>
            </w:pPr>
          </w:p>
        </w:tc>
        <w:tc>
          <w:tcPr>
            <w:tcW w:w="3960" w:type="dxa"/>
            <w:vAlign w:val="center"/>
          </w:tcPr>
          <w:p w14:paraId="169A96BF" w14:textId="77777777" w:rsidR="00A27CF2" w:rsidRPr="00047543" w:rsidRDefault="00A27CF2">
            <w:pPr>
              <w:spacing w:before="60"/>
              <w:rPr>
                <w:noProof/>
              </w:rPr>
            </w:pPr>
            <w:r w:rsidRPr="00047543">
              <w:rPr>
                <w:noProof/>
                <w:sz w:val="22"/>
              </w:rPr>
              <w:t>[XX.YY.YY.YY]</w:t>
            </w:r>
          </w:p>
          <w:p w14:paraId="4395DD13" w14:textId="77777777" w:rsidR="00A27CF2" w:rsidRPr="00047543" w:rsidRDefault="00A27CF2">
            <w:pPr>
              <w:spacing w:after="60"/>
              <w:rPr>
                <w:noProof/>
              </w:rPr>
            </w:pPr>
          </w:p>
        </w:tc>
        <w:tc>
          <w:tcPr>
            <w:tcW w:w="1080" w:type="dxa"/>
            <w:vAlign w:val="center"/>
          </w:tcPr>
          <w:p w14:paraId="674F0AE0" w14:textId="77777777" w:rsidR="00A27CF2" w:rsidRPr="00047543" w:rsidRDefault="00A27CF2">
            <w:pPr>
              <w:jc w:val="center"/>
              <w:rPr>
                <w:noProof/>
                <w:color w:val="0000FF"/>
              </w:rPr>
            </w:pPr>
            <w:r w:rsidRPr="00047543">
              <w:rPr>
                <w:noProof/>
                <w:sz w:val="22"/>
              </w:rPr>
              <w:t>Diff./Icke-diff.</w:t>
            </w:r>
          </w:p>
        </w:tc>
        <w:tc>
          <w:tcPr>
            <w:tcW w:w="956" w:type="dxa"/>
            <w:vAlign w:val="center"/>
          </w:tcPr>
          <w:p w14:paraId="5E611F92" w14:textId="77777777" w:rsidR="00A27CF2" w:rsidRPr="00047543" w:rsidRDefault="00A27CF2">
            <w:pPr>
              <w:jc w:val="center"/>
              <w:rPr>
                <w:noProof/>
                <w:sz w:val="20"/>
                <w:szCs w:val="20"/>
              </w:rPr>
            </w:pPr>
            <w:r w:rsidRPr="00047543">
              <w:rPr>
                <w:noProof/>
                <w:sz w:val="20"/>
              </w:rPr>
              <w:t>JA/NEJ</w:t>
            </w:r>
          </w:p>
        </w:tc>
        <w:tc>
          <w:tcPr>
            <w:tcW w:w="1080" w:type="dxa"/>
            <w:vAlign w:val="center"/>
          </w:tcPr>
          <w:p w14:paraId="4F0508F8" w14:textId="77777777" w:rsidR="00A27CF2" w:rsidRPr="00047543" w:rsidRDefault="00A27CF2">
            <w:pPr>
              <w:jc w:val="center"/>
              <w:rPr>
                <w:noProof/>
                <w:sz w:val="20"/>
                <w:szCs w:val="20"/>
              </w:rPr>
            </w:pPr>
            <w:r w:rsidRPr="00047543">
              <w:rPr>
                <w:noProof/>
                <w:sz w:val="20"/>
              </w:rPr>
              <w:t>JA/NEJ</w:t>
            </w:r>
          </w:p>
        </w:tc>
        <w:tc>
          <w:tcPr>
            <w:tcW w:w="956" w:type="dxa"/>
            <w:vAlign w:val="center"/>
          </w:tcPr>
          <w:p w14:paraId="0F35DF46" w14:textId="77777777" w:rsidR="00A27CF2" w:rsidRPr="00047543" w:rsidRDefault="00A27CF2">
            <w:pPr>
              <w:jc w:val="center"/>
              <w:rPr>
                <w:noProof/>
                <w:sz w:val="20"/>
                <w:szCs w:val="20"/>
              </w:rPr>
            </w:pPr>
            <w:r w:rsidRPr="00047543">
              <w:rPr>
                <w:noProof/>
                <w:sz w:val="20"/>
              </w:rPr>
              <w:t>JA/NEJ</w:t>
            </w:r>
          </w:p>
        </w:tc>
        <w:tc>
          <w:tcPr>
            <w:tcW w:w="1448" w:type="dxa"/>
            <w:vAlign w:val="center"/>
          </w:tcPr>
          <w:p w14:paraId="20C3375B" w14:textId="77777777" w:rsidR="00A27CF2" w:rsidRPr="00047543" w:rsidRDefault="00A27CF2">
            <w:pPr>
              <w:jc w:val="center"/>
              <w:rPr>
                <w:noProof/>
                <w:sz w:val="20"/>
                <w:szCs w:val="20"/>
              </w:rPr>
            </w:pPr>
            <w:r w:rsidRPr="00047543">
              <w:rPr>
                <w:noProof/>
                <w:sz w:val="20"/>
              </w:rPr>
              <w:t>JA/NEJ</w:t>
            </w:r>
          </w:p>
        </w:tc>
      </w:tr>
      <w:tr w:rsidR="00A27CF2" w:rsidRPr="00047543" w14:paraId="0548E218" w14:textId="77777777">
        <w:trPr>
          <w:cantSplit/>
          <w:jc w:val="center"/>
        </w:trPr>
        <w:tc>
          <w:tcPr>
            <w:tcW w:w="1080" w:type="dxa"/>
            <w:vAlign w:val="center"/>
          </w:tcPr>
          <w:p w14:paraId="3F299D00" w14:textId="77777777" w:rsidR="00A27CF2" w:rsidRPr="00047543" w:rsidRDefault="00A27CF2">
            <w:pPr>
              <w:jc w:val="center"/>
              <w:rPr>
                <w:noProof/>
                <w:color w:val="0000FF"/>
              </w:rPr>
            </w:pPr>
          </w:p>
        </w:tc>
        <w:tc>
          <w:tcPr>
            <w:tcW w:w="3960" w:type="dxa"/>
            <w:vAlign w:val="center"/>
          </w:tcPr>
          <w:p w14:paraId="3A78E889" w14:textId="77777777" w:rsidR="00A27CF2" w:rsidRPr="00047543" w:rsidRDefault="00A27CF2">
            <w:pPr>
              <w:spacing w:before="60"/>
              <w:rPr>
                <w:noProof/>
              </w:rPr>
            </w:pPr>
            <w:r w:rsidRPr="00047543">
              <w:rPr>
                <w:noProof/>
                <w:sz w:val="22"/>
              </w:rPr>
              <w:t>[XX.YY.YY.YY]</w:t>
            </w:r>
          </w:p>
          <w:p w14:paraId="4B7D99F3" w14:textId="77777777" w:rsidR="00A27CF2" w:rsidRPr="00047543" w:rsidRDefault="00A27CF2">
            <w:pPr>
              <w:spacing w:after="60"/>
              <w:rPr>
                <w:noProof/>
              </w:rPr>
            </w:pPr>
          </w:p>
        </w:tc>
        <w:tc>
          <w:tcPr>
            <w:tcW w:w="1080" w:type="dxa"/>
            <w:vAlign w:val="center"/>
          </w:tcPr>
          <w:p w14:paraId="2C87D260" w14:textId="77777777" w:rsidR="00A27CF2" w:rsidRPr="00047543" w:rsidRDefault="00A27CF2">
            <w:pPr>
              <w:jc w:val="center"/>
              <w:rPr>
                <w:noProof/>
                <w:color w:val="0000FF"/>
              </w:rPr>
            </w:pPr>
            <w:r w:rsidRPr="00047543">
              <w:rPr>
                <w:noProof/>
                <w:sz w:val="22"/>
              </w:rPr>
              <w:t>Diff./Icke-diff.</w:t>
            </w:r>
          </w:p>
        </w:tc>
        <w:tc>
          <w:tcPr>
            <w:tcW w:w="956" w:type="dxa"/>
            <w:vAlign w:val="center"/>
          </w:tcPr>
          <w:p w14:paraId="719E7135" w14:textId="77777777" w:rsidR="00A27CF2" w:rsidRPr="00047543" w:rsidRDefault="00A27CF2">
            <w:pPr>
              <w:jc w:val="center"/>
              <w:rPr>
                <w:noProof/>
                <w:sz w:val="20"/>
                <w:szCs w:val="20"/>
              </w:rPr>
            </w:pPr>
            <w:r w:rsidRPr="00047543">
              <w:rPr>
                <w:noProof/>
                <w:sz w:val="20"/>
              </w:rPr>
              <w:t>JA/NEJ</w:t>
            </w:r>
          </w:p>
        </w:tc>
        <w:tc>
          <w:tcPr>
            <w:tcW w:w="1080" w:type="dxa"/>
            <w:vAlign w:val="center"/>
          </w:tcPr>
          <w:p w14:paraId="6669F144" w14:textId="77777777" w:rsidR="00A27CF2" w:rsidRPr="00047543" w:rsidRDefault="00A27CF2">
            <w:pPr>
              <w:jc w:val="center"/>
              <w:rPr>
                <w:noProof/>
                <w:sz w:val="20"/>
                <w:szCs w:val="20"/>
              </w:rPr>
            </w:pPr>
            <w:r w:rsidRPr="00047543">
              <w:rPr>
                <w:noProof/>
                <w:sz w:val="20"/>
              </w:rPr>
              <w:t>JA/NEJ</w:t>
            </w:r>
          </w:p>
        </w:tc>
        <w:tc>
          <w:tcPr>
            <w:tcW w:w="956" w:type="dxa"/>
            <w:vAlign w:val="center"/>
          </w:tcPr>
          <w:p w14:paraId="0959B704" w14:textId="77777777" w:rsidR="00A27CF2" w:rsidRPr="00047543" w:rsidRDefault="00A27CF2">
            <w:pPr>
              <w:jc w:val="center"/>
              <w:rPr>
                <w:noProof/>
                <w:sz w:val="20"/>
                <w:szCs w:val="20"/>
              </w:rPr>
            </w:pPr>
            <w:r w:rsidRPr="00047543">
              <w:rPr>
                <w:noProof/>
                <w:sz w:val="20"/>
              </w:rPr>
              <w:t>JA/NEJ</w:t>
            </w:r>
          </w:p>
        </w:tc>
        <w:tc>
          <w:tcPr>
            <w:tcW w:w="1448" w:type="dxa"/>
            <w:vAlign w:val="center"/>
          </w:tcPr>
          <w:p w14:paraId="51CECADA" w14:textId="77777777" w:rsidR="00A27CF2" w:rsidRPr="00047543" w:rsidRDefault="00A27CF2">
            <w:pPr>
              <w:jc w:val="center"/>
              <w:rPr>
                <w:noProof/>
                <w:sz w:val="20"/>
                <w:szCs w:val="20"/>
              </w:rPr>
            </w:pPr>
            <w:r w:rsidRPr="00047543">
              <w:rPr>
                <w:noProof/>
                <w:sz w:val="20"/>
              </w:rPr>
              <w:t>JA/NEJ</w:t>
            </w:r>
          </w:p>
        </w:tc>
      </w:tr>
      <w:tr w:rsidR="00A27CF2" w:rsidRPr="00047543" w14:paraId="016FB467" w14:textId="77777777">
        <w:trPr>
          <w:jc w:val="center"/>
        </w:trPr>
        <w:tc>
          <w:tcPr>
            <w:tcW w:w="1080" w:type="dxa"/>
            <w:vAlign w:val="center"/>
          </w:tcPr>
          <w:p w14:paraId="58165E7A" w14:textId="77777777" w:rsidR="00A27CF2" w:rsidRPr="00047543" w:rsidRDefault="00A27CF2">
            <w:pPr>
              <w:jc w:val="center"/>
              <w:rPr>
                <w:noProof/>
                <w:color w:val="0000FF"/>
              </w:rPr>
            </w:pPr>
          </w:p>
        </w:tc>
        <w:tc>
          <w:tcPr>
            <w:tcW w:w="3960" w:type="dxa"/>
            <w:vAlign w:val="center"/>
          </w:tcPr>
          <w:p w14:paraId="6D334B27" w14:textId="77777777" w:rsidR="00A27CF2" w:rsidRPr="00047543" w:rsidRDefault="00A27CF2">
            <w:pPr>
              <w:spacing w:before="60"/>
              <w:rPr>
                <w:noProof/>
              </w:rPr>
            </w:pPr>
            <w:r w:rsidRPr="00047543">
              <w:rPr>
                <w:noProof/>
                <w:sz w:val="22"/>
              </w:rPr>
              <w:t>[XX.YY.YY.YY]</w:t>
            </w:r>
          </w:p>
          <w:p w14:paraId="63D71964" w14:textId="77777777" w:rsidR="00A27CF2" w:rsidRPr="00047543" w:rsidRDefault="00A27CF2">
            <w:pPr>
              <w:spacing w:after="60"/>
              <w:rPr>
                <w:noProof/>
                <w:color w:val="0000FF"/>
              </w:rPr>
            </w:pPr>
          </w:p>
        </w:tc>
        <w:tc>
          <w:tcPr>
            <w:tcW w:w="1080" w:type="dxa"/>
            <w:vAlign w:val="center"/>
          </w:tcPr>
          <w:p w14:paraId="4DF605D7" w14:textId="77777777" w:rsidR="00A27CF2" w:rsidRPr="00047543" w:rsidRDefault="00A27CF2">
            <w:pPr>
              <w:jc w:val="center"/>
              <w:rPr>
                <w:noProof/>
                <w:color w:val="0000FF"/>
              </w:rPr>
            </w:pPr>
            <w:r w:rsidRPr="00047543">
              <w:rPr>
                <w:noProof/>
                <w:sz w:val="22"/>
              </w:rPr>
              <w:t>Diff./Icke-diff.</w:t>
            </w:r>
          </w:p>
        </w:tc>
        <w:tc>
          <w:tcPr>
            <w:tcW w:w="956" w:type="dxa"/>
            <w:vAlign w:val="center"/>
          </w:tcPr>
          <w:p w14:paraId="724AF440" w14:textId="77777777" w:rsidR="00A27CF2" w:rsidRPr="00047543" w:rsidRDefault="00A27CF2">
            <w:pPr>
              <w:jc w:val="center"/>
              <w:rPr>
                <w:noProof/>
                <w:sz w:val="20"/>
                <w:szCs w:val="20"/>
              </w:rPr>
            </w:pPr>
            <w:r w:rsidRPr="00047543">
              <w:rPr>
                <w:noProof/>
                <w:sz w:val="20"/>
              </w:rPr>
              <w:t>JA/NEJ</w:t>
            </w:r>
          </w:p>
        </w:tc>
        <w:tc>
          <w:tcPr>
            <w:tcW w:w="1080" w:type="dxa"/>
            <w:vAlign w:val="center"/>
          </w:tcPr>
          <w:p w14:paraId="408931B6" w14:textId="77777777" w:rsidR="00A27CF2" w:rsidRPr="00047543" w:rsidRDefault="00A27CF2">
            <w:pPr>
              <w:jc w:val="center"/>
              <w:rPr>
                <w:noProof/>
                <w:color w:val="0000FF"/>
                <w:sz w:val="20"/>
                <w:szCs w:val="20"/>
              </w:rPr>
            </w:pPr>
            <w:r w:rsidRPr="00047543">
              <w:rPr>
                <w:noProof/>
                <w:sz w:val="20"/>
              </w:rPr>
              <w:t>JA/NEJ</w:t>
            </w:r>
          </w:p>
        </w:tc>
        <w:tc>
          <w:tcPr>
            <w:tcW w:w="956" w:type="dxa"/>
            <w:vAlign w:val="center"/>
          </w:tcPr>
          <w:p w14:paraId="6A44F3B3" w14:textId="77777777" w:rsidR="00A27CF2" w:rsidRPr="00047543" w:rsidRDefault="00A27CF2">
            <w:pPr>
              <w:jc w:val="center"/>
              <w:rPr>
                <w:noProof/>
                <w:color w:val="0000FF"/>
                <w:sz w:val="20"/>
                <w:szCs w:val="20"/>
              </w:rPr>
            </w:pPr>
            <w:r w:rsidRPr="00047543">
              <w:rPr>
                <w:noProof/>
                <w:sz w:val="20"/>
              </w:rPr>
              <w:t>JA/NEJ</w:t>
            </w:r>
          </w:p>
        </w:tc>
        <w:tc>
          <w:tcPr>
            <w:tcW w:w="1448" w:type="dxa"/>
            <w:vAlign w:val="center"/>
          </w:tcPr>
          <w:p w14:paraId="7245F909" w14:textId="77777777" w:rsidR="00A27CF2" w:rsidRPr="00047543" w:rsidRDefault="00A27CF2">
            <w:pPr>
              <w:jc w:val="center"/>
              <w:rPr>
                <w:noProof/>
                <w:sz w:val="20"/>
                <w:szCs w:val="20"/>
              </w:rPr>
            </w:pPr>
            <w:r w:rsidRPr="00047543">
              <w:rPr>
                <w:noProof/>
                <w:sz w:val="20"/>
              </w:rPr>
              <w:t>JA/NEJ</w:t>
            </w:r>
          </w:p>
        </w:tc>
      </w:tr>
    </w:tbl>
    <w:p w14:paraId="356876B6" w14:textId="77777777" w:rsidR="00A27CF2" w:rsidRPr="00047543" w:rsidRDefault="00A27CF2" w:rsidP="00A27CF2">
      <w:pPr>
        <w:rPr>
          <w:noProof/>
        </w:rPr>
        <w:sectPr w:rsidR="00A27CF2" w:rsidRPr="00047543" w:rsidSect="003E44E5">
          <w:footnotePr>
            <w:numRestart w:val="eachSect"/>
          </w:footnotePr>
          <w:pgSz w:w="11907" w:h="16840" w:code="1"/>
          <w:pgMar w:top="1134" w:right="1418" w:bottom="1134" w:left="1418" w:header="709" w:footer="709" w:gutter="0"/>
          <w:cols w:space="708"/>
          <w:docGrid w:linePitch="360"/>
        </w:sectPr>
      </w:pPr>
    </w:p>
    <w:p w14:paraId="039EECCE" w14:textId="77777777" w:rsidR="00A27CF2" w:rsidRPr="00047543" w:rsidRDefault="00A27CF2" w:rsidP="00A27CF2">
      <w:pPr>
        <w:pStyle w:val="ManualHeading2"/>
        <w:rPr>
          <w:bCs/>
          <w:noProof/>
          <w:szCs w:val="24"/>
        </w:rPr>
      </w:pPr>
      <w:r w:rsidRPr="00047543">
        <w:rPr>
          <w:noProof/>
        </w:rPr>
        <w:t>3.2</w:t>
      </w:r>
      <w:r w:rsidRPr="00047543">
        <w:rPr>
          <w:noProof/>
        </w:rPr>
        <w:tab/>
        <w:t xml:space="preserve">Förslagets beräknade budgetkonsekvenser för anslagen </w:t>
      </w:r>
    </w:p>
    <w:p w14:paraId="02EF3AC2" w14:textId="77777777" w:rsidR="00A27CF2" w:rsidRPr="00047543" w:rsidRDefault="00A27CF2" w:rsidP="00A27CF2">
      <w:pPr>
        <w:pStyle w:val="ManualHeading3"/>
        <w:rPr>
          <w:noProof/>
        </w:rPr>
      </w:pPr>
      <w:r w:rsidRPr="00047543">
        <w:rPr>
          <w:noProof/>
        </w:rPr>
        <w:t>3.2.1</w:t>
      </w:r>
      <w:r w:rsidRPr="00047543">
        <w:rPr>
          <w:noProof/>
        </w:rPr>
        <w:tab/>
        <w:t xml:space="preserve">Sammanfattning av beräknad inverkan på driftsanslagen </w:t>
      </w:r>
    </w:p>
    <w:p w14:paraId="2EADE67D" w14:textId="77777777" w:rsidR="00A27CF2" w:rsidRPr="00047543" w:rsidRDefault="00A27CF2" w:rsidP="00A27CF2">
      <w:pPr>
        <w:pStyle w:val="ListDash1"/>
        <w:rPr>
          <w:noProof/>
        </w:rPr>
      </w:pPr>
      <w:r w:rsidRPr="00047543">
        <w:rPr>
          <w:rFonts w:ascii="Wingdings" w:hAnsi="Wingdings"/>
          <w:noProof/>
        </w:rPr>
        <w:t></w:t>
      </w:r>
      <w:r w:rsidRPr="00047543">
        <w:rPr>
          <w:noProof/>
        </w:rPr>
        <w:tab/>
        <w:t xml:space="preserve">Förslaget/initiativet kräver inte att driftsanslag tas i anspråk </w:t>
      </w:r>
    </w:p>
    <w:p w14:paraId="60702439" w14:textId="77777777" w:rsidR="00A27CF2" w:rsidRPr="00047543" w:rsidRDefault="00A27CF2" w:rsidP="00A27CF2">
      <w:pPr>
        <w:pStyle w:val="ListDash1"/>
        <w:rPr>
          <w:noProof/>
        </w:rPr>
      </w:pPr>
      <w:r w:rsidRPr="00047543">
        <w:rPr>
          <w:rFonts w:ascii="Wingdings" w:hAnsi="Wingdings"/>
          <w:noProof/>
        </w:rPr>
        <w:t></w:t>
      </w:r>
      <w:r w:rsidRPr="00047543">
        <w:rPr>
          <w:noProof/>
        </w:rPr>
        <w:tab/>
        <w:t>Förslaget/initiativet kräver att driftsanslag tas i anspråk enligt följande:</w:t>
      </w:r>
    </w:p>
    <w:p w14:paraId="492A953E" w14:textId="77777777" w:rsidR="00A27CF2" w:rsidRPr="00047543" w:rsidRDefault="00A27CF2" w:rsidP="00A27CF2">
      <w:pPr>
        <w:pStyle w:val="ManualHeading3"/>
        <w:rPr>
          <w:noProof/>
        </w:rPr>
      </w:pPr>
      <w:r w:rsidRPr="00047543">
        <w:rPr>
          <w:noProof/>
        </w:rPr>
        <w:t>3.2.1.1</w:t>
      </w:r>
      <w:r w:rsidRPr="00047543">
        <w:rPr>
          <w:noProof/>
        </w:rPr>
        <w:tab/>
        <w:t>Anslag i den antagna budgeten</w:t>
      </w:r>
    </w:p>
    <w:p w14:paraId="01AC5301" w14:textId="77777777" w:rsidR="00A27CF2" w:rsidRPr="00047543" w:rsidRDefault="00A27CF2" w:rsidP="00A27CF2">
      <w:pPr>
        <w:jc w:val="right"/>
        <w:rPr>
          <w:noProof/>
          <w:sz w:val="18"/>
          <w:szCs w:val="18"/>
        </w:rPr>
      </w:pPr>
      <w:r w:rsidRPr="00047543">
        <w:rPr>
          <w:noProof/>
          <w:sz w:val="18"/>
        </w:rPr>
        <w:t>Miljoner EUR (avrundat till tre decimaler)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A27CF2" w:rsidRPr="00047543" w14:paraId="19CCF015" w14:textId="77777777">
        <w:tc>
          <w:tcPr>
            <w:tcW w:w="1739" w:type="pct"/>
            <w:shd w:val="thinDiagStripe" w:color="C0C0C0" w:fill="auto"/>
            <w:vAlign w:val="center"/>
          </w:tcPr>
          <w:p w14:paraId="4AF8FAEB" w14:textId="77777777" w:rsidR="00A27CF2" w:rsidRPr="00047543" w:rsidRDefault="00A27CF2">
            <w:pPr>
              <w:spacing w:before="60" w:after="60"/>
              <w:jc w:val="center"/>
              <w:rPr>
                <w:b/>
                <w:noProof/>
              </w:rPr>
            </w:pPr>
            <w:r w:rsidRPr="00047543">
              <w:rPr>
                <w:b/>
                <w:noProof/>
                <w:sz w:val="22"/>
              </w:rPr>
              <w:t xml:space="preserve">Rubrik i den fleråriga budgetramen </w:t>
            </w:r>
          </w:p>
        </w:tc>
        <w:tc>
          <w:tcPr>
            <w:tcW w:w="396" w:type="pct"/>
            <w:vAlign w:val="center"/>
          </w:tcPr>
          <w:p w14:paraId="4CBEF3FF" w14:textId="77777777" w:rsidR="00A27CF2" w:rsidRPr="00047543" w:rsidRDefault="00A27CF2">
            <w:pPr>
              <w:spacing w:before="60" w:after="60"/>
              <w:jc w:val="center"/>
              <w:rPr>
                <w:noProof/>
              </w:rPr>
            </w:pPr>
            <w:r w:rsidRPr="00047543">
              <w:rPr>
                <w:noProof/>
                <w:sz w:val="22"/>
              </w:rPr>
              <w:t>Nummer</w:t>
            </w:r>
          </w:p>
        </w:tc>
        <w:tc>
          <w:tcPr>
            <w:tcW w:w="2865" w:type="pct"/>
            <w:vAlign w:val="center"/>
          </w:tcPr>
          <w:p w14:paraId="54A35A52" w14:textId="77777777" w:rsidR="00A27CF2" w:rsidRPr="00047543" w:rsidRDefault="00A27CF2">
            <w:pPr>
              <w:spacing w:before="60" w:after="60"/>
              <w:rPr>
                <w:noProof/>
              </w:rPr>
            </w:pPr>
          </w:p>
        </w:tc>
      </w:tr>
    </w:tbl>
    <w:p w14:paraId="66230582" w14:textId="77777777" w:rsidR="00A27CF2" w:rsidRPr="00047543" w:rsidRDefault="00A27CF2" w:rsidP="00A27CF2">
      <w:pPr>
        <w:rPr>
          <w:noProof/>
          <w:sz w:val="16"/>
        </w:rPr>
      </w:pPr>
    </w:p>
    <w:tbl>
      <w:tblPr>
        <w:tblW w:w="5000" w:type="pct"/>
        <w:tblLook w:val="04A0" w:firstRow="1" w:lastRow="0" w:firstColumn="1" w:lastColumn="0" w:noHBand="0" w:noVBand="1"/>
      </w:tblPr>
      <w:tblGrid>
        <w:gridCol w:w="4014"/>
        <w:gridCol w:w="21"/>
        <w:gridCol w:w="1483"/>
        <w:gridCol w:w="21"/>
        <w:gridCol w:w="1378"/>
        <w:gridCol w:w="33"/>
        <w:gridCol w:w="1369"/>
        <w:gridCol w:w="42"/>
        <w:gridCol w:w="1360"/>
        <w:gridCol w:w="51"/>
        <w:gridCol w:w="1351"/>
        <w:gridCol w:w="60"/>
        <w:gridCol w:w="1342"/>
        <w:gridCol w:w="17"/>
        <w:gridCol w:w="1678"/>
      </w:tblGrid>
      <w:tr w:rsidR="00A27CF2" w:rsidRPr="00047543" w14:paraId="582ED550" w14:textId="77777777">
        <w:trPr>
          <w:trHeight w:val="420"/>
        </w:trPr>
        <w:tc>
          <w:tcPr>
            <w:tcW w:w="2444"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689728B0" w14:textId="77777777" w:rsidR="00A27CF2" w:rsidRPr="00047543" w:rsidRDefault="00A27CF2">
            <w:pPr>
              <w:spacing w:before="0" w:after="0"/>
              <w:jc w:val="center"/>
              <w:rPr>
                <w:noProof/>
                <w:color w:val="000000"/>
                <w:sz w:val="22"/>
              </w:rPr>
            </w:pPr>
            <w:r w:rsidRPr="00047543">
              <w:rPr>
                <w:noProof/>
                <w:color w:val="000000"/>
                <w:sz w:val="22"/>
              </w:rPr>
              <w:t>GD: &lt;…….&gt;</w:t>
            </w:r>
          </w:p>
        </w:tc>
        <w:tc>
          <w:tcPr>
            <w:tcW w:w="496" w:type="pct"/>
            <w:gridSpan w:val="2"/>
            <w:tcBorders>
              <w:top w:val="single" w:sz="8" w:space="0" w:color="auto"/>
              <w:left w:val="nil"/>
              <w:bottom w:val="single" w:sz="8" w:space="0" w:color="auto"/>
              <w:right w:val="single" w:sz="8" w:space="0" w:color="auto"/>
            </w:tcBorders>
            <w:vAlign w:val="center"/>
            <w:hideMark/>
          </w:tcPr>
          <w:p w14:paraId="0A00C753"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2"/>
            <w:tcBorders>
              <w:top w:val="single" w:sz="8" w:space="0" w:color="auto"/>
              <w:left w:val="nil"/>
              <w:bottom w:val="single" w:sz="8" w:space="0" w:color="auto"/>
              <w:right w:val="single" w:sz="8" w:space="0" w:color="auto"/>
            </w:tcBorders>
            <w:vAlign w:val="center"/>
            <w:hideMark/>
          </w:tcPr>
          <w:p w14:paraId="5AEB7765"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2"/>
            <w:tcBorders>
              <w:top w:val="single" w:sz="8" w:space="0" w:color="auto"/>
              <w:left w:val="nil"/>
              <w:bottom w:val="single" w:sz="8" w:space="0" w:color="auto"/>
              <w:right w:val="single" w:sz="8" w:space="0" w:color="auto"/>
            </w:tcBorders>
            <w:vAlign w:val="center"/>
            <w:hideMark/>
          </w:tcPr>
          <w:p w14:paraId="16503908"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78" w:type="pct"/>
            <w:gridSpan w:val="2"/>
            <w:tcBorders>
              <w:top w:val="single" w:sz="8" w:space="0" w:color="auto"/>
              <w:left w:val="nil"/>
              <w:bottom w:val="single" w:sz="8" w:space="0" w:color="auto"/>
              <w:right w:val="single" w:sz="8" w:space="0" w:color="auto"/>
            </w:tcBorders>
            <w:vAlign w:val="center"/>
            <w:hideMark/>
          </w:tcPr>
          <w:p w14:paraId="1EA8AB7E"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14:paraId="47C7D478"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69031DBD" w14:textId="77777777">
        <w:trPr>
          <w:trHeight w:val="288"/>
        </w:trPr>
        <w:tc>
          <w:tcPr>
            <w:tcW w:w="2444" w:type="pct"/>
            <w:gridSpan w:val="6"/>
            <w:vMerge/>
            <w:tcBorders>
              <w:top w:val="single" w:sz="8" w:space="0" w:color="auto"/>
              <w:left w:val="single" w:sz="8" w:space="0" w:color="auto"/>
              <w:bottom w:val="single" w:sz="8" w:space="0" w:color="auto"/>
              <w:right w:val="single" w:sz="8" w:space="0" w:color="auto"/>
            </w:tcBorders>
            <w:vAlign w:val="center"/>
            <w:hideMark/>
          </w:tcPr>
          <w:p w14:paraId="17BA301D" w14:textId="77777777" w:rsidR="00A27CF2" w:rsidRPr="00047543" w:rsidRDefault="00A27CF2">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5CD4780A"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5E0DF79D"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58E13606"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78" w:type="pct"/>
            <w:gridSpan w:val="2"/>
            <w:tcBorders>
              <w:top w:val="nil"/>
              <w:left w:val="nil"/>
              <w:bottom w:val="single" w:sz="8" w:space="0" w:color="auto"/>
              <w:right w:val="single" w:sz="8" w:space="0" w:color="auto"/>
            </w:tcBorders>
            <w:vAlign w:val="center"/>
            <w:hideMark/>
          </w:tcPr>
          <w:p w14:paraId="52E264E9"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14:paraId="52462B97" w14:textId="77777777" w:rsidR="00A27CF2" w:rsidRPr="00047543" w:rsidRDefault="00A27CF2">
            <w:pPr>
              <w:spacing w:before="0" w:after="0"/>
              <w:jc w:val="left"/>
              <w:rPr>
                <w:b/>
                <w:bCs/>
                <w:noProof/>
                <w:color w:val="000000"/>
                <w:sz w:val="20"/>
                <w:szCs w:val="20"/>
                <w:lang w:eastAsia="en-IE"/>
              </w:rPr>
            </w:pPr>
          </w:p>
        </w:tc>
      </w:tr>
      <w:tr w:rsidR="00A27CF2" w:rsidRPr="00047543" w14:paraId="7BE479B9" w14:textId="77777777">
        <w:trPr>
          <w:trHeight w:val="300"/>
        </w:trPr>
        <w:tc>
          <w:tcPr>
            <w:tcW w:w="5000" w:type="pct"/>
            <w:gridSpan w:val="15"/>
            <w:tcBorders>
              <w:top w:val="single" w:sz="8" w:space="0" w:color="auto"/>
              <w:left w:val="single" w:sz="8" w:space="0" w:color="auto"/>
              <w:bottom w:val="single" w:sz="8" w:space="0" w:color="auto"/>
              <w:right w:val="single" w:sz="8" w:space="0" w:color="auto"/>
            </w:tcBorders>
            <w:vAlign w:val="center"/>
            <w:hideMark/>
          </w:tcPr>
          <w:p w14:paraId="3798CC5A" w14:textId="77777777" w:rsidR="00A27CF2" w:rsidRPr="00047543" w:rsidRDefault="00A27CF2">
            <w:pPr>
              <w:spacing w:before="0" w:after="0"/>
              <w:jc w:val="left"/>
              <w:rPr>
                <w:noProof/>
                <w:color w:val="000000"/>
                <w:sz w:val="21"/>
                <w:szCs w:val="21"/>
              </w:rPr>
            </w:pPr>
            <w:r w:rsidRPr="00047543">
              <w:rPr>
                <w:noProof/>
                <w:color w:val="000000"/>
                <w:sz w:val="21"/>
              </w:rPr>
              <w:t xml:space="preserve">Driftsanslag </w:t>
            </w:r>
          </w:p>
        </w:tc>
      </w:tr>
      <w:tr w:rsidR="00A27CF2" w:rsidRPr="00047543" w14:paraId="2CDAA122" w14:textId="77777777">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071EB708" w14:textId="77777777" w:rsidR="00A27CF2" w:rsidRPr="00047543" w:rsidRDefault="00A27CF2">
            <w:pPr>
              <w:spacing w:before="0" w:after="0"/>
              <w:jc w:val="left"/>
              <w:rPr>
                <w:noProof/>
                <w:color w:val="000000"/>
                <w:sz w:val="22"/>
              </w:rPr>
            </w:pPr>
            <w:r w:rsidRPr="00047543">
              <w:rPr>
                <w:noProof/>
                <w:color w:val="000000"/>
                <w:sz w:val="22"/>
              </w:rPr>
              <w:t>Budgetpost</w:t>
            </w:r>
          </w:p>
        </w:tc>
        <w:tc>
          <w:tcPr>
            <w:tcW w:w="529" w:type="pct"/>
            <w:gridSpan w:val="2"/>
            <w:tcBorders>
              <w:top w:val="nil"/>
              <w:left w:val="nil"/>
              <w:bottom w:val="single" w:sz="8" w:space="0" w:color="auto"/>
              <w:right w:val="single" w:sz="8" w:space="0" w:color="auto"/>
            </w:tcBorders>
            <w:vAlign w:val="center"/>
            <w:hideMark/>
          </w:tcPr>
          <w:p w14:paraId="40605518"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2"/>
            <w:tcBorders>
              <w:top w:val="single" w:sz="8" w:space="0" w:color="auto"/>
              <w:left w:val="nil"/>
              <w:bottom w:val="single" w:sz="8" w:space="0" w:color="auto"/>
              <w:right w:val="single" w:sz="8" w:space="0" w:color="auto"/>
            </w:tcBorders>
            <w:vAlign w:val="center"/>
            <w:hideMark/>
          </w:tcPr>
          <w:p w14:paraId="4AAD537C" w14:textId="77777777" w:rsidR="00A27CF2" w:rsidRPr="00047543" w:rsidRDefault="00A27CF2">
            <w:pPr>
              <w:spacing w:before="0" w:after="0"/>
              <w:jc w:val="center"/>
              <w:rPr>
                <w:noProof/>
                <w:color w:val="000000"/>
                <w:sz w:val="14"/>
                <w:szCs w:val="14"/>
              </w:rPr>
            </w:pPr>
            <w:r w:rsidRPr="00047543">
              <w:rPr>
                <w:noProof/>
                <w:color w:val="000000"/>
                <w:sz w:val="14"/>
              </w:rPr>
              <w:t>(1a)</w:t>
            </w:r>
          </w:p>
        </w:tc>
        <w:tc>
          <w:tcPr>
            <w:tcW w:w="496" w:type="pct"/>
            <w:gridSpan w:val="2"/>
            <w:tcBorders>
              <w:top w:val="nil"/>
              <w:left w:val="nil"/>
              <w:bottom w:val="single" w:sz="8" w:space="0" w:color="auto"/>
              <w:right w:val="single" w:sz="8" w:space="0" w:color="auto"/>
            </w:tcBorders>
            <w:vAlign w:val="center"/>
            <w:hideMark/>
          </w:tcPr>
          <w:p w14:paraId="766886BF"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3065143"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468453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6F333813"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1AFB117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78623CB" w14:textId="77777777">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5A645C15" w14:textId="77777777" w:rsidR="00A27CF2" w:rsidRPr="00047543" w:rsidRDefault="00A27CF2">
            <w:pPr>
              <w:spacing w:before="0" w:after="0"/>
              <w:jc w:val="left"/>
              <w:rPr>
                <w:noProof/>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572D7D73"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2"/>
            <w:tcBorders>
              <w:top w:val="single" w:sz="8" w:space="0" w:color="auto"/>
              <w:left w:val="nil"/>
              <w:bottom w:val="single" w:sz="8" w:space="0" w:color="auto"/>
              <w:right w:val="single" w:sz="8" w:space="0" w:color="auto"/>
            </w:tcBorders>
            <w:vAlign w:val="center"/>
            <w:hideMark/>
          </w:tcPr>
          <w:p w14:paraId="07328D3B" w14:textId="77777777" w:rsidR="00A27CF2" w:rsidRPr="00047543" w:rsidRDefault="00A27CF2">
            <w:pPr>
              <w:spacing w:before="0" w:after="0"/>
              <w:jc w:val="center"/>
              <w:rPr>
                <w:noProof/>
                <w:color w:val="000000"/>
                <w:sz w:val="14"/>
                <w:szCs w:val="14"/>
              </w:rPr>
            </w:pPr>
            <w:r w:rsidRPr="00047543">
              <w:rPr>
                <w:noProof/>
                <w:color w:val="000000"/>
                <w:sz w:val="14"/>
              </w:rPr>
              <w:t>(2a)</w:t>
            </w:r>
          </w:p>
        </w:tc>
        <w:tc>
          <w:tcPr>
            <w:tcW w:w="496" w:type="pct"/>
            <w:gridSpan w:val="2"/>
            <w:tcBorders>
              <w:top w:val="nil"/>
              <w:left w:val="nil"/>
              <w:bottom w:val="single" w:sz="8" w:space="0" w:color="auto"/>
              <w:right w:val="single" w:sz="8" w:space="0" w:color="auto"/>
            </w:tcBorders>
            <w:vAlign w:val="center"/>
            <w:hideMark/>
          </w:tcPr>
          <w:p w14:paraId="3960CBDA"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179459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4703C3A"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50C34CA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6F602C0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72D396F" w14:textId="77777777">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50180A5F"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2"/>
            <w:tcBorders>
              <w:top w:val="nil"/>
              <w:left w:val="nil"/>
              <w:bottom w:val="single" w:sz="8" w:space="0" w:color="auto"/>
              <w:right w:val="single" w:sz="8" w:space="0" w:color="auto"/>
            </w:tcBorders>
            <w:vAlign w:val="center"/>
            <w:hideMark/>
          </w:tcPr>
          <w:p w14:paraId="4552C05E"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2"/>
            <w:tcBorders>
              <w:top w:val="single" w:sz="8" w:space="0" w:color="auto"/>
              <w:left w:val="nil"/>
              <w:bottom w:val="single" w:sz="8" w:space="0" w:color="auto"/>
              <w:right w:val="single" w:sz="8" w:space="0" w:color="auto"/>
            </w:tcBorders>
            <w:vAlign w:val="center"/>
            <w:hideMark/>
          </w:tcPr>
          <w:p w14:paraId="12AAB888" w14:textId="77777777" w:rsidR="00A27CF2" w:rsidRPr="00047543" w:rsidRDefault="00A27CF2">
            <w:pPr>
              <w:spacing w:before="0" w:after="0"/>
              <w:jc w:val="center"/>
              <w:rPr>
                <w:noProof/>
                <w:color w:val="000000"/>
                <w:sz w:val="14"/>
                <w:szCs w:val="14"/>
              </w:rPr>
            </w:pPr>
            <w:r w:rsidRPr="00047543">
              <w:rPr>
                <w:noProof/>
                <w:color w:val="000000"/>
                <w:sz w:val="14"/>
              </w:rPr>
              <w:t>(1b)</w:t>
            </w:r>
          </w:p>
        </w:tc>
        <w:tc>
          <w:tcPr>
            <w:tcW w:w="496" w:type="pct"/>
            <w:gridSpan w:val="2"/>
            <w:tcBorders>
              <w:top w:val="nil"/>
              <w:left w:val="nil"/>
              <w:bottom w:val="single" w:sz="8" w:space="0" w:color="auto"/>
              <w:right w:val="single" w:sz="8" w:space="0" w:color="auto"/>
            </w:tcBorders>
            <w:vAlign w:val="center"/>
            <w:hideMark/>
          </w:tcPr>
          <w:p w14:paraId="3A75FFD7"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BE4AB0D"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E830AA8"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343CAF5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171E79A4"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7138354" w14:textId="77777777">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6D011B48" w14:textId="77777777" w:rsidR="00A27CF2" w:rsidRPr="00047543" w:rsidRDefault="00A27CF2">
            <w:pPr>
              <w:spacing w:before="0" w:after="0"/>
              <w:jc w:val="left"/>
              <w:rPr>
                <w:noProof/>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5E808FB1"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2"/>
            <w:tcBorders>
              <w:top w:val="single" w:sz="8" w:space="0" w:color="auto"/>
              <w:left w:val="nil"/>
              <w:bottom w:val="single" w:sz="8" w:space="0" w:color="auto"/>
              <w:right w:val="single" w:sz="8" w:space="0" w:color="auto"/>
            </w:tcBorders>
            <w:vAlign w:val="center"/>
            <w:hideMark/>
          </w:tcPr>
          <w:p w14:paraId="051560EE" w14:textId="77777777" w:rsidR="00A27CF2" w:rsidRPr="00047543" w:rsidRDefault="00A27CF2">
            <w:pPr>
              <w:spacing w:before="0" w:after="0"/>
              <w:jc w:val="center"/>
              <w:rPr>
                <w:noProof/>
                <w:color w:val="000000"/>
                <w:sz w:val="14"/>
                <w:szCs w:val="14"/>
              </w:rPr>
            </w:pPr>
            <w:r w:rsidRPr="00047543">
              <w:rPr>
                <w:noProof/>
                <w:color w:val="000000"/>
                <w:sz w:val="14"/>
              </w:rPr>
              <w:t>(2b)</w:t>
            </w:r>
          </w:p>
        </w:tc>
        <w:tc>
          <w:tcPr>
            <w:tcW w:w="496" w:type="pct"/>
            <w:gridSpan w:val="2"/>
            <w:tcBorders>
              <w:top w:val="nil"/>
              <w:left w:val="nil"/>
              <w:bottom w:val="single" w:sz="8" w:space="0" w:color="auto"/>
              <w:right w:val="single" w:sz="8" w:space="0" w:color="auto"/>
            </w:tcBorders>
            <w:vAlign w:val="center"/>
            <w:hideMark/>
          </w:tcPr>
          <w:p w14:paraId="203445F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06C8406"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E11A09D"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754B76F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6B20741E"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1734C85" w14:textId="77777777">
        <w:trPr>
          <w:trHeight w:val="288"/>
        </w:trPr>
        <w:tc>
          <w:tcPr>
            <w:tcW w:w="5000" w:type="pct"/>
            <w:gridSpan w:val="15"/>
            <w:tcBorders>
              <w:top w:val="single" w:sz="8" w:space="0" w:color="auto"/>
              <w:left w:val="single" w:sz="8" w:space="0" w:color="auto"/>
              <w:bottom w:val="single" w:sz="8" w:space="0" w:color="auto"/>
              <w:right w:val="single" w:sz="8" w:space="0" w:color="auto"/>
            </w:tcBorders>
            <w:noWrap/>
            <w:vAlign w:val="bottom"/>
            <w:hideMark/>
          </w:tcPr>
          <w:p w14:paraId="22A22507" w14:textId="77777777" w:rsidR="00A27CF2" w:rsidRPr="00047543" w:rsidRDefault="00A27CF2">
            <w:pPr>
              <w:spacing w:before="0" w:after="0"/>
              <w:jc w:val="left"/>
              <w:rPr>
                <w:noProof/>
                <w:color w:val="000000"/>
                <w:sz w:val="22"/>
              </w:rPr>
            </w:pPr>
            <w:r w:rsidRPr="00047543">
              <w:rPr>
                <w:noProof/>
                <w:color w:val="000000"/>
                <w:sz w:val="22"/>
              </w:rPr>
              <w:t>Anslag av administrativ natur som finansieras genom ramanslagen för särskilda program</w:t>
            </w:r>
            <w:r w:rsidRPr="00047543">
              <w:rPr>
                <w:noProof/>
              </w:rPr>
              <w:t xml:space="preserve"> </w:t>
            </w:r>
          </w:p>
        </w:tc>
      </w:tr>
      <w:tr w:rsidR="00A27CF2" w:rsidRPr="00047543" w14:paraId="5657E11C" w14:textId="77777777">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7F4B4F06"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2"/>
            <w:tcBorders>
              <w:top w:val="nil"/>
              <w:left w:val="nil"/>
              <w:bottom w:val="single" w:sz="8" w:space="0" w:color="auto"/>
              <w:right w:val="single" w:sz="8" w:space="0" w:color="auto"/>
            </w:tcBorders>
            <w:vAlign w:val="center"/>
            <w:hideMark/>
          </w:tcPr>
          <w:p w14:paraId="072388AD" w14:textId="77777777" w:rsidR="00A27CF2" w:rsidRPr="00047543" w:rsidRDefault="00A27CF2">
            <w:pPr>
              <w:spacing w:before="0" w:after="0"/>
              <w:jc w:val="right"/>
              <w:rPr>
                <w:noProof/>
                <w:color w:val="000000"/>
                <w:sz w:val="18"/>
                <w:szCs w:val="18"/>
              </w:rPr>
            </w:pPr>
            <w:r w:rsidRPr="00047543">
              <w:rPr>
                <w:noProof/>
                <w:color w:val="000000"/>
                <w:sz w:val="18"/>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14:paraId="793F131C" w14:textId="77777777" w:rsidR="00A27CF2" w:rsidRPr="00047543" w:rsidRDefault="00A27CF2">
            <w:pPr>
              <w:spacing w:before="0" w:after="0"/>
              <w:jc w:val="center"/>
              <w:rPr>
                <w:noProof/>
                <w:color w:val="000000"/>
                <w:sz w:val="14"/>
                <w:szCs w:val="14"/>
              </w:rPr>
            </w:pPr>
            <w:r w:rsidRPr="00047543">
              <w:rPr>
                <w:noProof/>
                <w:color w:val="000000"/>
                <w:sz w:val="14"/>
              </w:rPr>
              <w:t>(3)</w:t>
            </w:r>
          </w:p>
        </w:tc>
        <w:tc>
          <w:tcPr>
            <w:tcW w:w="496" w:type="pct"/>
            <w:gridSpan w:val="2"/>
            <w:tcBorders>
              <w:top w:val="nil"/>
              <w:left w:val="nil"/>
              <w:bottom w:val="single" w:sz="8" w:space="0" w:color="auto"/>
              <w:right w:val="single" w:sz="8" w:space="0" w:color="auto"/>
            </w:tcBorders>
            <w:vAlign w:val="center"/>
            <w:hideMark/>
          </w:tcPr>
          <w:p w14:paraId="03CD1735"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DFFED72"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E451A2A"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0C097888"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6261A084"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2F7AC8A" w14:textId="77777777">
        <w:trPr>
          <w:trHeight w:val="288"/>
        </w:trPr>
        <w:tc>
          <w:tcPr>
            <w:tcW w:w="1419" w:type="pct"/>
            <w:gridSpan w:val="2"/>
            <w:vMerge w:val="restart"/>
            <w:tcBorders>
              <w:top w:val="nil"/>
              <w:left w:val="single" w:sz="8" w:space="0" w:color="auto"/>
              <w:right w:val="single" w:sz="8" w:space="0" w:color="auto"/>
            </w:tcBorders>
            <w:vAlign w:val="center"/>
            <w:hideMark/>
          </w:tcPr>
          <w:p w14:paraId="0463E45D" w14:textId="77777777" w:rsidR="00A27CF2" w:rsidRPr="00047543" w:rsidRDefault="00A27CF2">
            <w:pPr>
              <w:spacing w:before="0" w:after="0"/>
              <w:jc w:val="center"/>
              <w:rPr>
                <w:b/>
                <w:bCs/>
                <w:noProof/>
                <w:color w:val="000000"/>
                <w:sz w:val="22"/>
              </w:rPr>
            </w:pPr>
            <w:r w:rsidRPr="00047543">
              <w:rPr>
                <w:b/>
                <w:noProof/>
                <w:color w:val="000000"/>
                <w:sz w:val="22"/>
              </w:rPr>
              <w:t>TOTALA anslag</w:t>
            </w:r>
          </w:p>
          <w:p w14:paraId="073C7A90" w14:textId="77777777" w:rsidR="00A27CF2" w:rsidRPr="00047543" w:rsidRDefault="00A27CF2">
            <w:pPr>
              <w:spacing w:before="0" w:after="0"/>
              <w:jc w:val="center"/>
              <w:rPr>
                <w:b/>
                <w:bCs/>
                <w:noProof/>
                <w:color w:val="000000"/>
                <w:sz w:val="22"/>
              </w:rPr>
            </w:pPr>
            <w:r w:rsidRPr="00047543">
              <w:rPr>
                <w:b/>
                <w:noProof/>
                <w:color w:val="000000"/>
                <w:sz w:val="22"/>
              </w:rPr>
              <w:t xml:space="preserve">för GD </w:t>
            </w:r>
            <w:r w:rsidRPr="00047543">
              <w:rPr>
                <w:noProof/>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36369153"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2"/>
            <w:tcBorders>
              <w:top w:val="single" w:sz="8" w:space="0" w:color="auto"/>
              <w:left w:val="nil"/>
              <w:bottom w:val="single" w:sz="8" w:space="0" w:color="auto"/>
              <w:right w:val="single" w:sz="8" w:space="0" w:color="auto"/>
            </w:tcBorders>
            <w:vAlign w:val="center"/>
            <w:hideMark/>
          </w:tcPr>
          <w:p w14:paraId="6671DAAB" w14:textId="77777777" w:rsidR="00A27CF2" w:rsidRPr="00047543" w:rsidRDefault="00A27CF2">
            <w:pPr>
              <w:spacing w:before="0" w:after="0"/>
              <w:jc w:val="center"/>
              <w:rPr>
                <w:noProof/>
                <w:color w:val="000000"/>
                <w:sz w:val="14"/>
                <w:szCs w:val="14"/>
              </w:rPr>
            </w:pPr>
            <w:r w:rsidRPr="00047543">
              <w:rPr>
                <w:noProof/>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38DEB0D5"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232A5A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C0911E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0301249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5DE55B9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68A3D98" w14:textId="77777777">
        <w:trPr>
          <w:trHeight w:val="288"/>
        </w:trPr>
        <w:tc>
          <w:tcPr>
            <w:tcW w:w="1419" w:type="pct"/>
            <w:gridSpan w:val="2"/>
            <w:vMerge/>
            <w:tcBorders>
              <w:left w:val="single" w:sz="8" w:space="0" w:color="auto"/>
              <w:bottom w:val="single" w:sz="4" w:space="0" w:color="auto"/>
              <w:right w:val="single" w:sz="8" w:space="0" w:color="auto"/>
            </w:tcBorders>
            <w:vAlign w:val="center"/>
            <w:hideMark/>
          </w:tcPr>
          <w:p w14:paraId="32A2FE34" w14:textId="77777777" w:rsidR="00A27CF2" w:rsidRPr="00047543" w:rsidRDefault="00A27CF2">
            <w:pPr>
              <w:spacing w:before="0" w:after="0"/>
              <w:jc w:val="center"/>
              <w:rPr>
                <w:b/>
                <w:bCs/>
                <w:noProof/>
                <w:color w:val="000000"/>
                <w:sz w:val="22"/>
                <w:lang w:eastAsia="en-IE"/>
              </w:rPr>
            </w:pPr>
          </w:p>
        </w:tc>
        <w:tc>
          <w:tcPr>
            <w:tcW w:w="529" w:type="pct"/>
            <w:gridSpan w:val="2"/>
            <w:tcBorders>
              <w:top w:val="nil"/>
              <w:left w:val="single" w:sz="8" w:space="0" w:color="auto"/>
              <w:bottom w:val="single" w:sz="8" w:space="0" w:color="auto"/>
              <w:right w:val="single" w:sz="8" w:space="0" w:color="auto"/>
            </w:tcBorders>
            <w:vAlign w:val="center"/>
            <w:hideMark/>
          </w:tcPr>
          <w:p w14:paraId="31FEE317"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2"/>
            <w:tcBorders>
              <w:top w:val="single" w:sz="8" w:space="0" w:color="auto"/>
              <w:left w:val="nil"/>
              <w:bottom w:val="single" w:sz="8" w:space="0" w:color="auto"/>
              <w:right w:val="single" w:sz="8" w:space="0" w:color="auto"/>
            </w:tcBorders>
            <w:vAlign w:val="center"/>
            <w:hideMark/>
          </w:tcPr>
          <w:p w14:paraId="1A5AA6CD" w14:textId="77777777" w:rsidR="00A27CF2" w:rsidRPr="00047543" w:rsidRDefault="00A27CF2">
            <w:pPr>
              <w:spacing w:before="0" w:after="0"/>
              <w:jc w:val="center"/>
              <w:rPr>
                <w:noProof/>
                <w:color w:val="000000"/>
                <w:sz w:val="14"/>
                <w:szCs w:val="14"/>
              </w:rPr>
            </w:pPr>
            <w:r w:rsidRPr="00047543">
              <w:rPr>
                <w:noProof/>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22BDB7D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342F49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AAD5EB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0817EFA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195254C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232C3C3C" w14:textId="77777777">
        <w:trPr>
          <w:trHeight w:val="420"/>
        </w:trPr>
        <w:tc>
          <w:tcPr>
            <w:tcW w:w="2444"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6EAB817D" w14:textId="77777777" w:rsidR="00A27CF2" w:rsidRPr="00047543" w:rsidRDefault="00A27CF2">
            <w:pPr>
              <w:spacing w:before="0" w:after="0"/>
              <w:jc w:val="center"/>
              <w:rPr>
                <w:noProof/>
                <w:color w:val="000000"/>
                <w:sz w:val="22"/>
              </w:rPr>
            </w:pPr>
            <w:r w:rsidRPr="00047543">
              <w:rPr>
                <w:noProof/>
                <w:color w:val="000000"/>
                <w:sz w:val="22"/>
              </w:rPr>
              <w:t>GD: &lt;…….&gt;</w:t>
            </w:r>
          </w:p>
        </w:tc>
        <w:tc>
          <w:tcPr>
            <w:tcW w:w="496" w:type="pct"/>
            <w:gridSpan w:val="2"/>
            <w:tcBorders>
              <w:top w:val="single" w:sz="8" w:space="0" w:color="auto"/>
              <w:left w:val="nil"/>
              <w:bottom w:val="single" w:sz="8" w:space="0" w:color="auto"/>
              <w:right w:val="single" w:sz="8" w:space="0" w:color="auto"/>
            </w:tcBorders>
            <w:vAlign w:val="center"/>
            <w:hideMark/>
          </w:tcPr>
          <w:p w14:paraId="44939BE9"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2"/>
            <w:tcBorders>
              <w:top w:val="single" w:sz="8" w:space="0" w:color="auto"/>
              <w:left w:val="nil"/>
              <w:bottom w:val="single" w:sz="8" w:space="0" w:color="auto"/>
              <w:right w:val="single" w:sz="8" w:space="0" w:color="auto"/>
            </w:tcBorders>
            <w:vAlign w:val="center"/>
            <w:hideMark/>
          </w:tcPr>
          <w:p w14:paraId="6DD1197A"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2"/>
            <w:tcBorders>
              <w:top w:val="single" w:sz="8" w:space="0" w:color="auto"/>
              <w:left w:val="nil"/>
              <w:bottom w:val="single" w:sz="8" w:space="0" w:color="auto"/>
              <w:right w:val="single" w:sz="8" w:space="0" w:color="auto"/>
            </w:tcBorders>
            <w:vAlign w:val="center"/>
            <w:hideMark/>
          </w:tcPr>
          <w:p w14:paraId="09CB4360"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78" w:type="pct"/>
            <w:gridSpan w:val="2"/>
            <w:tcBorders>
              <w:top w:val="single" w:sz="8" w:space="0" w:color="auto"/>
              <w:left w:val="nil"/>
              <w:bottom w:val="single" w:sz="8" w:space="0" w:color="auto"/>
              <w:right w:val="single" w:sz="8" w:space="0" w:color="auto"/>
            </w:tcBorders>
            <w:vAlign w:val="center"/>
            <w:hideMark/>
          </w:tcPr>
          <w:p w14:paraId="55E47CA3"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14:paraId="398E4CFC"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1B72BE31" w14:textId="77777777">
        <w:trPr>
          <w:trHeight w:val="288"/>
        </w:trPr>
        <w:tc>
          <w:tcPr>
            <w:tcW w:w="2444" w:type="pct"/>
            <w:gridSpan w:val="6"/>
            <w:vMerge/>
            <w:tcBorders>
              <w:top w:val="single" w:sz="8" w:space="0" w:color="auto"/>
              <w:left w:val="single" w:sz="8" w:space="0" w:color="auto"/>
              <w:bottom w:val="single" w:sz="8" w:space="0" w:color="auto"/>
              <w:right w:val="single" w:sz="8" w:space="0" w:color="auto"/>
            </w:tcBorders>
            <w:vAlign w:val="center"/>
            <w:hideMark/>
          </w:tcPr>
          <w:p w14:paraId="730F97B8" w14:textId="77777777" w:rsidR="00A27CF2" w:rsidRPr="00047543" w:rsidRDefault="00A27CF2">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383C6A73"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00CC9A51"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4448D56A"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78" w:type="pct"/>
            <w:gridSpan w:val="2"/>
            <w:tcBorders>
              <w:top w:val="nil"/>
              <w:left w:val="nil"/>
              <w:bottom w:val="single" w:sz="8" w:space="0" w:color="auto"/>
              <w:right w:val="single" w:sz="8" w:space="0" w:color="auto"/>
            </w:tcBorders>
            <w:vAlign w:val="center"/>
            <w:hideMark/>
          </w:tcPr>
          <w:p w14:paraId="393021FF"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14:paraId="0694F474" w14:textId="77777777" w:rsidR="00A27CF2" w:rsidRPr="00047543" w:rsidRDefault="00A27CF2">
            <w:pPr>
              <w:spacing w:before="0" w:after="0"/>
              <w:jc w:val="left"/>
              <w:rPr>
                <w:b/>
                <w:bCs/>
                <w:noProof/>
                <w:color w:val="000000"/>
                <w:sz w:val="20"/>
                <w:szCs w:val="20"/>
                <w:lang w:eastAsia="en-IE"/>
              </w:rPr>
            </w:pPr>
          </w:p>
        </w:tc>
      </w:tr>
      <w:tr w:rsidR="00A27CF2" w:rsidRPr="00047543" w14:paraId="6F9B2B42" w14:textId="77777777">
        <w:trPr>
          <w:trHeight w:val="300"/>
        </w:trPr>
        <w:tc>
          <w:tcPr>
            <w:tcW w:w="5000" w:type="pct"/>
            <w:gridSpan w:val="15"/>
            <w:tcBorders>
              <w:top w:val="single" w:sz="8" w:space="0" w:color="auto"/>
              <w:left w:val="single" w:sz="8" w:space="0" w:color="auto"/>
              <w:bottom w:val="single" w:sz="8" w:space="0" w:color="auto"/>
              <w:right w:val="single" w:sz="8" w:space="0" w:color="auto"/>
            </w:tcBorders>
            <w:vAlign w:val="center"/>
            <w:hideMark/>
          </w:tcPr>
          <w:p w14:paraId="1BF70C2F" w14:textId="77777777" w:rsidR="00A27CF2" w:rsidRPr="00047543" w:rsidRDefault="00A27CF2">
            <w:pPr>
              <w:spacing w:before="0" w:after="0"/>
              <w:jc w:val="left"/>
              <w:rPr>
                <w:noProof/>
                <w:color w:val="000000"/>
                <w:sz w:val="21"/>
                <w:szCs w:val="21"/>
              </w:rPr>
            </w:pPr>
            <w:r w:rsidRPr="00047543">
              <w:rPr>
                <w:noProof/>
                <w:color w:val="000000"/>
                <w:sz w:val="21"/>
              </w:rPr>
              <w:t xml:space="preserve">Driftsanslag </w:t>
            </w:r>
          </w:p>
        </w:tc>
      </w:tr>
      <w:tr w:rsidR="00A27CF2" w:rsidRPr="00047543" w14:paraId="3EF3CE77" w14:textId="77777777">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2ED7680E" w14:textId="77777777" w:rsidR="00A27CF2" w:rsidRPr="00047543" w:rsidRDefault="00A27CF2">
            <w:pPr>
              <w:spacing w:before="0" w:after="0"/>
              <w:jc w:val="left"/>
              <w:rPr>
                <w:noProof/>
                <w:color w:val="000000"/>
                <w:sz w:val="22"/>
              </w:rPr>
            </w:pPr>
            <w:r w:rsidRPr="00047543">
              <w:rPr>
                <w:noProof/>
                <w:color w:val="000000"/>
                <w:sz w:val="22"/>
              </w:rPr>
              <w:t>Budgetpost</w:t>
            </w:r>
          </w:p>
        </w:tc>
        <w:tc>
          <w:tcPr>
            <w:tcW w:w="529" w:type="pct"/>
            <w:gridSpan w:val="2"/>
            <w:tcBorders>
              <w:top w:val="nil"/>
              <w:left w:val="nil"/>
              <w:bottom w:val="single" w:sz="8" w:space="0" w:color="auto"/>
              <w:right w:val="single" w:sz="8" w:space="0" w:color="auto"/>
            </w:tcBorders>
            <w:vAlign w:val="center"/>
            <w:hideMark/>
          </w:tcPr>
          <w:p w14:paraId="18BFBC47"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2"/>
            <w:tcBorders>
              <w:top w:val="single" w:sz="8" w:space="0" w:color="auto"/>
              <w:left w:val="nil"/>
              <w:bottom w:val="single" w:sz="8" w:space="0" w:color="auto"/>
              <w:right w:val="single" w:sz="8" w:space="0" w:color="auto"/>
            </w:tcBorders>
            <w:vAlign w:val="center"/>
            <w:hideMark/>
          </w:tcPr>
          <w:p w14:paraId="0EA6A572" w14:textId="77777777" w:rsidR="00A27CF2" w:rsidRPr="00047543" w:rsidRDefault="00A27CF2">
            <w:pPr>
              <w:spacing w:before="0" w:after="0"/>
              <w:jc w:val="center"/>
              <w:rPr>
                <w:noProof/>
                <w:color w:val="000000"/>
                <w:sz w:val="14"/>
                <w:szCs w:val="14"/>
              </w:rPr>
            </w:pPr>
            <w:r w:rsidRPr="00047543">
              <w:rPr>
                <w:noProof/>
                <w:color w:val="000000"/>
                <w:sz w:val="14"/>
              </w:rPr>
              <w:t>(1a)</w:t>
            </w:r>
          </w:p>
        </w:tc>
        <w:tc>
          <w:tcPr>
            <w:tcW w:w="496" w:type="pct"/>
            <w:gridSpan w:val="2"/>
            <w:tcBorders>
              <w:top w:val="nil"/>
              <w:left w:val="nil"/>
              <w:bottom w:val="single" w:sz="8" w:space="0" w:color="auto"/>
              <w:right w:val="single" w:sz="8" w:space="0" w:color="auto"/>
            </w:tcBorders>
            <w:vAlign w:val="center"/>
            <w:hideMark/>
          </w:tcPr>
          <w:p w14:paraId="2A25BBFD"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4A9ADE2"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C8069D3"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6568C2B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7F035C2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1EEFAD8" w14:textId="77777777">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2A4473FD" w14:textId="77777777" w:rsidR="00A27CF2" w:rsidRPr="00047543" w:rsidRDefault="00A27CF2">
            <w:pPr>
              <w:spacing w:before="0" w:after="0"/>
              <w:jc w:val="left"/>
              <w:rPr>
                <w:noProof/>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1F2272B3"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2"/>
            <w:tcBorders>
              <w:top w:val="single" w:sz="8" w:space="0" w:color="auto"/>
              <w:left w:val="nil"/>
              <w:bottom w:val="single" w:sz="8" w:space="0" w:color="auto"/>
              <w:right w:val="single" w:sz="8" w:space="0" w:color="auto"/>
            </w:tcBorders>
            <w:vAlign w:val="center"/>
            <w:hideMark/>
          </w:tcPr>
          <w:p w14:paraId="079702F0" w14:textId="77777777" w:rsidR="00A27CF2" w:rsidRPr="00047543" w:rsidRDefault="00A27CF2">
            <w:pPr>
              <w:spacing w:before="0" w:after="0"/>
              <w:jc w:val="center"/>
              <w:rPr>
                <w:noProof/>
                <w:color w:val="000000"/>
                <w:sz w:val="14"/>
                <w:szCs w:val="14"/>
              </w:rPr>
            </w:pPr>
            <w:r w:rsidRPr="00047543">
              <w:rPr>
                <w:noProof/>
                <w:color w:val="000000"/>
                <w:sz w:val="14"/>
              </w:rPr>
              <w:t>(2a)</w:t>
            </w:r>
          </w:p>
        </w:tc>
        <w:tc>
          <w:tcPr>
            <w:tcW w:w="496" w:type="pct"/>
            <w:gridSpan w:val="2"/>
            <w:tcBorders>
              <w:top w:val="nil"/>
              <w:left w:val="nil"/>
              <w:bottom w:val="single" w:sz="8" w:space="0" w:color="auto"/>
              <w:right w:val="single" w:sz="8" w:space="0" w:color="auto"/>
            </w:tcBorders>
            <w:vAlign w:val="center"/>
            <w:hideMark/>
          </w:tcPr>
          <w:p w14:paraId="475876B9"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7CF6044"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9ACC800"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548183C9"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07A9A36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21553ED3" w14:textId="77777777">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1819E213"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2"/>
            <w:tcBorders>
              <w:top w:val="nil"/>
              <w:left w:val="nil"/>
              <w:bottom w:val="single" w:sz="8" w:space="0" w:color="auto"/>
              <w:right w:val="single" w:sz="8" w:space="0" w:color="auto"/>
            </w:tcBorders>
            <w:vAlign w:val="center"/>
            <w:hideMark/>
          </w:tcPr>
          <w:p w14:paraId="3402AFD2"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2"/>
            <w:tcBorders>
              <w:top w:val="single" w:sz="8" w:space="0" w:color="auto"/>
              <w:left w:val="nil"/>
              <w:bottom w:val="single" w:sz="8" w:space="0" w:color="auto"/>
              <w:right w:val="single" w:sz="8" w:space="0" w:color="auto"/>
            </w:tcBorders>
            <w:vAlign w:val="center"/>
            <w:hideMark/>
          </w:tcPr>
          <w:p w14:paraId="661FD89D" w14:textId="77777777" w:rsidR="00A27CF2" w:rsidRPr="00047543" w:rsidRDefault="00A27CF2">
            <w:pPr>
              <w:spacing w:before="0" w:after="0"/>
              <w:jc w:val="center"/>
              <w:rPr>
                <w:noProof/>
                <w:color w:val="000000"/>
                <w:sz w:val="14"/>
                <w:szCs w:val="14"/>
              </w:rPr>
            </w:pPr>
            <w:r w:rsidRPr="00047543">
              <w:rPr>
                <w:noProof/>
                <w:color w:val="000000"/>
                <w:sz w:val="14"/>
              </w:rPr>
              <w:t>(1b)</w:t>
            </w:r>
          </w:p>
        </w:tc>
        <w:tc>
          <w:tcPr>
            <w:tcW w:w="496" w:type="pct"/>
            <w:gridSpan w:val="2"/>
            <w:tcBorders>
              <w:top w:val="nil"/>
              <w:left w:val="nil"/>
              <w:bottom w:val="single" w:sz="8" w:space="0" w:color="auto"/>
              <w:right w:val="single" w:sz="8" w:space="0" w:color="auto"/>
            </w:tcBorders>
            <w:vAlign w:val="center"/>
            <w:hideMark/>
          </w:tcPr>
          <w:p w14:paraId="6EC5EA4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9B8BD0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F392B87"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4F47E6C2"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146C7F1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190DC5C" w14:textId="77777777">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5E57DC79" w14:textId="77777777" w:rsidR="00A27CF2" w:rsidRPr="00047543" w:rsidRDefault="00A27CF2">
            <w:pPr>
              <w:spacing w:before="0" w:after="0"/>
              <w:jc w:val="left"/>
              <w:rPr>
                <w:noProof/>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6BB1F428"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2"/>
            <w:tcBorders>
              <w:top w:val="single" w:sz="8" w:space="0" w:color="auto"/>
              <w:left w:val="nil"/>
              <w:bottom w:val="single" w:sz="8" w:space="0" w:color="auto"/>
              <w:right w:val="single" w:sz="8" w:space="0" w:color="auto"/>
            </w:tcBorders>
            <w:vAlign w:val="center"/>
            <w:hideMark/>
          </w:tcPr>
          <w:p w14:paraId="24F09972" w14:textId="77777777" w:rsidR="00A27CF2" w:rsidRPr="00047543" w:rsidRDefault="00A27CF2">
            <w:pPr>
              <w:spacing w:before="0" w:after="0"/>
              <w:jc w:val="center"/>
              <w:rPr>
                <w:noProof/>
                <w:color w:val="000000"/>
                <w:sz w:val="14"/>
                <w:szCs w:val="14"/>
              </w:rPr>
            </w:pPr>
            <w:r w:rsidRPr="00047543">
              <w:rPr>
                <w:noProof/>
                <w:color w:val="000000"/>
                <w:sz w:val="14"/>
              </w:rPr>
              <w:t>(2b)</w:t>
            </w:r>
          </w:p>
        </w:tc>
        <w:tc>
          <w:tcPr>
            <w:tcW w:w="496" w:type="pct"/>
            <w:gridSpan w:val="2"/>
            <w:tcBorders>
              <w:top w:val="nil"/>
              <w:left w:val="nil"/>
              <w:bottom w:val="single" w:sz="8" w:space="0" w:color="auto"/>
              <w:right w:val="single" w:sz="8" w:space="0" w:color="auto"/>
            </w:tcBorders>
            <w:vAlign w:val="center"/>
            <w:hideMark/>
          </w:tcPr>
          <w:p w14:paraId="3D3B681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B14B3EA"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446DA0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3D26CCA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14851C0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81C1AA8" w14:textId="77777777">
        <w:trPr>
          <w:trHeight w:val="288"/>
        </w:trPr>
        <w:tc>
          <w:tcPr>
            <w:tcW w:w="5000" w:type="pct"/>
            <w:gridSpan w:val="15"/>
            <w:tcBorders>
              <w:top w:val="single" w:sz="8" w:space="0" w:color="auto"/>
              <w:left w:val="single" w:sz="8" w:space="0" w:color="auto"/>
              <w:bottom w:val="single" w:sz="8" w:space="0" w:color="auto"/>
              <w:right w:val="single" w:sz="8" w:space="0" w:color="auto"/>
            </w:tcBorders>
            <w:noWrap/>
            <w:vAlign w:val="bottom"/>
            <w:hideMark/>
          </w:tcPr>
          <w:p w14:paraId="3D628885" w14:textId="77777777" w:rsidR="00A27CF2" w:rsidRPr="00047543" w:rsidRDefault="00A27CF2">
            <w:pPr>
              <w:spacing w:before="0" w:after="0"/>
              <w:jc w:val="left"/>
              <w:rPr>
                <w:noProof/>
                <w:color w:val="000000"/>
                <w:sz w:val="22"/>
              </w:rPr>
            </w:pPr>
            <w:r w:rsidRPr="00047543">
              <w:rPr>
                <w:noProof/>
                <w:color w:val="000000"/>
                <w:sz w:val="22"/>
              </w:rPr>
              <w:t>Anslag av administrativ natur som finansieras genom ramanslagen för särskilda program</w:t>
            </w:r>
            <w:r w:rsidRPr="00047543">
              <w:rPr>
                <w:noProof/>
              </w:rPr>
              <w:t xml:space="preserve"> </w:t>
            </w:r>
          </w:p>
        </w:tc>
      </w:tr>
      <w:tr w:rsidR="00A27CF2" w:rsidRPr="00047543" w14:paraId="2CDCA50A" w14:textId="77777777">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39374552"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2"/>
            <w:tcBorders>
              <w:top w:val="nil"/>
              <w:left w:val="nil"/>
              <w:bottom w:val="single" w:sz="8" w:space="0" w:color="auto"/>
              <w:right w:val="single" w:sz="8" w:space="0" w:color="auto"/>
            </w:tcBorders>
            <w:vAlign w:val="center"/>
            <w:hideMark/>
          </w:tcPr>
          <w:p w14:paraId="186B2DAA" w14:textId="77777777" w:rsidR="00A27CF2" w:rsidRPr="00047543" w:rsidRDefault="00A27CF2">
            <w:pPr>
              <w:spacing w:before="0" w:after="0"/>
              <w:jc w:val="right"/>
              <w:rPr>
                <w:noProof/>
                <w:color w:val="000000"/>
                <w:sz w:val="18"/>
                <w:szCs w:val="18"/>
              </w:rPr>
            </w:pPr>
            <w:r w:rsidRPr="00047543">
              <w:rPr>
                <w:noProof/>
                <w:color w:val="000000"/>
                <w:sz w:val="18"/>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14:paraId="62C38230" w14:textId="77777777" w:rsidR="00A27CF2" w:rsidRPr="00047543" w:rsidRDefault="00A27CF2">
            <w:pPr>
              <w:spacing w:before="0" w:after="0"/>
              <w:jc w:val="center"/>
              <w:rPr>
                <w:noProof/>
                <w:color w:val="000000"/>
                <w:sz w:val="14"/>
                <w:szCs w:val="14"/>
              </w:rPr>
            </w:pPr>
            <w:r w:rsidRPr="00047543">
              <w:rPr>
                <w:noProof/>
                <w:color w:val="000000"/>
                <w:sz w:val="14"/>
              </w:rPr>
              <w:t>(3)</w:t>
            </w:r>
          </w:p>
        </w:tc>
        <w:tc>
          <w:tcPr>
            <w:tcW w:w="496" w:type="pct"/>
            <w:gridSpan w:val="2"/>
            <w:tcBorders>
              <w:top w:val="nil"/>
              <w:left w:val="nil"/>
              <w:bottom w:val="single" w:sz="8" w:space="0" w:color="auto"/>
              <w:right w:val="single" w:sz="8" w:space="0" w:color="auto"/>
            </w:tcBorders>
            <w:vAlign w:val="center"/>
            <w:hideMark/>
          </w:tcPr>
          <w:p w14:paraId="01664475"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B5CE7E3"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638CFD3"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0C89A739"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17E0F9D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D37A3D0" w14:textId="77777777">
        <w:trPr>
          <w:trHeight w:val="288"/>
        </w:trPr>
        <w:tc>
          <w:tcPr>
            <w:tcW w:w="1419" w:type="pct"/>
            <w:gridSpan w:val="2"/>
            <w:vMerge w:val="restart"/>
            <w:tcBorders>
              <w:top w:val="nil"/>
              <w:left w:val="single" w:sz="8" w:space="0" w:color="auto"/>
              <w:right w:val="single" w:sz="8" w:space="0" w:color="auto"/>
            </w:tcBorders>
            <w:vAlign w:val="center"/>
            <w:hideMark/>
          </w:tcPr>
          <w:p w14:paraId="27B42981" w14:textId="77777777" w:rsidR="00A27CF2" w:rsidRPr="00047543" w:rsidRDefault="00A27CF2">
            <w:pPr>
              <w:spacing w:before="0" w:after="0"/>
              <w:jc w:val="center"/>
              <w:rPr>
                <w:b/>
                <w:bCs/>
                <w:noProof/>
                <w:color w:val="000000"/>
                <w:sz w:val="22"/>
              </w:rPr>
            </w:pPr>
            <w:r w:rsidRPr="00047543">
              <w:rPr>
                <w:b/>
                <w:noProof/>
                <w:color w:val="000000"/>
                <w:sz w:val="22"/>
              </w:rPr>
              <w:t>TOTALA anslag</w:t>
            </w:r>
          </w:p>
          <w:p w14:paraId="45A90E88" w14:textId="77777777" w:rsidR="00A27CF2" w:rsidRPr="00047543" w:rsidRDefault="00A27CF2">
            <w:pPr>
              <w:spacing w:before="0" w:after="0"/>
              <w:jc w:val="center"/>
              <w:rPr>
                <w:b/>
                <w:bCs/>
                <w:noProof/>
                <w:color w:val="000000"/>
                <w:sz w:val="22"/>
              </w:rPr>
            </w:pPr>
            <w:r w:rsidRPr="00047543">
              <w:rPr>
                <w:b/>
                <w:noProof/>
                <w:color w:val="000000"/>
                <w:sz w:val="22"/>
              </w:rPr>
              <w:t xml:space="preserve">för GD </w:t>
            </w:r>
            <w:r w:rsidRPr="00047543">
              <w:rPr>
                <w:noProof/>
                <w:color w:val="000000"/>
                <w:sz w:val="22"/>
              </w:rPr>
              <w:t>&lt;…….&gt;</w:t>
            </w:r>
          </w:p>
        </w:tc>
        <w:tc>
          <w:tcPr>
            <w:tcW w:w="529" w:type="pct"/>
            <w:gridSpan w:val="2"/>
            <w:tcBorders>
              <w:top w:val="nil"/>
              <w:left w:val="nil"/>
              <w:bottom w:val="single" w:sz="8" w:space="0" w:color="auto"/>
              <w:right w:val="single" w:sz="8" w:space="0" w:color="auto"/>
            </w:tcBorders>
            <w:vAlign w:val="center"/>
            <w:hideMark/>
          </w:tcPr>
          <w:p w14:paraId="019F5AFD"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2"/>
            <w:tcBorders>
              <w:top w:val="single" w:sz="8" w:space="0" w:color="auto"/>
              <w:left w:val="nil"/>
              <w:bottom w:val="single" w:sz="8" w:space="0" w:color="auto"/>
              <w:right w:val="single" w:sz="8" w:space="0" w:color="auto"/>
            </w:tcBorders>
            <w:vAlign w:val="center"/>
            <w:hideMark/>
          </w:tcPr>
          <w:p w14:paraId="59725EBF" w14:textId="77777777" w:rsidR="00A27CF2" w:rsidRPr="00047543" w:rsidRDefault="00A27CF2">
            <w:pPr>
              <w:spacing w:before="0" w:after="0"/>
              <w:jc w:val="center"/>
              <w:rPr>
                <w:noProof/>
                <w:color w:val="000000"/>
                <w:sz w:val="14"/>
                <w:szCs w:val="14"/>
              </w:rPr>
            </w:pPr>
            <w:r w:rsidRPr="00047543">
              <w:rPr>
                <w:noProof/>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3A9A02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D70CFA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BDB265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4159B39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294B6A3E"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A9F9FFF" w14:textId="77777777">
        <w:trPr>
          <w:trHeight w:val="288"/>
        </w:trPr>
        <w:tc>
          <w:tcPr>
            <w:tcW w:w="1419" w:type="pct"/>
            <w:gridSpan w:val="2"/>
            <w:vMerge/>
            <w:tcBorders>
              <w:left w:val="single" w:sz="8" w:space="0" w:color="auto"/>
              <w:bottom w:val="single" w:sz="8" w:space="0" w:color="auto"/>
              <w:right w:val="single" w:sz="8" w:space="0" w:color="auto"/>
            </w:tcBorders>
            <w:vAlign w:val="center"/>
            <w:hideMark/>
          </w:tcPr>
          <w:p w14:paraId="6A9453DA" w14:textId="77777777" w:rsidR="00A27CF2" w:rsidRPr="00047543" w:rsidRDefault="00A27CF2">
            <w:pPr>
              <w:spacing w:before="0" w:after="0"/>
              <w:jc w:val="center"/>
              <w:rPr>
                <w:b/>
                <w:bCs/>
                <w:noProof/>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5761C49C"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2"/>
            <w:tcBorders>
              <w:top w:val="single" w:sz="8" w:space="0" w:color="auto"/>
              <w:left w:val="nil"/>
              <w:bottom w:val="single" w:sz="8" w:space="0" w:color="auto"/>
              <w:right w:val="single" w:sz="8" w:space="0" w:color="auto"/>
            </w:tcBorders>
            <w:vAlign w:val="center"/>
            <w:hideMark/>
          </w:tcPr>
          <w:p w14:paraId="5CC07C85" w14:textId="77777777" w:rsidR="00A27CF2" w:rsidRPr="00047543" w:rsidRDefault="00A27CF2">
            <w:pPr>
              <w:spacing w:before="0" w:after="0"/>
              <w:jc w:val="center"/>
              <w:rPr>
                <w:noProof/>
                <w:color w:val="000000"/>
                <w:sz w:val="14"/>
                <w:szCs w:val="14"/>
              </w:rPr>
            </w:pPr>
            <w:r w:rsidRPr="00047543">
              <w:rPr>
                <w:noProof/>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F75F11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4AAE624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EFD5214"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77428EA5"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4F6757C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776DCD07" w14:textId="77777777">
        <w:trPr>
          <w:trHeight w:val="300"/>
        </w:trPr>
        <w:tc>
          <w:tcPr>
            <w:tcW w:w="2432" w:type="pct"/>
            <w:gridSpan w:val="5"/>
            <w:vMerge w:val="restart"/>
            <w:tcBorders>
              <w:top w:val="single" w:sz="8" w:space="0" w:color="auto"/>
              <w:left w:val="single" w:sz="8" w:space="0" w:color="auto"/>
              <w:bottom w:val="single" w:sz="8" w:space="0" w:color="000000"/>
              <w:right w:val="single" w:sz="8" w:space="0" w:color="000000"/>
            </w:tcBorders>
            <w:vAlign w:val="center"/>
            <w:hideMark/>
          </w:tcPr>
          <w:p w14:paraId="22FC12E6" w14:textId="77777777" w:rsidR="00A27CF2" w:rsidRPr="00047543" w:rsidRDefault="00A27CF2">
            <w:pPr>
              <w:spacing w:before="0" w:after="0"/>
              <w:jc w:val="center"/>
              <w:rPr>
                <w:b/>
                <w:bCs/>
                <w:noProof/>
                <w:color w:val="000000"/>
                <w:sz w:val="22"/>
              </w:rPr>
            </w:pPr>
            <w:r w:rsidRPr="00047543">
              <w:rPr>
                <w:b/>
                <w:noProof/>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3B6DBFBF"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2"/>
            <w:tcBorders>
              <w:top w:val="single" w:sz="8" w:space="0" w:color="auto"/>
              <w:left w:val="nil"/>
              <w:bottom w:val="single" w:sz="8" w:space="0" w:color="auto"/>
              <w:right w:val="single" w:sz="8" w:space="0" w:color="auto"/>
            </w:tcBorders>
            <w:vAlign w:val="center"/>
            <w:hideMark/>
          </w:tcPr>
          <w:p w14:paraId="7C61D315"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2"/>
            <w:tcBorders>
              <w:top w:val="single" w:sz="8" w:space="0" w:color="auto"/>
              <w:left w:val="nil"/>
              <w:bottom w:val="single" w:sz="8" w:space="0" w:color="auto"/>
              <w:right w:val="single" w:sz="8" w:space="0" w:color="auto"/>
            </w:tcBorders>
            <w:vAlign w:val="center"/>
            <w:hideMark/>
          </w:tcPr>
          <w:p w14:paraId="4FEBBE85"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2"/>
            <w:tcBorders>
              <w:top w:val="single" w:sz="8" w:space="0" w:color="auto"/>
              <w:left w:val="nil"/>
              <w:bottom w:val="single" w:sz="8" w:space="0" w:color="auto"/>
              <w:right w:val="single" w:sz="8" w:space="0" w:color="auto"/>
            </w:tcBorders>
            <w:vAlign w:val="center"/>
            <w:hideMark/>
          </w:tcPr>
          <w:p w14:paraId="21F8D1C1"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61939FFE"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19F1151B" w14:textId="77777777">
        <w:trPr>
          <w:trHeight w:val="300"/>
        </w:trPr>
        <w:tc>
          <w:tcPr>
            <w:tcW w:w="2432" w:type="pct"/>
            <w:gridSpan w:val="5"/>
            <w:vMerge/>
            <w:tcBorders>
              <w:top w:val="single" w:sz="8" w:space="0" w:color="auto"/>
              <w:left w:val="single" w:sz="8" w:space="0" w:color="auto"/>
              <w:bottom w:val="single" w:sz="8" w:space="0" w:color="000000"/>
              <w:right w:val="single" w:sz="8" w:space="0" w:color="000000"/>
            </w:tcBorders>
            <w:vAlign w:val="center"/>
            <w:hideMark/>
          </w:tcPr>
          <w:p w14:paraId="4A5F8C1D" w14:textId="77777777" w:rsidR="00A27CF2" w:rsidRPr="00047543" w:rsidRDefault="00A27CF2">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4E8F1711"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93" w:type="pct"/>
            <w:gridSpan w:val="2"/>
            <w:tcBorders>
              <w:top w:val="nil"/>
              <w:left w:val="nil"/>
              <w:bottom w:val="single" w:sz="8" w:space="0" w:color="auto"/>
              <w:right w:val="single" w:sz="8" w:space="0" w:color="auto"/>
            </w:tcBorders>
            <w:vAlign w:val="center"/>
            <w:hideMark/>
          </w:tcPr>
          <w:p w14:paraId="6274BB8B"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334BB191"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93" w:type="pct"/>
            <w:gridSpan w:val="2"/>
            <w:tcBorders>
              <w:top w:val="nil"/>
              <w:left w:val="nil"/>
              <w:bottom w:val="single" w:sz="8" w:space="0" w:color="auto"/>
              <w:right w:val="single" w:sz="8" w:space="0" w:color="auto"/>
            </w:tcBorders>
            <w:vAlign w:val="center"/>
            <w:hideMark/>
          </w:tcPr>
          <w:p w14:paraId="79E7DAFE"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4EC941E0" w14:textId="77777777" w:rsidR="00A27CF2" w:rsidRPr="00047543" w:rsidRDefault="00A27CF2">
            <w:pPr>
              <w:spacing w:before="0" w:after="0"/>
              <w:jc w:val="left"/>
              <w:rPr>
                <w:b/>
                <w:bCs/>
                <w:noProof/>
                <w:color w:val="000000"/>
                <w:sz w:val="20"/>
                <w:szCs w:val="20"/>
                <w:lang w:eastAsia="en-IE"/>
              </w:rPr>
            </w:pPr>
          </w:p>
        </w:tc>
      </w:tr>
      <w:tr w:rsidR="00A27CF2" w:rsidRPr="00047543" w14:paraId="4FFA614D" w14:textId="77777777">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14:paraId="50C36168" w14:textId="77777777" w:rsidR="00A27CF2" w:rsidRPr="00047543" w:rsidRDefault="00A27CF2">
            <w:pPr>
              <w:spacing w:before="0" w:after="0"/>
              <w:rPr>
                <w:noProof/>
                <w:color w:val="000000"/>
                <w:sz w:val="21"/>
                <w:szCs w:val="21"/>
              </w:rPr>
            </w:pPr>
            <w:r w:rsidRPr="00047543">
              <w:rPr>
                <w:noProof/>
                <w:color w:val="000000"/>
                <w:sz w:val="21"/>
              </w:rPr>
              <w:t xml:space="preserve">TOTALA driftsanslag </w:t>
            </w:r>
            <w:r w:rsidRPr="00047543">
              <w:rPr>
                <w:noProof/>
              </w:rPr>
              <w:t xml:space="preserve"> </w:t>
            </w:r>
            <w:r w:rsidRPr="00047543">
              <w:rPr>
                <w:noProof/>
              </w:rPr>
              <w:cr/>
            </w:r>
            <w:r w:rsidRPr="00047543">
              <w:rPr>
                <w:noProof/>
              </w:rPr>
              <w:br/>
            </w:r>
          </w:p>
        </w:tc>
        <w:tc>
          <w:tcPr>
            <w:tcW w:w="529" w:type="pct"/>
            <w:gridSpan w:val="2"/>
            <w:tcBorders>
              <w:top w:val="nil"/>
              <w:left w:val="nil"/>
              <w:bottom w:val="single" w:sz="8" w:space="0" w:color="auto"/>
              <w:right w:val="single" w:sz="8" w:space="0" w:color="auto"/>
            </w:tcBorders>
            <w:vAlign w:val="center"/>
            <w:hideMark/>
          </w:tcPr>
          <w:p w14:paraId="727CC040"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2" w:type="pct"/>
            <w:gridSpan w:val="2"/>
            <w:tcBorders>
              <w:top w:val="single" w:sz="8" w:space="0" w:color="auto"/>
              <w:left w:val="nil"/>
              <w:bottom w:val="single" w:sz="8" w:space="0" w:color="auto"/>
              <w:right w:val="single" w:sz="8" w:space="0" w:color="auto"/>
            </w:tcBorders>
            <w:vAlign w:val="center"/>
            <w:hideMark/>
          </w:tcPr>
          <w:p w14:paraId="36E83F8D" w14:textId="77777777" w:rsidR="00A27CF2" w:rsidRPr="00047543" w:rsidRDefault="00A27CF2">
            <w:pPr>
              <w:spacing w:before="0" w:after="0"/>
              <w:jc w:val="center"/>
              <w:rPr>
                <w:noProof/>
                <w:color w:val="000000"/>
                <w:sz w:val="14"/>
                <w:szCs w:val="14"/>
              </w:rPr>
            </w:pPr>
            <w:r w:rsidRPr="00047543">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6DAD812"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49FE7D5"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58DA02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54701B1"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0018BC3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726ECE88" w14:textId="77777777">
        <w:trPr>
          <w:trHeight w:val="456"/>
        </w:trPr>
        <w:tc>
          <w:tcPr>
            <w:tcW w:w="1411" w:type="pct"/>
            <w:vMerge/>
            <w:tcBorders>
              <w:top w:val="nil"/>
              <w:left w:val="single" w:sz="8" w:space="0" w:color="auto"/>
              <w:bottom w:val="single" w:sz="8" w:space="0" w:color="auto"/>
              <w:right w:val="single" w:sz="8" w:space="0" w:color="auto"/>
            </w:tcBorders>
            <w:vAlign w:val="center"/>
            <w:hideMark/>
          </w:tcPr>
          <w:p w14:paraId="5373AB74" w14:textId="77777777" w:rsidR="00A27CF2" w:rsidRPr="00047543" w:rsidRDefault="00A27CF2">
            <w:pPr>
              <w:spacing w:before="0" w:after="0"/>
              <w:jc w:val="left"/>
              <w:rPr>
                <w:noProof/>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17855883"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2" w:type="pct"/>
            <w:gridSpan w:val="2"/>
            <w:tcBorders>
              <w:top w:val="single" w:sz="8" w:space="0" w:color="auto"/>
              <w:left w:val="nil"/>
              <w:bottom w:val="single" w:sz="8" w:space="0" w:color="auto"/>
              <w:right w:val="single" w:sz="8" w:space="0" w:color="auto"/>
            </w:tcBorders>
            <w:vAlign w:val="center"/>
            <w:hideMark/>
          </w:tcPr>
          <w:p w14:paraId="71A1451F" w14:textId="77777777" w:rsidR="00A27CF2" w:rsidRPr="00047543" w:rsidRDefault="00A27CF2">
            <w:pPr>
              <w:spacing w:before="0" w:after="0"/>
              <w:jc w:val="center"/>
              <w:rPr>
                <w:noProof/>
                <w:color w:val="000000"/>
                <w:sz w:val="14"/>
                <w:szCs w:val="14"/>
              </w:rPr>
            </w:pPr>
            <w:r w:rsidRPr="00047543">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2E5A48E"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EE6C3D0"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5F2CF71"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F0CE376"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C7F15A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5827FDD" w14:textId="77777777">
        <w:trPr>
          <w:trHeight w:val="924"/>
        </w:trPr>
        <w:tc>
          <w:tcPr>
            <w:tcW w:w="1939" w:type="pct"/>
            <w:gridSpan w:val="3"/>
            <w:tcBorders>
              <w:top w:val="single" w:sz="8" w:space="0" w:color="auto"/>
              <w:left w:val="single" w:sz="8" w:space="0" w:color="auto"/>
              <w:bottom w:val="single" w:sz="8" w:space="0" w:color="auto"/>
              <w:right w:val="single" w:sz="8" w:space="0" w:color="auto"/>
            </w:tcBorders>
            <w:vAlign w:val="center"/>
            <w:hideMark/>
          </w:tcPr>
          <w:p w14:paraId="1FF624F4" w14:textId="77777777" w:rsidR="00A27CF2" w:rsidRPr="00047543" w:rsidRDefault="00A27CF2">
            <w:pPr>
              <w:spacing w:before="0" w:after="0"/>
              <w:rPr>
                <w:noProof/>
                <w:color w:val="000000"/>
                <w:sz w:val="21"/>
                <w:szCs w:val="21"/>
              </w:rPr>
            </w:pPr>
            <w:r w:rsidRPr="00047543">
              <w:rPr>
                <w:noProof/>
                <w:color w:val="000000"/>
                <w:sz w:val="21"/>
              </w:rPr>
              <w:t xml:space="preserve">TOTALA anslag av administrativ natur som finansieras genom ramanslagen för särskilda program </w:t>
            </w:r>
          </w:p>
        </w:tc>
        <w:tc>
          <w:tcPr>
            <w:tcW w:w="492" w:type="pct"/>
            <w:gridSpan w:val="2"/>
            <w:tcBorders>
              <w:top w:val="single" w:sz="8" w:space="0" w:color="auto"/>
              <w:left w:val="nil"/>
              <w:bottom w:val="single" w:sz="8" w:space="0" w:color="auto"/>
              <w:right w:val="single" w:sz="8" w:space="0" w:color="auto"/>
            </w:tcBorders>
            <w:vAlign w:val="center"/>
            <w:hideMark/>
          </w:tcPr>
          <w:p w14:paraId="40F46DB2" w14:textId="77777777" w:rsidR="00A27CF2" w:rsidRPr="00047543" w:rsidRDefault="00A27CF2">
            <w:pPr>
              <w:spacing w:before="0" w:after="0"/>
              <w:jc w:val="center"/>
              <w:rPr>
                <w:noProof/>
                <w:color w:val="000000"/>
                <w:sz w:val="14"/>
                <w:szCs w:val="14"/>
              </w:rPr>
            </w:pPr>
            <w:r w:rsidRPr="00047543">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C212352"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E5502F1"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E5E9EA8"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EF97B55"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53FD3FB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65E6BAD0" w14:textId="77777777">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6A700B16" w14:textId="77777777" w:rsidR="00A27CF2" w:rsidRPr="00047543" w:rsidRDefault="00A27CF2">
            <w:pPr>
              <w:spacing w:before="0" w:after="0"/>
              <w:jc w:val="center"/>
              <w:rPr>
                <w:b/>
                <w:bCs/>
                <w:noProof/>
                <w:color w:val="000000"/>
                <w:sz w:val="22"/>
              </w:rPr>
            </w:pPr>
            <w:r w:rsidRPr="00047543">
              <w:rPr>
                <w:b/>
                <w:noProof/>
                <w:color w:val="000000"/>
                <w:sz w:val="22"/>
              </w:rPr>
              <w:t>TOTALA anslag för RUBRIK &lt;….&gt;</w:t>
            </w:r>
          </w:p>
        </w:tc>
        <w:tc>
          <w:tcPr>
            <w:tcW w:w="529" w:type="pct"/>
            <w:gridSpan w:val="2"/>
            <w:tcBorders>
              <w:top w:val="nil"/>
              <w:left w:val="nil"/>
              <w:bottom w:val="single" w:sz="8" w:space="0" w:color="auto"/>
              <w:right w:val="single" w:sz="8" w:space="0" w:color="auto"/>
            </w:tcBorders>
            <w:vAlign w:val="center"/>
            <w:hideMark/>
          </w:tcPr>
          <w:p w14:paraId="676647F8"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2" w:type="pct"/>
            <w:gridSpan w:val="2"/>
            <w:tcBorders>
              <w:top w:val="single" w:sz="8" w:space="0" w:color="auto"/>
              <w:left w:val="nil"/>
              <w:bottom w:val="single" w:sz="8" w:space="0" w:color="auto"/>
              <w:right w:val="single" w:sz="8" w:space="0" w:color="auto"/>
            </w:tcBorders>
            <w:vAlign w:val="center"/>
            <w:hideMark/>
          </w:tcPr>
          <w:p w14:paraId="59E3F465" w14:textId="77777777" w:rsidR="00A27CF2" w:rsidRPr="00047543" w:rsidRDefault="00A27CF2">
            <w:pPr>
              <w:spacing w:before="0" w:after="0"/>
              <w:jc w:val="center"/>
              <w:rPr>
                <w:noProof/>
                <w:color w:val="000000"/>
                <w:sz w:val="14"/>
                <w:szCs w:val="14"/>
              </w:rPr>
            </w:pPr>
            <w:r w:rsidRPr="00047543">
              <w:rPr>
                <w:noProof/>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923B7D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A504AD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554A3A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B170D5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1E66B97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DC68BFE" w14:textId="77777777">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5F99A590" w14:textId="77777777" w:rsidR="00A27CF2" w:rsidRPr="00047543" w:rsidRDefault="00A27CF2">
            <w:pPr>
              <w:spacing w:before="0" w:after="0"/>
              <w:jc w:val="center"/>
              <w:rPr>
                <w:noProof/>
                <w:color w:val="000000"/>
                <w:sz w:val="22"/>
              </w:rPr>
            </w:pPr>
            <w:r w:rsidRPr="00047543">
              <w:rPr>
                <w:noProof/>
                <w:color w:val="000000"/>
                <w:sz w:val="22"/>
              </w:rPr>
              <w:t>i den fleråriga budgetramen</w:t>
            </w:r>
          </w:p>
        </w:tc>
        <w:tc>
          <w:tcPr>
            <w:tcW w:w="529" w:type="pct"/>
            <w:gridSpan w:val="2"/>
            <w:tcBorders>
              <w:top w:val="nil"/>
              <w:left w:val="nil"/>
              <w:bottom w:val="single" w:sz="8" w:space="0" w:color="auto"/>
              <w:right w:val="single" w:sz="8" w:space="0" w:color="auto"/>
            </w:tcBorders>
            <w:vAlign w:val="center"/>
            <w:hideMark/>
          </w:tcPr>
          <w:p w14:paraId="247163A6"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2" w:type="pct"/>
            <w:gridSpan w:val="2"/>
            <w:tcBorders>
              <w:top w:val="single" w:sz="8" w:space="0" w:color="auto"/>
              <w:left w:val="nil"/>
              <w:bottom w:val="single" w:sz="8" w:space="0" w:color="auto"/>
              <w:right w:val="single" w:sz="8" w:space="0" w:color="auto"/>
            </w:tcBorders>
            <w:vAlign w:val="center"/>
            <w:hideMark/>
          </w:tcPr>
          <w:p w14:paraId="2D08A515" w14:textId="77777777" w:rsidR="00A27CF2" w:rsidRPr="00047543" w:rsidRDefault="00A27CF2">
            <w:pPr>
              <w:spacing w:before="0" w:after="0"/>
              <w:jc w:val="center"/>
              <w:rPr>
                <w:noProof/>
                <w:color w:val="000000"/>
                <w:sz w:val="14"/>
                <w:szCs w:val="14"/>
              </w:rPr>
            </w:pPr>
            <w:r w:rsidRPr="00047543">
              <w:rPr>
                <w:noProof/>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FB1DEE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5C25B8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C3E28AE"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7AB5E7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4550C5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bl>
    <w:p w14:paraId="04F55FD3" w14:textId="77777777" w:rsidR="00A27CF2" w:rsidRPr="00047543" w:rsidRDefault="00A27CF2" w:rsidP="00A27CF2">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A27CF2" w:rsidRPr="00047543" w14:paraId="1E31789F" w14:textId="77777777">
        <w:trPr>
          <w:jc w:val="center"/>
        </w:trPr>
        <w:tc>
          <w:tcPr>
            <w:tcW w:w="1739" w:type="pct"/>
            <w:shd w:val="thinDiagStripe" w:color="C0C0C0" w:fill="auto"/>
            <w:vAlign w:val="center"/>
          </w:tcPr>
          <w:p w14:paraId="5469DF3E" w14:textId="77777777" w:rsidR="00A27CF2" w:rsidRPr="00047543" w:rsidRDefault="00A27CF2">
            <w:pPr>
              <w:spacing w:before="60" w:after="60"/>
              <w:jc w:val="center"/>
              <w:rPr>
                <w:b/>
                <w:noProof/>
              </w:rPr>
            </w:pPr>
            <w:r w:rsidRPr="00047543">
              <w:rPr>
                <w:b/>
                <w:noProof/>
                <w:sz w:val="22"/>
              </w:rPr>
              <w:t>Rubrik i den fleråriga</w:t>
            </w:r>
            <w:r w:rsidRPr="00047543">
              <w:rPr>
                <w:noProof/>
              </w:rPr>
              <w:cr/>
            </w:r>
            <w:r w:rsidRPr="00047543">
              <w:rPr>
                <w:noProof/>
              </w:rPr>
              <w:br/>
            </w:r>
            <w:r w:rsidRPr="00047543">
              <w:rPr>
                <w:b/>
                <w:noProof/>
                <w:sz w:val="22"/>
              </w:rPr>
              <w:t xml:space="preserve">budgetramen </w:t>
            </w:r>
          </w:p>
        </w:tc>
        <w:tc>
          <w:tcPr>
            <w:tcW w:w="396" w:type="pct"/>
            <w:vAlign w:val="center"/>
          </w:tcPr>
          <w:p w14:paraId="7CA63333" w14:textId="77777777" w:rsidR="00A27CF2" w:rsidRPr="00047543" w:rsidRDefault="00A27CF2">
            <w:pPr>
              <w:spacing w:before="60" w:after="60"/>
              <w:jc w:val="center"/>
              <w:rPr>
                <w:noProof/>
              </w:rPr>
            </w:pPr>
            <w:r w:rsidRPr="00047543">
              <w:rPr>
                <w:noProof/>
                <w:sz w:val="22"/>
              </w:rPr>
              <w:t>Nummer</w:t>
            </w:r>
          </w:p>
        </w:tc>
        <w:tc>
          <w:tcPr>
            <w:tcW w:w="2865" w:type="pct"/>
            <w:vAlign w:val="center"/>
          </w:tcPr>
          <w:p w14:paraId="0F071807" w14:textId="77777777" w:rsidR="00A27CF2" w:rsidRPr="00047543" w:rsidRDefault="00A27CF2">
            <w:pPr>
              <w:spacing w:before="60" w:after="60"/>
              <w:rPr>
                <w:noProof/>
              </w:rPr>
            </w:pPr>
          </w:p>
        </w:tc>
      </w:tr>
    </w:tbl>
    <w:p w14:paraId="6AED2874" w14:textId="77777777" w:rsidR="00A27CF2" w:rsidRPr="00047543" w:rsidRDefault="00A27CF2" w:rsidP="00A27CF2">
      <w:pPr>
        <w:rPr>
          <w:noProof/>
        </w:rPr>
      </w:pPr>
    </w:p>
    <w:tbl>
      <w:tblPr>
        <w:tblW w:w="5000" w:type="pct"/>
        <w:tblLook w:val="04A0" w:firstRow="1" w:lastRow="0" w:firstColumn="1" w:lastColumn="0" w:noHBand="0" w:noVBand="1"/>
      </w:tblPr>
      <w:tblGrid>
        <w:gridCol w:w="4329"/>
        <w:gridCol w:w="1399"/>
        <w:gridCol w:w="1960"/>
        <w:gridCol w:w="1254"/>
        <w:gridCol w:w="1254"/>
        <w:gridCol w:w="1254"/>
        <w:gridCol w:w="1254"/>
        <w:gridCol w:w="1516"/>
      </w:tblGrid>
      <w:tr w:rsidR="00A27CF2" w:rsidRPr="00047543" w14:paraId="0875E8DD" w14:textId="77777777">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2735C8ED" w14:textId="77777777" w:rsidR="00A27CF2" w:rsidRPr="00047543" w:rsidRDefault="00A27CF2">
            <w:pPr>
              <w:spacing w:before="0" w:after="0"/>
              <w:jc w:val="center"/>
              <w:rPr>
                <w:noProof/>
                <w:color w:val="000000"/>
                <w:sz w:val="22"/>
              </w:rPr>
            </w:pPr>
            <w:r w:rsidRPr="00047543">
              <w:rPr>
                <w:noProof/>
                <w:color w:val="000000"/>
                <w:sz w:val="22"/>
              </w:rPr>
              <w:t>GD: &lt;…….&gt;</w:t>
            </w:r>
          </w:p>
        </w:tc>
        <w:tc>
          <w:tcPr>
            <w:tcW w:w="441" w:type="pct"/>
            <w:tcBorders>
              <w:top w:val="single" w:sz="8" w:space="0" w:color="auto"/>
              <w:left w:val="nil"/>
              <w:bottom w:val="nil"/>
              <w:right w:val="single" w:sz="8" w:space="0" w:color="auto"/>
            </w:tcBorders>
            <w:vAlign w:val="center"/>
            <w:hideMark/>
          </w:tcPr>
          <w:p w14:paraId="5569FD65"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41" w:type="pct"/>
            <w:tcBorders>
              <w:top w:val="single" w:sz="8" w:space="0" w:color="auto"/>
              <w:left w:val="nil"/>
              <w:bottom w:val="nil"/>
              <w:right w:val="single" w:sz="8" w:space="0" w:color="auto"/>
            </w:tcBorders>
            <w:vAlign w:val="center"/>
            <w:hideMark/>
          </w:tcPr>
          <w:p w14:paraId="5E2AE89A"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41" w:type="pct"/>
            <w:tcBorders>
              <w:top w:val="single" w:sz="8" w:space="0" w:color="auto"/>
              <w:left w:val="nil"/>
              <w:bottom w:val="nil"/>
              <w:right w:val="single" w:sz="8" w:space="0" w:color="auto"/>
            </w:tcBorders>
            <w:vAlign w:val="center"/>
            <w:hideMark/>
          </w:tcPr>
          <w:p w14:paraId="2F2A3EC7"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41" w:type="pct"/>
            <w:tcBorders>
              <w:top w:val="single" w:sz="8" w:space="0" w:color="auto"/>
              <w:left w:val="nil"/>
              <w:bottom w:val="nil"/>
              <w:right w:val="single" w:sz="8" w:space="0" w:color="auto"/>
            </w:tcBorders>
            <w:vAlign w:val="center"/>
            <w:hideMark/>
          </w:tcPr>
          <w:p w14:paraId="02B7222D"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34" w:type="pct"/>
            <w:vMerge w:val="restart"/>
            <w:tcBorders>
              <w:top w:val="single" w:sz="8" w:space="0" w:color="auto"/>
              <w:left w:val="single" w:sz="8" w:space="0" w:color="auto"/>
              <w:bottom w:val="single" w:sz="8" w:space="0" w:color="000000"/>
              <w:right w:val="single" w:sz="8" w:space="0" w:color="auto"/>
            </w:tcBorders>
            <w:vAlign w:val="center"/>
            <w:hideMark/>
          </w:tcPr>
          <w:p w14:paraId="46A6CF92"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5E530D2C" w14:textId="77777777">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14:paraId="2E732214" w14:textId="77777777" w:rsidR="00A27CF2" w:rsidRPr="00047543" w:rsidRDefault="00A27CF2">
            <w:pPr>
              <w:spacing w:before="0" w:after="0"/>
              <w:jc w:val="left"/>
              <w:rPr>
                <w:noProof/>
                <w:color w:val="000000"/>
                <w:sz w:val="22"/>
                <w:lang w:eastAsia="en-IE"/>
              </w:rPr>
            </w:pPr>
          </w:p>
        </w:tc>
        <w:tc>
          <w:tcPr>
            <w:tcW w:w="441" w:type="pct"/>
            <w:tcBorders>
              <w:top w:val="nil"/>
              <w:left w:val="nil"/>
              <w:bottom w:val="single" w:sz="8" w:space="0" w:color="auto"/>
              <w:right w:val="single" w:sz="8" w:space="0" w:color="auto"/>
            </w:tcBorders>
            <w:vAlign w:val="center"/>
            <w:hideMark/>
          </w:tcPr>
          <w:p w14:paraId="11EF3129"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41" w:type="pct"/>
            <w:tcBorders>
              <w:top w:val="nil"/>
              <w:left w:val="nil"/>
              <w:bottom w:val="single" w:sz="8" w:space="0" w:color="auto"/>
              <w:right w:val="single" w:sz="8" w:space="0" w:color="auto"/>
            </w:tcBorders>
            <w:vAlign w:val="center"/>
            <w:hideMark/>
          </w:tcPr>
          <w:p w14:paraId="203DA7D8"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41" w:type="pct"/>
            <w:tcBorders>
              <w:top w:val="nil"/>
              <w:left w:val="nil"/>
              <w:bottom w:val="single" w:sz="8" w:space="0" w:color="auto"/>
              <w:right w:val="single" w:sz="8" w:space="0" w:color="auto"/>
            </w:tcBorders>
            <w:vAlign w:val="center"/>
            <w:hideMark/>
          </w:tcPr>
          <w:p w14:paraId="785CDAEA"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41" w:type="pct"/>
            <w:tcBorders>
              <w:top w:val="nil"/>
              <w:left w:val="nil"/>
              <w:bottom w:val="single" w:sz="8" w:space="0" w:color="auto"/>
              <w:right w:val="single" w:sz="8" w:space="0" w:color="auto"/>
            </w:tcBorders>
            <w:vAlign w:val="center"/>
            <w:hideMark/>
          </w:tcPr>
          <w:p w14:paraId="1D472DDC"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14:paraId="4EB7054C" w14:textId="77777777" w:rsidR="00A27CF2" w:rsidRPr="00047543" w:rsidRDefault="00A27CF2">
            <w:pPr>
              <w:spacing w:before="0" w:after="0"/>
              <w:jc w:val="left"/>
              <w:rPr>
                <w:b/>
                <w:bCs/>
                <w:noProof/>
                <w:color w:val="000000"/>
                <w:sz w:val="20"/>
                <w:szCs w:val="20"/>
                <w:lang w:eastAsia="en-IE"/>
              </w:rPr>
            </w:pPr>
          </w:p>
        </w:tc>
      </w:tr>
      <w:tr w:rsidR="00A27CF2" w:rsidRPr="00047543" w14:paraId="63FD6E17" w14:textId="77777777">
        <w:trPr>
          <w:trHeight w:val="300"/>
        </w:trPr>
        <w:tc>
          <w:tcPr>
            <w:tcW w:w="2703" w:type="pct"/>
            <w:gridSpan w:val="3"/>
            <w:tcBorders>
              <w:top w:val="single" w:sz="8" w:space="0" w:color="auto"/>
              <w:left w:val="single" w:sz="8" w:space="0" w:color="auto"/>
              <w:bottom w:val="single" w:sz="8" w:space="0" w:color="auto"/>
              <w:right w:val="single" w:sz="8" w:space="0" w:color="000000"/>
            </w:tcBorders>
            <w:vAlign w:val="center"/>
            <w:hideMark/>
          </w:tcPr>
          <w:p w14:paraId="332D45A6" w14:textId="77777777" w:rsidR="00A27CF2" w:rsidRPr="00047543" w:rsidRDefault="00A27CF2">
            <w:pPr>
              <w:spacing w:before="0" w:after="0"/>
              <w:rPr>
                <w:noProof/>
                <w:color w:val="000000"/>
                <w:sz w:val="21"/>
                <w:szCs w:val="21"/>
              </w:rPr>
            </w:pPr>
            <w:r w:rsidRPr="00047543">
              <w:rPr>
                <w:noProof/>
                <w:color w:val="000000"/>
                <w:sz w:val="21"/>
              </w:rPr>
              <w:t xml:space="preserve">Driftsanslag </w:t>
            </w:r>
          </w:p>
        </w:tc>
        <w:tc>
          <w:tcPr>
            <w:tcW w:w="441" w:type="pct"/>
            <w:tcBorders>
              <w:top w:val="nil"/>
              <w:left w:val="nil"/>
              <w:bottom w:val="single" w:sz="8" w:space="0" w:color="auto"/>
              <w:right w:val="single" w:sz="8" w:space="0" w:color="auto"/>
            </w:tcBorders>
            <w:vAlign w:val="center"/>
            <w:hideMark/>
          </w:tcPr>
          <w:p w14:paraId="6AD5C406" w14:textId="77777777" w:rsidR="00A27CF2" w:rsidRPr="00047543" w:rsidRDefault="00A27CF2">
            <w:pPr>
              <w:spacing w:before="0" w:after="0"/>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5CE0867" w14:textId="77777777" w:rsidR="00A27CF2" w:rsidRPr="00047543" w:rsidRDefault="00A27CF2">
            <w:pPr>
              <w:spacing w:before="0" w:after="0"/>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C251262" w14:textId="77777777" w:rsidR="00A27CF2" w:rsidRPr="00047543" w:rsidRDefault="00A27CF2">
            <w:pPr>
              <w:spacing w:before="0" w:after="0"/>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53F37EE" w14:textId="77777777" w:rsidR="00A27CF2" w:rsidRPr="00047543" w:rsidRDefault="00A27CF2">
            <w:pPr>
              <w:spacing w:before="0" w:after="0"/>
              <w:rPr>
                <w:b/>
                <w:bCs/>
                <w:noProof/>
                <w:color w:val="000000"/>
                <w:sz w:val="20"/>
                <w:szCs w:val="20"/>
              </w:rPr>
            </w:pPr>
            <w:r w:rsidRPr="00047543">
              <w:rPr>
                <w:b/>
                <w:noProof/>
                <w:color w:val="000000"/>
                <w:sz w:val="20"/>
              </w:rPr>
              <w:t xml:space="preserve"> </w:t>
            </w:r>
          </w:p>
        </w:tc>
        <w:tc>
          <w:tcPr>
            <w:tcW w:w="534" w:type="pct"/>
            <w:tcBorders>
              <w:top w:val="nil"/>
              <w:left w:val="nil"/>
              <w:bottom w:val="single" w:sz="8" w:space="0" w:color="auto"/>
              <w:right w:val="single" w:sz="8" w:space="0" w:color="auto"/>
            </w:tcBorders>
            <w:vAlign w:val="center"/>
            <w:hideMark/>
          </w:tcPr>
          <w:p w14:paraId="455188E4" w14:textId="77777777" w:rsidR="00A27CF2" w:rsidRPr="00047543" w:rsidRDefault="00A27CF2">
            <w:pPr>
              <w:spacing w:before="0" w:after="0"/>
              <w:rPr>
                <w:b/>
                <w:bCs/>
                <w:noProof/>
                <w:color w:val="000000"/>
                <w:sz w:val="20"/>
                <w:szCs w:val="20"/>
              </w:rPr>
            </w:pPr>
            <w:r w:rsidRPr="00047543">
              <w:rPr>
                <w:b/>
                <w:noProof/>
                <w:color w:val="000000"/>
                <w:sz w:val="20"/>
              </w:rPr>
              <w:t xml:space="preserve"> </w:t>
            </w:r>
          </w:p>
        </w:tc>
      </w:tr>
      <w:tr w:rsidR="00A27CF2" w:rsidRPr="00047543" w14:paraId="614B1934" w14:textId="77777777">
        <w:trPr>
          <w:trHeight w:val="300"/>
        </w:trPr>
        <w:tc>
          <w:tcPr>
            <w:tcW w:w="1522" w:type="pct"/>
            <w:vMerge w:val="restart"/>
            <w:tcBorders>
              <w:top w:val="nil"/>
              <w:left w:val="single" w:sz="8" w:space="0" w:color="auto"/>
              <w:bottom w:val="single" w:sz="8" w:space="0" w:color="000000"/>
              <w:right w:val="single" w:sz="8" w:space="0" w:color="auto"/>
            </w:tcBorders>
            <w:noWrap/>
            <w:vAlign w:val="center"/>
            <w:hideMark/>
          </w:tcPr>
          <w:p w14:paraId="0C754B57" w14:textId="77777777" w:rsidR="00A27CF2" w:rsidRPr="00047543" w:rsidRDefault="00A27CF2">
            <w:pPr>
              <w:spacing w:before="0" w:after="0"/>
              <w:jc w:val="left"/>
              <w:rPr>
                <w:noProof/>
                <w:color w:val="000000"/>
                <w:sz w:val="22"/>
              </w:rPr>
            </w:pPr>
            <w:r w:rsidRPr="00047543">
              <w:rPr>
                <w:noProof/>
                <w:color w:val="000000"/>
                <w:sz w:val="22"/>
              </w:rPr>
              <w:t>Budgetpost</w:t>
            </w:r>
          </w:p>
        </w:tc>
        <w:tc>
          <w:tcPr>
            <w:tcW w:w="492" w:type="pct"/>
            <w:tcBorders>
              <w:top w:val="nil"/>
              <w:left w:val="nil"/>
              <w:bottom w:val="single" w:sz="8" w:space="0" w:color="auto"/>
              <w:right w:val="single" w:sz="8" w:space="0" w:color="auto"/>
            </w:tcBorders>
            <w:vAlign w:val="center"/>
            <w:hideMark/>
          </w:tcPr>
          <w:p w14:paraId="0AD7FA10"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688" w:type="pct"/>
            <w:tcBorders>
              <w:top w:val="single" w:sz="8" w:space="0" w:color="auto"/>
              <w:left w:val="nil"/>
              <w:bottom w:val="single" w:sz="8" w:space="0" w:color="auto"/>
              <w:right w:val="single" w:sz="8" w:space="0" w:color="000000"/>
            </w:tcBorders>
            <w:vAlign w:val="center"/>
            <w:hideMark/>
          </w:tcPr>
          <w:p w14:paraId="1AA0E6CC" w14:textId="77777777" w:rsidR="00A27CF2" w:rsidRPr="00047543" w:rsidRDefault="00A27CF2">
            <w:pPr>
              <w:spacing w:before="0" w:after="0"/>
              <w:jc w:val="center"/>
              <w:rPr>
                <w:noProof/>
                <w:color w:val="000000"/>
                <w:sz w:val="14"/>
                <w:szCs w:val="14"/>
              </w:rPr>
            </w:pPr>
            <w:r w:rsidRPr="00047543">
              <w:rPr>
                <w:noProof/>
                <w:color w:val="000000"/>
                <w:sz w:val="14"/>
              </w:rPr>
              <w:t>(1a)</w:t>
            </w:r>
          </w:p>
        </w:tc>
        <w:tc>
          <w:tcPr>
            <w:tcW w:w="441" w:type="pct"/>
            <w:tcBorders>
              <w:top w:val="nil"/>
              <w:left w:val="nil"/>
              <w:bottom w:val="single" w:sz="8" w:space="0" w:color="auto"/>
              <w:right w:val="single" w:sz="8" w:space="0" w:color="auto"/>
            </w:tcBorders>
            <w:vAlign w:val="center"/>
            <w:hideMark/>
          </w:tcPr>
          <w:p w14:paraId="29C2CF5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1981A89"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33ED7E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0CECB1FA"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6F74722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E049D3E"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1912C92B" w14:textId="77777777" w:rsidR="00A27CF2" w:rsidRPr="00047543" w:rsidRDefault="00A27CF2">
            <w:pPr>
              <w:spacing w:before="0" w:after="0"/>
              <w:jc w:val="left"/>
              <w:rPr>
                <w:noProof/>
                <w:color w:val="000000"/>
                <w:sz w:val="22"/>
                <w:lang w:eastAsia="en-IE"/>
              </w:rPr>
            </w:pPr>
          </w:p>
        </w:tc>
        <w:tc>
          <w:tcPr>
            <w:tcW w:w="492" w:type="pct"/>
            <w:tcBorders>
              <w:top w:val="nil"/>
              <w:left w:val="nil"/>
              <w:bottom w:val="single" w:sz="8" w:space="0" w:color="auto"/>
              <w:right w:val="single" w:sz="8" w:space="0" w:color="auto"/>
            </w:tcBorders>
            <w:vAlign w:val="center"/>
            <w:hideMark/>
          </w:tcPr>
          <w:p w14:paraId="00BC31F8"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688" w:type="pct"/>
            <w:tcBorders>
              <w:top w:val="single" w:sz="8" w:space="0" w:color="auto"/>
              <w:left w:val="nil"/>
              <w:bottom w:val="single" w:sz="8" w:space="0" w:color="auto"/>
              <w:right w:val="single" w:sz="8" w:space="0" w:color="000000"/>
            </w:tcBorders>
            <w:vAlign w:val="center"/>
            <w:hideMark/>
          </w:tcPr>
          <w:p w14:paraId="4ED5A52D" w14:textId="77777777" w:rsidR="00A27CF2" w:rsidRPr="00047543" w:rsidRDefault="00A27CF2">
            <w:pPr>
              <w:spacing w:before="0" w:after="0"/>
              <w:jc w:val="center"/>
              <w:rPr>
                <w:noProof/>
                <w:color w:val="000000"/>
                <w:sz w:val="14"/>
                <w:szCs w:val="14"/>
              </w:rPr>
            </w:pPr>
            <w:r w:rsidRPr="00047543">
              <w:rPr>
                <w:noProof/>
                <w:color w:val="000000"/>
                <w:sz w:val="14"/>
              </w:rPr>
              <w:t>(2a)</w:t>
            </w:r>
          </w:p>
        </w:tc>
        <w:tc>
          <w:tcPr>
            <w:tcW w:w="441" w:type="pct"/>
            <w:tcBorders>
              <w:top w:val="nil"/>
              <w:left w:val="nil"/>
              <w:bottom w:val="single" w:sz="8" w:space="0" w:color="auto"/>
              <w:right w:val="single" w:sz="8" w:space="0" w:color="auto"/>
            </w:tcBorders>
            <w:vAlign w:val="center"/>
            <w:hideMark/>
          </w:tcPr>
          <w:p w14:paraId="752E7E0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3A586D9"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032DE37"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4A83C457"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3C1007B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70F1B4F" w14:textId="77777777">
        <w:trPr>
          <w:trHeight w:val="300"/>
        </w:trPr>
        <w:tc>
          <w:tcPr>
            <w:tcW w:w="1522" w:type="pct"/>
            <w:vMerge w:val="restart"/>
            <w:tcBorders>
              <w:top w:val="nil"/>
              <w:left w:val="single" w:sz="8" w:space="0" w:color="auto"/>
              <w:bottom w:val="single" w:sz="8" w:space="0" w:color="000000"/>
              <w:right w:val="single" w:sz="8" w:space="0" w:color="auto"/>
            </w:tcBorders>
            <w:vAlign w:val="center"/>
            <w:hideMark/>
          </w:tcPr>
          <w:p w14:paraId="22114258"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492" w:type="pct"/>
            <w:tcBorders>
              <w:top w:val="nil"/>
              <w:left w:val="nil"/>
              <w:bottom w:val="single" w:sz="8" w:space="0" w:color="auto"/>
              <w:right w:val="single" w:sz="8" w:space="0" w:color="auto"/>
            </w:tcBorders>
            <w:vAlign w:val="center"/>
            <w:hideMark/>
          </w:tcPr>
          <w:p w14:paraId="0B2AF640"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688" w:type="pct"/>
            <w:tcBorders>
              <w:top w:val="single" w:sz="8" w:space="0" w:color="auto"/>
              <w:left w:val="nil"/>
              <w:bottom w:val="single" w:sz="8" w:space="0" w:color="auto"/>
              <w:right w:val="single" w:sz="8" w:space="0" w:color="000000"/>
            </w:tcBorders>
            <w:vAlign w:val="center"/>
            <w:hideMark/>
          </w:tcPr>
          <w:p w14:paraId="0A35A548" w14:textId="77777777" w:rsidR="00A27CF2" w:rsidRPr="00047543" w:rsidRDefault="00A27CF2">
            <w:pPr>
              <w:spacing w:before="0" w:after="0"/>
              <w:jc w:val="center"/>
              <w:rPr>
                <w:noProof/>
                <w:color w:val="000000"/>
                <w:sz w:val="14"/>
                <w:szCs w:val="14"/>
              </w:rPr>
            </w:pPr>
            <w:r w:rsidRPr="00047543">
              <w:rPr>
                <w:noProof/>
                <w:color w:val="000000"/>
                <w:sz w:val="14"/>
              </w:rPr>
              <w:t>(1b)</w:t>
            </w:r>
          </w:p>
        </w:tc>
        <w:tc>
          <w:tcPr>
            <w:tcW w:w="441" w:type="pct"/>
            <w:tcBorders>
              <w:top w:val="nil"/>
              <w:left w:val="nil"/>
              <w:bottom w:val="single" w:sz="8" w:space="0" w:color="auto"/>
              <w:right w:val="single" w:sz="8" w:space="0" w:color="auto"/>
            </w:tcBorders>
            <w:vAlign w:val="center"/>
            <w:hideMark/>
          </w:tcPr>
          <w:p w14:paraId="47127F3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BA651F2"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6A26DE8"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405F3193"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1EFDBB8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065265B"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69975833" w14:textId="77777777" w:rsidR="00A27CF2" w:rsidRPr="00047543" w:rsidRDefault="00A27CF2">
            <w:pPr>
              <w:spacing w:before="0" w:after="0"/>
              <w:jc w:val="left"/>
              <w:rPr>
                <w:noProof/>
                <w:color w:val="000000"/>
                <w:sz w:val="20"/>
                <w:szCs w:val="20"/>
                <w:lang w:eastAsia="en-IE"/>
              </w:rPr>
            </w:pPr>
          </w:p>
        </w:tc>
        <w:tc>
          <w:tcPr>
            <w:tcW w:w="492" w:type="pct"/>
            <w:tcBorders>
              <w:top w:val="nil"/>
              <w:left w:val="nil"/>
              <w:bottom w:val="single" w:sz="8" w:space="0" w:color="auto"/>
              <w:right w:val="single" w:sz="8" w:space="0" w:color="auto"/>
            </w:tcBorders>
            <w:vAlign w:val="center"/>
            <w:hideMark/>
          </w:tcPr>
          <w:p w14:paraId="6E1F86B3"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688" w:type="pct"/>
            <w:tcBorders>
              <w:top w:val="single" w:sz="8" w:space="0" w:color="auto"/>
              <w:left w:val="nil"/>
              <w:bottom w:val="single" w:sz="8" w:space="0" w:color="auto"/>
              <w:right w:val="single" w:sz="8" w:space="0" w:color="000000"/>
            </w:tcBorders>
            <w:vAlign w:val="center"/>
            <w:hideMark/>
          </w:tcPr>
          <w:p w14:paraId="4A7F69A0" w14:textId="77777777" w:rsidR="00A27CF2" w:rsidRPr="00047543" w:rsidRDefault="00A27CF2">
            <w:pPr>
              <w:spacing w:before="0" w:after="0"/>
              <w:jc w:val="center"/>
              <w:rPr>
                <w:noProof/>
                <w:color w:val="000000"/>
                <w:sz w:val="14"/>
                <w:szCs w:val="14"/>
              </w:rPr>
            </w:pPr>
            <w:r w:rsidRPr="00047543">
              <w:rPr>
                <w:noProof/>
                <w:color w:val="000000"/>
                <w:sz w:val="14"/>
              </w:rPr>
              <w:t>(2b)</w:t>
            </w:r>
          </w:p>
        </w:tc>
        <w:tc>
          <w:tcPr>
            <w:tcW w:w="441" w:type="pct"/>
            <w:tcBorders>
              <w:top w:val="nil"/>
              <w:left w:val="nil"/>
              <w:bottom w:val="single" w:sz="8" w:space="0" w:color="auto"/>
              <w:right w:val="single" w:sz="8" w:space="0" w:color="auto"/>
            </w:tcBorders>
            <w:vAlign w:val="center"/>
            <w:hideMark/>
          </w:tcPr>
          <w:p w14:paraId="15040ED9"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7BA47A3"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05B29E2"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4628BA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3393991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75791036" w14:textId="77777777">
        <w:trPr>
          <w:trHeight w:val="300"/>
        </w:trPr>
        <w:tc>
          <w:tcPr>
            <w:tcW w:w="5000" w:type="pct"/>
            <w:gridSpan w:val="8"/>
            <w:tcBorders>
              <w:top w:val="single" w:sz="8" w:space="0" w:color="auto"/>
              <w:left w:val="single" w:sz="8" w:space="0" w:color="auto"/>
              <w:bottom w:val="single" w:sz="8" w:space="0" w:color="auto"/>
              <w:right w:val="nil"/>
            </w:tcBorders>
            <w:noWrap/>
            <w:vAlign w:val="bottom"/>
            <w:hideMark/>
          </w:tcPr>
          <w:p w14:paraId="037D3579" w14:textId="77777777" w:rsidR="00A27CF2" w:rsidRPr="00047543" w:rsidRDefault="00A27CF2">
            <w:pPr>
              <w:spacing w:before="0" w:after="0"/>
              <w:jc w:val="left"/>
              <w:rPr>
                <w:noProof/>
                <w:color w:val="000000"/>
                <w:sz w:val="22"/>
              </w:rPr>
            </w:pPr>
            <w:r w:rsidRPr="00047543">
              <w:rPr>
                <w:noProof/>
                <w:color w:val="000000"/>
                <w:sz w:val="22"/>
              </w:rPr>
              <w:t>Anslag av administrativ natur som finansieras genom ramanslagen för särskilda program</w:t>
            </w:r>
            <w:r w:rsidRPr="00047543">
              <w:rPr>
                <w:noProof/>
              </w:rPr>
              <w:t xml:space="preserve"> </w:t>
            </w:r>
          </w:p>
        </w:tc>
      </w:tr>
      <w:tr w:rsidR="00A27CF2" w:rsidRPr="00047543" w14:paraId="1B619257"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406FDCBB"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492" w:type="pct"/>
            <w:tcBorders>
              <w:top w:val="nil"/>
              <w:left w:val="nil"/>
              <w:bottom w:val="single" w:sz="8" w:space="0" w:color="auto"/>
              <w:right w:val="single" w:sz="8" w:space="0" w:color="auto"/>
            </w:tcBorders>
            <w:vAlign w:val="center"/>
            <w:hideMark/>
          </w:tcPr>
          <w:p w14:paraId="1E73C82E" w14:textId="77777777" w:rsidR="00A27CF2" w:rsidRPr="00047543" w:rsidRDefault="00A27CF2">
            <w:pPr>
              <w:spacing w:before="0" w:after="0"/>
              <w:jc w:val="right"/>
              <w:rPr>
                <w:noProof/>
                <w:color w:val="000000"/>
                <w:sz w:val="18"/>
                <w:szCs w:val="18"/>
              </w:rPr>
            </w:pPr>
            <w:r w:rsidRPr="00047543">
              <w:rPr>
                <w:noProof/>
                <w:color w:val="000000"/>
                <w:sz w:val="18"/>
              </w:rPr>
              <w:t xml:space="preserve"> </w:t>
            </w:r>
          </w:p>
        </w:tc>
        <w:tc>
          <w:tcPr>
            <w:tcW w:w="688" w:type="pct"/>
            <w:tcBorders>
              <w:top w:val="nil"/>
              <w:left w:val="nil"/>
              <w:bottom w:val="single" w:sz="8" w:space="0" w:color="auto"/>
              <w:right w:val="single" w:sz="8" w:space="0" w:color="000000"/>
            </w:tcBorders>
            <w:vAlign w:val="center"/>
            <w:hideMark/>
          </w:tcPr>
          <w:p w14:paraId="5AD342CF" w14:textId="77777777" w:rsidR="00A27CF2" w:rsidRPr="00047543" w:rsidRDefault="00A27CF2">
            <w:pPr>
              <w:spacing w:before="0" w:after="0"/>
              <w:jc w:val="center"/>
              <w:rPr>
                <w:noProof/>
                <w:color w:val="000000"/>
                <w:sz w:val="14"/>
                <w:szCs w:val="14"/>
              </w:rPr>
            </w:pPr>
            <w:r w:rsidRPr="00047543">
              <w:rPr>
                <w:noProof/>
                <w:color w:val="000000"/>
                <w:sz w:val="14"/>
              </w:rPr>
              <w:t>(3)</w:t>
            </w:r>
          </w:p>
        </w:tc>
        <w:tc>
          <w:tcPr>
            <w:tcW w:w="441" w:type="pct"/>
            <w:tcBorders>
              <w:top w:val="nil"/>
              <w:left w:val="nil"/>
              <w:bottom w:val="single" w:sz="8" w:space="0" w:color="auto"/>
              <w:right w:val="single" w:sz="8" w:space="0" w:color="auto"/>
            </w:tcBorders>
            <w:vAlign w:val="center"/>
            <w:hideMark/>
          </w:tcPr>
          <w:p w14:paraId="75B6DE94"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0385DCBD"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4171F3A2"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4B9C77CD"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4CACC72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62C03E59" w14:textId="77777777">
        <w:trPr>
          <w:trHeight w:val="300"/>
        </w:trPr>
        <w:tc>
          <w:tcPr>
            <w:tcW w:w="1522" w:type="pct"/>
            <w:tcBorders>
              <w:top w:val="nil"/>
              <w:left w:val="single" w:sz="8" w:space="0" w:color="auto"/>
              <w:bottom w:val="nil"/>
              <w:right w:val="single" w:sz="8" w:space="0" w:color="auto"/>
            </w:tcBorders>
            <w:vAlign w:val="center"/>
            <w:hideMark/>
          </w:tcPr>
          <w:p w14:paraId="0937E5A8" w14:textId="77777777" w:rsidR="00A27CF2" w:rsidRPr="00047543" w:rsidRDefault="00A27CF2">
            <w:pPr>
              <w:spacing w:before="0" w:after="0"/>
              <w:jc w:val="center"/>
              <w:rPr>
                <w:b/>
                <w:bCs/>
                <w:noProof/>
                <w:color w:val="000000"/>
                <w:sz w:val="22"/>
              </w:rPr>
            </w:pPr>
            <w:r w:rsidRPr="00047543">
              <w:rPr>
                <w:b/>
                <w:noProof/>
                <w:color w:val="000000"/>
                <w:sz w:val="22"/>
              </w:rPr>
              <w:t>TOTALA anslag</w:t>
            </w:r>
          </w:p>
        </w:tc>
        <w:tc>
          <w:tcPr>
            <w:tcW w:w="492" w:type="pct"/>
            <w:tcBorders>
              <w:top w:val="nil"/>
              <w:left w:val="nil"/>
              <w:bottom w:val="single" w:sz="8" w:space="0" w:color="auto"/>
              <w:right w:val="single" w:sz="8" w:space="0" w:color="auto"/>
            </w:tcBorders>
            <w:vAlign w:val="center"/>
            <w:hideMark/>
          </w:tcPr>
          <w:p w14:paraId="40720D89"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688" w:type="pct"/>
            <w:tcBorders>
              <w:top w:val="single" w:sz="8" w:space="0" w:color="auto"/>
              <w:left w:val="nil"/>
              <w:bottom w:val="single" w:sz="8" w:space="0" w:color="auto"/>
              <w:right w:val="single" w:sz="8" w:space="0" w:color="000000"/>
            </w:tcBorders>
            <w:vAlign w:val="center"/>
            <w:hideMark/>
          </w:tcPr>
          <w:p w14:paraId="727E20C0" w14:textId="77777777" w:rsidR="00A27CF2" w:rsidRPr="00047543" w:rsidRDefault="00A27CF2">
            <w:pPr>
              <w:spacing w:before="0" w:after="0"/>
              <w:jc w:val="center"/>
              <w:rPr>
                <w:noProof/>
                <w:color w:val="000000"/>
                <w:sz w:val="14"/>
                <w:szCs w:val="14"/>
              </w:rPr>
            </w:pPr>
            <w:r w:rsidRPr="00047543">
              <w:rPr>
                <w:noProof/>
                <w:color w:val="000000"/>
                <w:sz w:val="14"/>
              </w:rPr>
              <w:t>=1a+1b+3</w:t>
            </w:r>
          </w:p>
        </w:tc>
        <w:tc>
          <w:tcPr>
            <w:tcW w:w="441" w:type="pct"/>
            <w:tcBorders>
              <w:top w:val="nil"/>
              <w:left w:val="nil"/>
              <w:bottom w:val="single" w:sz="8" w:space="0" w:color="auto"/>
              <w:right w:val="single" w:sz="8" w:space="0" w:color="auto"/>
            </w:tcBorders>
            <w:shd w:val="clear" w:color="000000" w:fill="D9D9D9"/>
            <w:vAlign w:val="center"/>
            <w:hideMark/>
          </w:tcPr>
          <w:p w14:paraId="6BBB59B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0D6E8865"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6473515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3704A83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48B4FFA5"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24CF805A"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0424BB45" w14:textId="77777777" w:rsidR="00A27CF2" w:rsidRPr="00047543" w:rsidRDefault="00A27CF2">
            <w:pPr>
              <w:spacing w:before="0" w:after="0"/>
              <w:jc w:val="center"/>
              <w:rPr>
                <w:b/>
                <w:bCs/>
                <w:noProof/>
                <w:color w:val="000000"/>
                <w:sz w:val="22"/>
              </w:rPr>
            </w:pPr>
            <w:r w:rsidRPr="00047543">
              <w:rPr>
                <w:b/>
                <w:noProof/>
                <w:color w:val="000000"/>
                <w:sz w:val="22"/>
              </w:rPr>
              <w:t xml:space="preserve">för GD </w:t>
            </w:r>
            <w:r w:rsidRPr="00047543">
              <w:rPr>
                <w:noProof/>
                <w:color w:val="000000"/>
                <w:sz w:val="22"/>
              </w:rPr>
              <w:t>&lt;…….&gt;</w:t>
            </w:r>
          </w:p>
        </w:tc>
        <w:tc>
          <w:tcPr>
            <w:tcW w:w="492" w:type="pct"/>
            <w:tcBorders>
              <w:top w:val="nil"/>
              <w:left w:val="nil"/>
              <w:bottom w:val="single" w:sz="8" w:space="0" w:color="auto"/>
              <w:right w:val="single" w:sz="8" w:space="0" w:color="auto"/>
            </w:tcBorders>
            <w:vAlign w:val="center"/>
            <w:hideMark/>
          </w:tcPr>
          <w:p w14:paraId="1030FEDE"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688" w:type="pct"/>
            <w:tcBorders>
              <w:top w:val="single" w:sz="8" w:space="0" w:color="auto"/>
              <w:left w:val="nil"/>
              <w:bottom w:val="single" w:sz="8" w:space="0" w:color="auto"/>
              <w:right w:val="single" w:sz="8" w:space="0" w:color="000000"/>
            </w:tcBorders>
            <w:vAlign w:val="center"/>
            <w:hideMark/>
          </w:tcPr>
          <w:p w14:paraId="42AE31FC" w14:textId="77777777" w:rsidR="00A27CF2" w:rsidRPr="00047543" w:rsidRDefault="00A27CF2">
            <w:pPr>
              <w:spacing w:before="0" w:after="0"/>
              <w:jc w:val="center"/>
              <w:rPr>
                <w:noProof/>
                <w:color w:val="000000"/>
                <w:sz w:val="14"/>
                <w:szCs w:val="14"/>
              </w:rPr>
            </w:pPr>
            <w:r w:rsidRPr="00047543">
              <w:rPr>
                <w:noProof/>
                <w:color w:val="000000"/>
                <w:sz w:val="14"/>
              </w:rPr>
              <w:t>=2a+2b+3</w:t>
            </w:r>
          </w:p>
        </w:tc>
        <w:tc>
          <w:tcPr>
            <w:tcW w:w="441" w:type="pct"/>
            <w:tcBorders>
              <w:top w:val="nil"/>
              <w:left w:val="nil"/>
              <w:bottom w:val="single" w:sz="8" w:space="0" w:color="auto"/>
              <w:right w:val="single" w:sz="8" w:space="0" w:color="auto"/>
            </w:tcBorders>
            <w:shd w:val="clear" w:color="000000" w:fill="D9D9D9"/>
            <w:vAlign w:val="center"/>
            <w:hideMark/>
          </w:tcPr>
          <w:p w14:paraId="2FC0784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05D1F1B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6232B16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DCB9D0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1754A1C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bl>
    <w:p w14:paraId="477BB87D" w14:textId="77777777" w:rsidR="00A27CF2" w:rsidRPr="00047543" w:rsidRDefault="00A27CF2" w:rsidP="00A27CF2">
      <w:pPr>
        <w:rPr>
          <w:noProof/>
        </w:rPr>
      </w:pPr>
    </w:p>
    <w:tbl>
      <w:tblPr>
        <w:tblW w:w="5000" w:type="pct"/>
        <w:tblLook w:val="04A0" w:firstRow="1" w:lastRow="0" w:firstColumn="1" w:lastColumn="0" w:noHBand="0" w:noVBand="1"/>
      </w:tblPr>
      <w:tblGrid>
        <w:gridCol w:w="4329"/>
        <w:gridCol w:w="1340"/>
        <w:gridCol w:w="2019"/>
        <w:gridCol w:w="1254"/>
        <w:gridCol w:w="1254"/>
        <w:gridCol w:w="1254"/>
        <w:gridCol w:w="1254"/>
        <w:gridCol w:w="1516"/>
      </w:tblGrid>
      <w:tr w:rsidR="00A27CF2" w:rsidRPr="00047543" w14:paraId="103F2F7C" w14:textId="77777777">
        <w:trPr>
          <w:trHeight w:val="300"/>
        </w:trPr>
        <w:tc>
          <w:tcPr>
            <w:tcW w:w="2703" w:type="pct"/>
            <w:gridSpan w:val="3"/>
            <w:vMerge w:val="restart"/>
            <w:tcBorders>
              <w:top w:val="single" w:sz="8" w:space="0" w:color="auto"/>
              <w:left w:val="single" w:sz="8" w:space="0" w:color="auto"/>
              <w:bottom w:val="single" w:sz="8" w:space="0" w:color="000000"/>
              <w:right w:val="single" w:sz="8" w:space="0" w:color="000000"/>
            </w:tcBorders>
            <w:vAlign w:val="center"/>
            <w:hideMark/>
          </w:tcPr>
          <w:p w14:paraId="70616B4C" w14:textId="77777777" w:rsidR="00A27CF2" w:rsidRPr="00047543" w:rsidRDefault="00A27CF2">
            <w:pPr>
              <w:spacing w:before="0" w:after="0"/>
              <w:jc w:val="center"/>
              <w:rPr>
                <w:noProof/>
                <w:color w:val="000000"/>
                <w:sz w:val="22"/>
              </w:rPr>
            </w:pPr>
            <w:r w:rsidRPr="00047543">
              <w:rPr>
                <w:noProof/>
                <w:color w:val="000000"/>
                <w:sz w:val="22"/>
              </w:rPr>
              <w:t>GD: &lt;…….&gt;</w:t>
            </w:r>
          </w:p>
        </w:tc>
        <w:tc>
          <w:tcPr>
            <w:tcW w:w="441" w:type="pct"/>
            <w:tcBorders>
              <w:top w:val="single" w:sz="8" w:space="0" w:color="auto"/>
              <w:left w:val="nil"/>
              <w:bottom w:val="nil"/>
              <w:right w:val="single" w:sz="8" w:space="0" w:color="auto"/>
            </w:tcBorders>
            <w:vAlign w:val="center"/>
            <w:hideMark/>
          </w:tcPr>
          <w:p w14:paraId="645E4548"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41" w:type="pct"/>
            <w:tcBorders>
              <w:top w:val="single" w:sz="8" w:space="0" w:color="auto"/>
              <w:left w:val="nil"/>
              <w:bottom w:val="nil"/>
              <w:right w:val="single" w:sz="8" w:space="0" w:color="auto"/>
            </w:tcBorders>
            <w:vAlign w:val="center"/>
            <w:hideMark/>
          </w:tcPr>
          <w:p w14:paraId="0F94D2F8"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41" w:type="pct"/>
            <w:tcBorders>
              <w:top w:val="single" w:sz="8" w:space="0" w:color="auto"/>
              <w:left w:val="nil"/>
              <w:bottom w:val="nil"/>
              <w:right w:val="single" w:sz="8" w:space="0" w:color="auto"/>
            </w:tcBorders>
            <w:vAlign w:val="center"/>
            <w:hideMark/>
          </w:tcPr>
          <w:p w14:paraId="5B6E3894"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41" w:type="pct"/>
            <w:tcBorders>
              <w:top w:val="single" w:sz="8" w:space="0" w:color="auto"/>
              <w:left w:val="nil"/>
              <w:bottom w:val="nil"/>
              <w:right w:val="single" w:sz="8" w:space="0" w:color="auto"/>
            </w:tcBorders>
            <w:vAlign w:val="center"/>
            <w:hideMark/>
          </w:tcPr>
          <w:p w14:paraId="2E7D605B"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34" w:type="pct"/>
            <w:vMerge w:val="restart"/>
            <w:tcBorders>
              <w:top w:val="single" w:sz="8" w:space="0" w:color="auto"/>
              <w:left w:val="single" w:sz="8" w:space="0" w:color="auto"/>
              <w:bottom w:val="single" w:sz="8" w:space="0" w:color="000000"/>
              <w:right w:val="single" w:sz="8" w:space="0" w:color="auto"/>
            </w:tcBorders>
            <w:vAlign w:val="center"/>
            <w:hideMark/>
          </w:tcPr>
          <w:p w14:paraId="1AE64DB1"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0B99081E" w14:textId="77777777">
        <w:trPr>
          <w:trHeight w:val="300"/>
        </w:trPr>
        <w:tc>
          <w:tcPr>
            <w:tcW w:w="2703" w:type="pct"/>
            <w:gridSpan w:val="3"/>
            <w:vMerge/>
            <w:tcBorders>
              <w:top w:val="single" w:sz="8" w:space="0" w:color="auto"/>
              <w:left w:val="single" w:sz="8" w:space="0" w:color="auto"/>
              <w:bottom w:val="single" w:sz="8" w:space="0" w:color="000000"/>
              <w:right w:val="single" w:sz="8" w:space="0" w:color="000000"/>
            </w:tcBorders>
            <w:vAlign w:val="center"/>
            <w:hideMark/>
          </w:tcPr>
          <w:p w14:paraId="630D53A7" w14:textId="77777777" w:rsidR="00A27CF2" w:rsidRPr="00047543" w:rsidRDefault="00A27CF2">
            <w:pPr>
              <w:spacing w:before="0" w:after="0"/>
              <w:jc w:val="left"/>
              <w:rPr>
                <w:noProof/>
                <w:color w:val="000000"/>
                <w:sz w:val="22"/>
                <w:lang w:eastAsia="en-IE"/>
              </w:rPr>
            </w:pPr>
          </w:p>
        </w:tc>
        <w:tc>
          <w:tcPr>
            <w:tcW w:w="441" w:type="pct"/>
            <w:tcBorders>
              <w:top w:val="nil"/>
              <w:left w:val="nil"/>
              <w:bottom w:val="single" w:sz="8" w:space="0" w:color="auto"/>
              <w:right w:val="single" w:sz="8" w:space="0" w:color="auto"/>
            </w:tcBorders>
            <w:vAlign w:val="center"/>
            <w:hideMark/>
          </w:tcPr>
          <w:p w14:paraId="114F22EF"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41" w:type="pct"/>
            <w:tcBorders>
              <w:top w:val="nil"/>
              <w:left w:val="nil"/>
              <w:bottom w:val="single" w:sz="8" w:space="0" w:color="auto"/>
              <w:right w:val="single" w:sz="8" w:space="0" w:color="auto"/>
            </w:tcBorders>
            <w:vAlign w:val="center"/>
            <w:hideMark/>
          </w:tcPr>
          <w:p w14:paraId="23FBE891"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41" w:type="pct"/>
            <w:tcBorders>
              <w:top w:val="nil"/>
              <w:left w:val="nil"/>
              <w:bottom w:val="single" w:sz="8" w:space="0" w:color="auto"/>
              <w:right w:val="single" w:sz="8" w:space="0" w:color="auto"/>
            </w:tcBorders>
            <w:vAlign w:val="center"/>
            <w:hideMark/>
          </w:tcPr>
          <w:p w14:paraId="1215CFEE"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41" w:type="pct"/>
            <w:tcBorders>
              <w:top w:val="nil"/>
              <w:left w:val="nil"/>
              <w:bottom w:val="single" w:sz="8" w:space="0" w:color="auto"/>
              <w:right w:val="single" w:sz="8" w:space="0" w:color="auto"/>
            </w:tcBorders>
            <w:vAlign w:val="center"/>
            <w:hideMark/>
          </w:tcPr>
          <w:p w14:paraId="69D69B59"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34" w:type="pct"/>
            <w:vMerge/>
            <w:tcBorders>
              <w:top w:val="single" w:sz="8" w:space="0" w:color="auto"/>
              <w:left w:val="single" w:sz="8" w:space="0" w:color="auto"/>
              <w:bottom w:val="single" w:sz="8" w:space="0" w:color="000000"/>
              <w:right w:val="single" w:sz="8" w:space="0" w:color="auto"/>
            </w:tcBorders>
            <w:vAlign w:val="center"/>
            <w:hideMark/>
          </w:tcPr>
          <w:p w14:paraId="6912A6E2" w14:textId="77777777" w:rsidR="00A27CF2" w:rsidRPr="00047543" w:rsidRDefault="00A27CF2">
            <w:pPr>
              <w:spacing w:before="0" w:after="0"/>
              <w:jc w:val="left"/>
              <w:rPr>
                <w:b/>
                <w:bCs/>
                <w:noProof/>
                <w:color w:val="000000"/>
                <w:sz w:val="20"/>
                <w:szCs w:val="20"/>
                <w:lang w:eastAsia="en-IE"/>
              </w:rPr>
            </w:pPr>
          </w:p>
        </w:tc>
      </w:tr>
      <w:tr w:rsidR="00A27CF2" w:rsidRPr="00047543" w14:paraId="18999FF3" w14:textId="77777777">
        <w:trPr>
          <w:trHeight w:val="300"/>
        </w:trPr>
        <w:tc>
          <w:tcPr>
            <w:tcW w:w="2703" w:type="pct"/>
            <w:gridSpan w:val="3"/>
            <w:tcBorders>
              <w:top w:val="single" w:sz="8" w:space="0" w:color="auto"/>
              <w:left w:val="single" w:sz="8" w:space="0" w:color="auto"/>
              <w:bottom w:val="single" w:sz="8" w:space="0" w:color="auto"/>
              <w:right w:val="single" w:sz="8" w:space="0" w:color="000000"/>
            </w:tcBorders>
            <w:vAlign w:val="center"/>
            <w:hideMark/>
          </w:tcPr>
          <w:p w14:paraId="08D91C7A" w14:textId="77777777" w:rsidR="00A27CF2" w:rsidRPr="00047543" w:rsidRDefault="00A27CF2">
            <w:pPr>
              <w:spacing w:before="0" w:after="0"/>
              <w:rPr>
                <w:noProof/>
                <w:color w:val="000000"/>
                <w:sz w:val="21"/>
                <w:szCs w:val="21"/>
              </w:rPr>
            </w:pPr>
            <w:r w:rsidRPr="00047543">
              <w:rPr>
                <w:noProof/>
                <w:color w:val="000000"/>
                <w:sz w:val="21"/>
              </w:rPr>
              <w:t xml:space="preserve">Driftsanslag </w:t>
            </w:r>
          </w:p>
        </w:tc>
        <w:tc>
          <w:tcPr>
            <w:tcW w:w="441" w:type="pct"/>
            <w:tcBorders>
              <w:top w:val="nil"/>
              <w:left w:val="nil"/>
              <w:bottom w:val="single" w:sz="8" w:space="0" w:color="auto"/>
              <w:right w:val="single" w:sz="8" w:space="0" w:color="auto"/>
            </w:tcBorders>
            <w:vAlign w:val="center"/>
            <w:hideMark/>
          </w:tcPr>
          <w:p w14:paraId="0C2622EE" w14:textId="77777777" w:rsidR="00A27CF2" w:rsidRPr="00047543" w:rsidRDefault="00A27CF2">
            <w:pPr>
              <w:spacing w:before="0" w:after="0"/>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E16B730" w14:textId="77777777" w:rsidR="00A27CF2" w:rsidRPr="00047543" w:rsidRDefault="00A27CF2">
            <w:pPr>
              <w:spacing w:before="0" w:after="0"/>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87E8527" w14:textId="77777777" w:rsidR="00A27CF2" w:rsidRPr="00047543" w:rsidRDefault="00A27CF2">
            <w:pPr>
              <w:spacing w:before="0" w:after="0"/>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8C70567" w14:textId="77777777" w:rsidR="00A27CF2" w:rsidRPr="00047543" w:rsidRDefault="00A27CF2">
            <w:pPr>
              <w:spacing w:before="0" w:after="0"/>
              <w:rPr>
                <w:b/>
                <w:bCs/>
                <w:noProof/>
                <w:color w:val="000000"/>
                <w:sz w:val="20"/>
                <w:szCs w:val="20"/>
              </w:rPr>
            </w:pPr>
            <w:r w:rsidRPr="00047543">
              <w:rPr>
                <w:b/>
                <w:noProof/>
                <w:color w:val="000000"/>
                <w:sz w:val="20"/>
              </w:rPr>
              <w:t xml:space="preserve"> </w:t>
            </w:r>
          </w:p>
        </w:tc>
        <w:tc>
          <w:tcPr>
            <w:tcW w:w="534" w:type="pct"/>
            <w:tcBorders>
              <w:top w:val="nil"/>
              <w:left w:val="nil"/>
              <w:bottom w:val="single" w:sz="8" w:space="0" w:color="auto"/>
              <w:right w:val="single" w:sz="8" w:space="0" w:color="auto"/>
            </w:tcBorders>
            <w:vAlign w:val="center"/>
            <w:hideMark/>
          </w:tcPr>
          <w:p w14:paraId="36273143" w14:textId="77777777" w:rsidR="00A27CF2" w:rsidRPr="00047543" w:rsidRDefault="00A27CF2">
            <w:pPr>
              <w:spacing w:before="0" w:after="0"/>
              <w:rPr>
                <w:b/>
                <w:bCs/>
                <w:noProof/>
                <w:color w:val="000000"/>
                <w:sz w:val="20"/>
                <w:szCs w:val="20"/>
              </w:rPr>
            </w:pPr>
            <w:r w:rsidRPr="00047543">
              <w:rPr>
                <w:b/>
                <w:noProof/>
                <w:color w:val="000000"/>
                <w:sz w:val="20"/>
              </w:rPr>
              <w:t xml:space="preserve"> </w:t>
            </w:r>
          </w:p>
        </w:tc>
      </w:tr>
      <w:tr w:rsidR="00A27CF2" w:rsidRPr="00047543" w14:paraId="785D72CA" w14:textId="77777777">
        <w:trPr>
          <w:trHeight w:val="300"/>
        </w:trPr>
        <w:tc>
          <w:tcPr>
            <w:tcW w:w="1522" w:type="pct"/>
            <w:vMerge w:val="restart"/>
            <w:tcBorders>
              <w:top w:val="nil"/>
              <w:left w:val="single" w:sz="8" w:space="0" w:color="auto"/>
              <w:bottom w:val="single" w:sz="8" w:space="0" w:color="000000"/>
              <w:right w:val="single" w:sz="8" w:space="0" w:color="auto"/>
            </w:tcBorders>
            <w:noWrap/>
            <w:vAlign w:val="center"/>
            <w:hideMark/>
          </w:tcPr>
          <w:p w14:paraId="5899E120" w14:textId="77777777" w:rsidR="00A27CF2" w:rsidRPr="00047543" w:rsidRDefault="00A27CF2">
            <w:pPr>
              <w:spacing w:before="0" w:after="0"/>
              <w:jc w:val="left"/>
              <w:rPr>
                <w:noProof/>
                <w:color w:val="000000"/>
                <w:sz w:val="22"/>
              </w:rPr>
            </w:pPr>
            <w:r w:rsidRPr="00047543">
              <w:rPr>
                <w:noProof/>
                <w:color w:val="000000"/>
                <w:sz w:val="22"/>
              </w:rPr>
              <w:t>Budgetpost</w:t>
            </w:r>
          </w:p>
        </w:tc>
        <w:tc>
          <w:tcPr>
            <w:tcW w:w="471" w:type="pct"/>
            <w:tcBorders>
              <w:top w:val="nil"/>
              <w:left w:val="nil"/>
              <w:bottom w:val="single" w:sz="8" w:space="0" w:color="auto"/>
              <w:right w:val="single" w:sz="8" w:space="0" w:color="auto"/>
            </w:tcBorders>
            <w:vAlign w:val="center"/>
            <w:hideMark/>
          </w:tcPr>
          <w:p w14:paraId="225E7D24"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709" w:type="pct"/>
            <w:tcBorders>
              <w:top w:val="single" w:sz="8" w:space="0" w:color="auto"/>
              <w:left w:val="nil"/>
              <w:bottom w:val="single" w:sz="8" w:space="0" w:color="auto"/>
              <w:right w:val="single" w:sz="8" w:space="0" w:color="000000"/>
            </w:tcBorders>
            <w:vAlign w:val="center"/>
            <w:hideMark/>
          </w:tcPr>
          <w:p w14:paraId="1DF392DD" w14:textId="77777777" w:rsidR="00A27CF2" w:rsidRPr="00047543" w:rsidRDefault="00A27CF2">
            <w:pPr>
              <w:spacing w:before="0" w:after="0"/>
              <w:jc w:val="center"/>
              <w:rPr>
                <w:noProof/>
                <w:color w:val="000000"/>
                <w:sz w:val="14"/>
                <w:szCs w:val="14"/>
              </w:rPr>
            </w:pPr>
            <w:r w:rsidRPr="00047543">
              <w:rPr>
                <w:noProof/>
                <w:color w:val="000000"/>
                <w:sz w:val="14"/>
              </w:rPr>
              <w:t>(1a)</w:t>
            </w:r>
          </w:p>
        </w:tc>
        <w:tc>
          <w:tcPr>
            <w:tcW w:w="441" w:type="pct"/>
            <w:tcBorders>
              <w:top w:val="nil"/>
              <w:left w:val="nil"/>
              <w:bottom w:val="single" w:sz="8" w:space="0" w:color="auto"/>
              <w:right w:val="single" w:sz="8" w:space="0" w:color="auto"/>
            </w:tcBorders>
            <w:vAlign w:val="center"/>
            <w:hideMark/>
          </w:tcPr>
          <w:p w14:paraId="2455F863"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126A81D"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30C1237"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1238BDD"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5BB98CD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66CF8D7A"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3409A94B" w14:textId="77777777" w:rsidR="00A27CF2" w:rsidRPr="00047543" w:rsidRDefault="00A27CF2">
            <w:pPr>
              <w:spacing w:before="0" w:after="0"/>
              <w:jc w:val="left"/>
              <w:rPr>
                <w:noProof/>
                <w:color w:val="000000"/>
                <w:sz w:val="22"/>
                <w:lang w:eastAsia="en-IE"/>
              </w:rPr>
            </w:pPr>
          </w:p>
        </w:tc>
        <w:tc>
          <w:tcPr>
            <w:tcW w:w="471" w:type="pct"/>
            <w:tcBorders>
              <w:top w:val="nil"/>
              <w:left w:val="nil"/>
              <w:bottom w:val="single" w:sz="8" w:space="0" w:color="auto"/>
              <w:right w:val="single" w:sz="8" w:space="0" w:color="auto"/>
            </w:tcBorders>
            <w:vAlign w:val="center"/>
            <w:hideMark/>
          </w:tcPr>
          <w:p w14:paraId="71B06A1A"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709" w:type="pct"/>
            <w:tcBorders>
              <w:top w:val="single" w:sz="8" w:space="0" w:color="auto"/>
              <w:left w:val="nil"/>
              <w:bottom w:val="single" w:sz="8" w:space="0" w:color="auto"/>
              <w:right w:val="single" w:sz="8" w:space="0" w:color="000000"/>
            </w:tcBorders>
            <w:vAlign w:val="center"/>
            <w:hideMark/>
          </w:tcPr>
          <w:p w14:paraId="17E348B4" w14:textId="77777777" w:rsidR="00A27CF2" w:rsidRPr="00047543" w:rsidRDefault="00A27CF2">
            <w:pPr>
              <w:spacing w:before="0" w:after="0"/>
              <w:jc w:val="center"/>
              <w:rPr>
                <w:noProof/>
                <w:color w:val="000000"/>
                <w:sz w:val="14"/>
                <w:szCs w:val="14"/>
              </w:rPr>
            </w:pPr>
            <w:r w:rsidRPr="00047543">
              <w:rPr>
                <w:noProof/>
                <w:color w:val="000000"/>
                <w:sz w:val="14"/>
              </w:rPr>
              <w:t>(2a)</w:t>
            </w:r>
          </w:p>
        </w:tc>
        <w:tc>
          <w:tcPr>
            <w:tcW w:w="441" w:type="pct"/>
            <w:tcBorders>
              <w:top w:val="nil"/>
              <w:left w:val="nil"/>
              <w:bottom w:val="single" w:sz="8" w:space="0" w:color="auto"/>
              <w:right w:val="single" w:sz="8" w:space="0" w:color="auto"/>
            </w:tcBorders>
            <w:vAlign w:val="center"/>
            <w:hideMark/>
          </w:tcPr>
          <w:p w14:paraId="0568F28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62D671C"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36D961E2"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4C8CE43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541C901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2749776F" w14:textId="77777777">
        <w:trPr>
          <w:trHeight w:val="300"/>
        </w:trPr>
        <w:tc>
          <w:tcPr>
            <w:tcW w:w="1522" w:type="pct"/>
            <w:vMerge w:val="restart"/>
            <w:tcBorders>
              <w:top w:val="nil"/>
              <w:left w:val="single" w:sz="8" w:space="0" w:color="auto"/>
              <w:bottom w:val="single" w:sz="8" w:space="0" w:color="000000"/>
              <w:right w:val="single" w:sz="8" w:space="0" w:color="auto"/>
            </w:tcBorders>
            <w:vAlign w:val="center"/>
            <w:hideMark/>
          </w:tcPr>
          <w:p w14:paraId="43736F17"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471" w:type="pct"/>
            <w:tcBorders>
              <w:top w:val="nil"/>
              <w:left w:val="nil"/>
              <w:bottom w:val="single" w:sz="8" w:space="0" w:color="auto"/>
              <w:right w:val="single" w:sz="8" w:space="0" w:color="auto"/>
            </w:tcBorders>
            <w:vAlign w:val="center"/>
            <w:hideMark/>
          </w:tcPr>
          <w:p w14:paraId="3E79A32B"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709" w:type="pct"/>
            <w:tcBorders>
              <w:top w:val="single" w:sz="8" w:space="0" w:color="auto"/>
              <w:left w:val="nil"/>
              <w:bottom w:val="single" w:sz="8" w:space="0" w:color="auto"/>
              <w:right w:val="single" w:sz="8" w:space="0" w:color="000000"/>
            </w:tcBorders>
            <w:vAlign w:val="center"/>
            <w:hideMark/>
          </w:tcPr>
          <w:p w14:paraId="5B756BFB" w14:textId="77777777" w:rsidR="00A27CF2" w:rsidRPr="00047543" w:rsidRDefault="00A27CF2">
            <w:pPr>
              <w:spacing w:before="0" w:after="0"/>
              <w:jc w:val="center"/>
              <w:rPr>
                <w:noProof/>
                <w:color w:val="000000"/>
                <w:sz w:val="14"/>
                <w:szCs w:val="14"/>
              </w:rPr>
            </w:pPr>
            <w:r w:rsidRPr="00047543">
              <w:rPr>
                <w:noProof/>
                <w:color w:val="000000"/>
                <w:sz w:val="14"/>
              </w:rPr>
              <w:t>(1b)</w:t>
            </w:r>
          </w:p>
        </w:tc>
        <w:tc>
          <w:tcPr>
            <w:tcW w:w="441" w:type="pct"/>
            <w:tcBorders>
              <w:top w:val="nil"/>
              <w:left w:val="nil"/>
              <w:bottom w:val="single" w:sz="8" w:space="0" w:color="auto"/>
              <w:right w:val="single" w:sz="8" w:space="0" w:color="auto"/>
            </w:tcBorders>
            <w:vAlign w:val="center"/>
            <w:hideMark/>
          </w:tcPr>
          <w:p w14:paraId="42BC6156"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4FEF0253"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1F38FB14"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6804E85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1F51FC5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B610BA0" w14:textId="77777777">
        <w:trPr>
          <w:trHeight w:val="300"/>
        </w:trPr>
        <w:tc>
          <w:tcPr>
            <w:tcW w:w="1522" w:type="pct"/>
            <w:vMerge/>
            <w:tcBorders>
              <w:top w:val="nil"/>
              <w:left w:val="single" w:sz="8" w:space="0" w:color="auto"/>
              <w:bottom w:val="single" w:sz="8" w:space="0" w:color="000000"/>
              <w:right w:val="single" w:sz="8" w:space="0" w:color="auto"/>
            </w:tcBorders>
            <w:vAlign w:val="center"/>
            <w:hideMark/>
          </w:tcPr>
          <w:p w14:paraId="4877A628" w14:textId="77777777" w:rsidR="00A27CF2" w:rsidRPr="00047543" w:rsidRDefault="00A27CF2">
            <w:pPr>
              <w:spacing w:before="0" w:after="0"/>
              <w:jc w:val="left"/>
              <w:rPr>
                <w:noProof/>
                <w:color w:val="000000"/>
                <w:sz w:val="20"/>
                <w:szCs w:val="20"/>
                <w:lang w:eastAsia="en-IE"/>
              </w:rPr>
            </w:pPr>
          </w:p>
        </w:tc>
        <w:tc>
          <w:tcPr>
            <w:tcW w:w="471" w:type="pct"/>
            <w:tcBorders>
              <w:top w:val="nil"/>
              <w:left w:val="nil"/>
              <w:bottom w:val="single" w:sz="8" w:space="0" w:color="auto"/>
              <w:right w:val="single" w:sz="8" w:space="0" w:color="auto"/>
            </w:tcBorders>
            <w:vAlign w:val="center"/>
            <w:hideMark/>
          </w:tcPr>
          <w:p w14:paraId="312E154A"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709" w:type="pct"/>
            <w:tcBorders>
              <w:top w:val="single" w:sz="8" w:space="0" w:color="auto"/>
              <w:left w:val="nil"/>
              <w:bottom w:val="single" w:sz="8" w:space="0" w:color="auto"/>
              <w:right w:val="single" w:sz="8" w:space="0" w:color="000000"/>
            </w:tcBorders>
            <w:vAlign w:val="center"/>
            <w:hideMark/>
          </w:tcPr>
          <w:p w14:paraId="4FF379AB" w14:textId="77777777" w:rsidR="00A27CF2" w:rsidRPr="00047543" w:rsidRDefault="00A27CF2">
            <w:pPr>
              <w:spacing w:before="0" w:after="0"/>
              <w:jc w:val="center"/>
              <w:rPr>
                <w:noProof/>
                <w:color w:val="000000"/>
                <w:sz w:val="14"/>
                <w:szCs w:val="14"/>
              </w:rPr>
            </w:pPr>
            <w:r w:rsidRPr="00047543">
              <w:rPr>
                <w:noProof/>
                <w:color w:val="000000"/>
                <w:sz w:val="14"/>
              </w:rPr>
              <w:t>(2b)</w:t>
            </w:r>
          </w:p>
        </w:tc>
        <w:tc>
          <w:tcPr>
            <w:tcW w:w="441" w:type="pct"/>
            <w:tcBorders>
              <w:top w:val="nil"/>
              <w:left w:val="nil"/>
              <w:bottom w:val="single" w:sz="8" w:space="0" w:color="auto"/>
              <w:right w:val="single" w:sz="8" w:space="0" w:color="auto"/>
            </w:tcBorders>
            <w:vAlign w:val="center"/>
            <w:hideMark/>
          </w:tcPr>
          <w:p w14:paraId="4A8F8164"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7E63C539"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4920B20"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01C1A85D"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7D64B42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715AC56" w14:textId="77777777">
        <w:trPr>
          <w:trHeight w:val="300"/>
        </w:trPr>
        <w:tc>
          <w:tcPr>
            <w:tcW w:w="5000" w:type="pct"/>
            <w:gridSpan w:val="8"/>
            <w:tcBorders>
              <w:top w:val="single" w:sz="8" w:space="0" w:color="auto"/>
              <w:left w:val="single" w:sz="8" w:space="0" w:color="auto"/>
              <w:bottom w:val="single" w:sz="8" w:space="0" w:color="auto"/>
              <w:right w:val="nil"/>
            </w:tcBorders>
            <w:noWrap/>
            <w:vAlign w:val="bottom"/>
            <w:hideMark/>
          </w:tcPr>
          <w:p w14:paraId="7507CB78" w14:textId="77777777" w:rsidR="00A27CF2" w:rsidRPr="00047543" w:rsidRDefault="00A27CF2">
            <w:pPr>
              <w:spacing w:before="0" w:after="0"/>
              <w:jc w:val="left"/>
              <w:rPr>
                <w:noProof/>
                <w:color w:val="000000"/>
                <w:sz w:val="22"/>
              </w:rPr>
            </w:pPr>
            <w:r w:rsidRPr="00047543">
              <w:rPr>
                <w:noProof/>
                <w:color w:val="000000"/>
                <w:sz w:val="22"/>
              </w:rPr>
              <w:t>Anslag av administrativ natur som finansieras genom ramanslagen för särskilda program</w:t>
            </w:r>
            <w:r w:rsidRPr="00047543">
              <w:rPr>
                <w:noProof/>
              </w:rPr>
              <w:t xml:space="preserve"> </w:t>
            </w:r>
          </w:p>
        </w:tc>
      </w:tr>
      <w:tr w:rsidR="00A27CF2" w:rsidRPr="00047543" w14:paraId="7E6C4E20"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25812EE5"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471" w:type="pct"/>
            <w:tcBorders>
              <w:top w:val="nil"/>
              <w:left w:val="nil"/>
              <w:bottom w:val="single" w:sz="8" w:space="0" w:color="auto"/>
              <w:right w:val="single" w:sz="8" w:space="0" w:color="auto"/>
            </w:tcBorders>
            <w:vAlign w:val="center"/>
            <w:hideMark/>
          </w:tcPr>
          <w:p w14:paraId="67F0BDE3" w14:textId="77777777" w:rsidR="00A27CF2" w:rsidRPr="00047543" w:rsidRDefault="00A27CF2">
            <w:pPr>
              <w:spacing w:before="0" w:after="0"/>
              <w:jc w:val="right"/>
              <w:rPr>
                <w:noProof/>
                <w:color w:val="000000"/>
                <w:sz w:val="18"/>
                <w:szCs w:val="18"/>
              </w:rPr>
            </w:pPr>
            <w:r w:rsidRPr="00047543">
              <w:rPr>
                <w:noProof/>
                <w:color w:val="000000"/>
                <w:sz w:val="18"/>
              </w:rPr>
              <w:t xml:space="preserve"> </w:t>
            </w:r>
          </w:p>
        </w:tc>
        <w:tc>
          <w:tcPr>
            <w:tcW w:w="709" w:type="pct"/>
            <w:tcBorders>
              <w:top w:val="nil"/>
              <w:left w:val="nil"/>
              <w:bottom w:val="single" w:sz="8" w:space="0" w:color="auto"/>
              <w:right w:val="single" w:sz="8" w:space="0" w:color="000000"/>
            </w:tcBorders>
            <w:vAlign w:val="center"/>
            <w:hideMark/>
          </w:tcPr>
          <w:p w14:paraId="19B19E3C" w14:textId="77777777" w:rsidR="00A27CF2" w:rsidRPr="00047543" w:rsidRDefault="00A27CF2">
            <w:pPr>
              <w:spacing w:before="0" w:after="0"/>
              <w:jc w:val="center"/>
              <w:rPr>
                <w:noProof/>
                <w:color w:val="000000"/>
                <w:sz w:val="14"/>
                <w:szCs w:val="14"/>
              </w:rPr>
            </w:pPr>
            <w:r w:rsidRPr="00047543">
              <w:rPr>
                <w:noProof/>
                <w:color w:val="000000"/>
                <w:sz w:val="14"/>
              </w:rPr>
              <w:t>(3)</w:t>
            </w:r>
          </w:p>
        </w:tc>
        <w:tc>
          <w:tcPr>
            <w:tcW w:w="441" w:type="pct"/>
            <w:tcBorders>
              <w:top w:val="nil"/>
              <w:left w:val="nil"/>
              <w:bottom w:val="single" w:sz="8" w:space="0" w:color="auto"/>
              <w:right w:val="single" w:sz="8" w:space="0" w:color="auto"/>
            </w:tcBorders>
            <w:vAlign w:val="center"/>
            <w:hideMark/>
          </w:tcPr>
          <w:p w14:paraId="4E10256F"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C78F1A8"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26DBAE2C"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41" w:type="pct"/>
            <w:tcBorders>
              <w:top w:val="nil"/>
              <w:left w:val="nil"/>
              <w:bottom w:val="single" w:sz="8" w:space="0" w:color="auto"/>
              <w:right w:val="single" w:sz="8" w:space="0" w:color="auto"/>
            </w:tcBorders>
            <w:vAlign w:val="center"/>
            <w:hideMark/>
          </w:tcPr>
          <w:p w14:paraId="54B5964A"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534" w:type="pct"/>
            <w:tcBorders>
              <w:top w:val="nil"/>
              <w:left w:val="nil"/>
              <w:bottom w:val="single" w:sz="8" w:space="0" w:color="auto"/>
              <w:right w:val="single" w:sz="8" w:space="0" w:color="auto"/>
            </w:tcBorders>
            <w:shd w:val="clear" w:color="000000" w:fill="D9D9D9"/>
            <w:vAlign w:val="center"/>
            <w:hideMark/>
          </w:tcPr>
          <w:p w14:paraId="5553799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4150328" w14:textId="77777777">
        <w:trPr>
          <w:trHeight w:val="300"/>
        </w:trPr>
        <w:tc>
          <w:tcPr>
            <w:tcW w:w="1522" w:type="pct"/>
            <w:tcBorders>
              <w:top w:val="nil"/>
              <w:left w:val="single" w:sz="8" w:space="0" w:color="auto"/>
              <w:bottom w:val="nil"/>
              <w:right w:val="single" w:sz="8" w:space="0" w:color="auto"/>
            </w:tcBorders>
            <w:vAlign w:val="center"/>
            <w:hideMark/>
          </w:tcPr>
          <w:p w14:paraId="1BFE0B47" w14:textId="77777777" w:rsidR="00A27CF2" w:rsidRPr="00047543" w:rsidRDefault="00A27CF2">
            <w:pPr>
              <w:spacing w:before="0" w:after="0"/>
              <w:jc w:val="center"/>
              <w:rPr>
                <w:b/>
                <w:bCs/>
                <w:noProof/>
                <w:color w:val="000000"/>
                <w:sz w:val="22"/>
              </w:rPr>
            </w:pPr>
            <w:r w:rsidRPr="00047543">
              <w:rPr>
                <w:b/>
                <w:noProof/>
                <w:color w:val="000000"/>
                <w:sz w:val="22"/>
              </w:rPr>
              <w:t>TOTALA anslag</w:t>
            </w:r>
          </w:p>
        </w:tc>
        <w:tc>
          <w:tcPr>
            <w:tcW w:w="471" w:type="pct"/>
            <w:tcBorders>
              <w:top w:val="nil"/>
              <w:left w:val="nil"/>
              <w:bottom w:val="single" w:sz="8" w:space="0" w:color="auto"/>
              <w:right w:val="single" w:sz="8" w:space="0" w:color="auto"/>
            </w:tcBorders>
            <w:vAlign w:val="center"/>
            <w:hideMark/>
          </w:tcPr>
          <w:p w14:paraId="7C035AC3"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709" w:type="pct"/>
            <w:tcBorders>
              <w:top w:val="single" w:sz="8" w:space="0" w:color="auto"/>
              <w:left w:val="nil"/>
              <w:bottom w:val="single" w:sz="8" w:space="0" w:color="auto"/>
              <w:right w:val="single" w:sz="8" w:space="0" w:color="000000"/>
            </w:tcBorders>
            <w:vAlign w:val="center"/>
            <w:hideMark/>
          </w:tcPr>
          <w:p w14:paraId="27BDDEFB" w14:textId="77777777" w:rsidR="00A27CF2" w:rsidRPr="00047543" w:rsidRDefault="00A27CF2">
            <w:pPr>
              <w:spacing w:before="0" w:after="0"/>
              <w:jc w:val="center"/>
              <w:rPr>
                <w:noProof/>
                <w:color w:val="000000"/>
                <w:sz w:val="14"/>
                <w:szCs w:val="14"/>
              </w:rPr>
            </w:pPr>
            <w:r w:rsidRPr="00047543">
              <w:rPr>
                <w:noProof/>
                <w:color w:val="000000"/>
                <w:sz w:val="14"/>
              </w:rPr>
              <w:t>=1a+1b+3</w:t>
            </w:r>
          </w:p>
        </w:tc>
        <w:tc>
          <w:tcPr>
            <w:tcW w:w="441" w:type="pct"/>
            <w:tcBorders>
              <w:top w:val="nil"/>
              <w:left w:val="nil"/>
              <w:bottom w:val="single" w:sz="8" w:space="0" w:color="auto"/>
              <w:right w:val="single" w:sz="8" w:space="0" w:color="auto"/>
            </w:tcBorders>
            <w:shd w:val="clear" w:color="000000" w:fill="D9D9D9"/>
            <w:vAlign w:val="center"/>
            <w:hideMark/>
          </w:tcPr>
          <w:p w14:paraId="3A200BA4"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7A6B5ED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0422CDF4"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643CDC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32391CD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6DA3C42" w14:textId="77777777">
        <w:trPr>
          <w:trHeight w:val="300"/>
        </w:trPr>
        <w:tc>
          <w:tcPr>
            <w:tcW w:w="1522" w:type="pct"/>
            <w:tcBorders>
              <w:top w:val="nil"/>
              <w:left w:val="single" w:sz="8" w:space="0" w:color="auto"/>
              <w:bottom w:val="single" w:sz="8" w:space="0" w:color="auto"/>
              <w:right w:val="single" w:sz="8" w:space="0" w:color="auto"/>
            </w:tcBorders>
            <w:vAlign w:val="center"/>
            <w:hideMark/>
          </w:tcPr>
          <w:p w14:paraId="4526EA33" w14:textId="77777777" w:rsidR="00A27CF2" w:rsidRPr="00047543" w:rsidRDefault="00A27CF2">
            <w:pPr>
              <w:spacing w:before="0" w:after="0"/>
              <w:jc w:val="center"/>
              <w:rPr>
                <w:b/>
                <w:bCs/>
                <w:noProof/>
                <w:color w:val="000000"/>
                <w:sz w:val="22"/>
              </w:rPr>
            </w:pPr>
            <w:r w:rsidRPr="00047543">
              <w:rPr>
                <w:b/>
                <w:noProof/>
                <w:color w:val="000000"/>
                <w:sz w:val="22"/>
              </w:rPr>
              <w:t xml:space="preserve">för GD </w:t>
            </w:r>
            <w:r w:rsidRPr="00047543">
              <w:rPr>
                <w:noProof/>
                <w:color w:val="000000"/>
                <w:sz w:val="22"/>
              </w:rPr>
              <w:t>&lt;…….&gt;</w:t>
            </w:r>
          </w:p>
        </w:tc>
        <w:tc>
          <w:tcPr>
            <w:tcW w:w="471" w:type="pct"/>
            <w:tcBorders>
              <w:top w:val="nil"/>
              <w:left w:val="nil"/>
              <w:bottom w:val="single" w:sz="8" w:space="0" w:color="auto"/>
              <w:right w:val="single" w:sz="8" w:space="0" w:color="auto"/>
            </w:tcBorders>
            <w:vAlign w:val="center"/>
            <w:hideMark/>
          </w:tcPr>
          <w:p w14:paraId="00F38A1C"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709" w:type="pct"/>
            <w:tcBorders>
              <w:top w:val="single" w:sz="8" w:space="0" w:color="auto"/>
              <w:left w:val="nil"/>
              <w:bottom w:val="single" w:sz="8" w:space="0" w:color="auto"/>
              <w:right w:val="single" w:sz="8" w:space="0" w:color="000000"/>
            </w:tcBorders>
            <w:vAlign w:val="center"/>
            <w:hideMark/>
          </w:tcPr>
          <w:p w14:paraId="1A061703" w14:textId="77777777" w:rsidR="00A27CF2" w:rsidRPr="00047543" w:rsidRDefault="00A27CF2">
            <w:pPr>
              <w:spacing w:before="0" w:after="0"/>
              <w:jc w:val="center"/>
              <w:rPr>
                <w:noProof/>
                <w:color w:val="000000"/>
                <w:sz w:val="14"/>
                <w:szCs w:val="14"/>
              </w:rPr>
            </w:pPr>
            <w:r w:rsidRPr="00047543">
              <w:rPr>
                <w:noProof/>
                <w:color w:val="000000"/>
                <w:sz w:val="14"/>
              </w:rPr>
              <w:t>=2a+2b+3</w:t>
            </w:r>
          </w:p>
        </w:tc>
        <w:tc>
          <w:tcPr>
            <w:tcW w:w="441" w:type="pct"/>
            <w:tcBorders>
              <w:top w:val="nil"/>
              <w:left w:val="nil"/>
              <w:bottom w:val="single" w:sz="8" w:space="0" w:color="auto"/>
              <w:right w:val="single" w:sz="8" w:space="0" w:color="auto"/>
            </w:tcBorders>
            <w:shd w:val="clear" w:color="000000" w:fill="D9D9D9"/>
            <w:vAlign w:val="center"/>
            <w:hideMark/>
          </w:tcPr>
          <w:p w14:paraId="76AD827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7972F34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49EC879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41" w:type="pct"/>
            <w:tcBorders>
              <w:top w:val="nil"/>
              <w:left w:val="nil"/>
              <w:bottom w:val="single" w:sz="8" w:space="0" w:color="auto"/>
              <w:right w:val="single" w:sz="8" w:space="0" w:color="auto"/>
            </w:tcBorders>
            <w:shd w:val="clear" w:color="000000" w:fill="D9D9D9"/>
            <w:vAlign w:val="center"/>
            <w:hideMark/>
          </w:tcPr>
          <w:p w14:paraId="121ABC1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34" w:type="pct"/>
            <w:tcBorders>
              <w:top w:val="nil"/>
              <w:left w:val="nil"/>
              <w:bottom w:val="single" w:sz="8" w:space="0" w:color="auto"/>
              <w:right w:val="single" w:sz="8" w:space="0" w:color="auto"/>
            </w:tcBorders>
            <w:shd w:val="clear" w:color="000000" w:fill="D9D9D9"/>
            <w:vAlign w:val="center"/>
            <w:hideMark/>
          </w:tcPr>
          <w:p w14:paraId="26AEB17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bl>
    <w:p w14:paraId="4D465B49" w14:textId="77777777" w:rsidR="00A27CF2" w:rsidRPr="00047543" w:rsidRDefault="00A27CF2" w:rsidP="00A27CF2">
      <w:pPr>
        <w:rPr>
          <w:noProof/>
        </w:rPr>
      </w:pPr>
    </w:p>
    <w:tbl>
      <w:tblPr>
        <w:tblW w:w="5000" w:type="pct"/>
        <w:tblLook w:val="04A0" w:firstRow="1" w:lastRow="0" w:firstColumn="1" w:lastColumn="0" w:noHBand="0" w:noVBand="1"/>
      </w:tblPr>
      <w:tblGrid>
        <w:gridCol w:w="4014"/>
        <w:gridCol w:w="314"/>
        <w:gridCol w:w="1190"/>
        <w:gridCol w:w="149"/>
        <w:gridCol w:w="1038"/>
        <w:gridCol w:w="212"/>
        <w:gridCol w:w="829"/>
        <w:gridCol w:w="573"/>
        <w:gridCol w:w="670"/>
        <w:gridCol w:w="732"/>
        <w:gridCol w:w="511"/>
        <w:gridCol w:w="891"/>
        <w:gridCol w:w="352"/>
        <w:gridCol w:w="1050"/>
        <w:gridCol w:w="193"/>
        <w:gridCol w:w="1502"/>
      </w:tblGrid>
      <w:tr w:rsidR="00A27CF2" w:rsidRPr="00047543" w14:paraId="4506D182" w14:textId="77777777">
        <w:trPr>
          <w:trHeight w:val="300"/>
        </w:trPr>
        <w:tc>
          <w:tcPr>
            <w:tcW w:w="2432"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1F28D8E9" w14:textId="77777777" w:rsidR="00A27CF2" w:rsidRPr="00047543" w:rsidRDefault="00A27CF2">
            <w:pPr>
              <w:spacing w:before="0" w:after="0"/>
              <w:jc w:val="center"/>
              <w:rPr>
                <w:b/>
                <w:bCs/>
                <w:noProof/>
                <w:color w:val="000000"/>
                <w:sz w:val="22"/>
              </w:rPr>
            </w:pPr>
            <w:r w:rsidRPr="00047543">
              <w:rPr>
                <w:b/>
                <w:noProof/>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7D1630DE"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2"/>
            <w:tcBorders>
              <w:top w:val="single" w:sz="8" w:space="0" w:color="auto"/>
              <w:left w:val="nil"/>
              <w:bottom w:val="single" w:sz="8" w:space="0" w:color="auto"/>
              <w:right w:val="single" w:sz="8" w:space="0" w:color="auto"/>
            </w:tcBorders>
            <w:vAlign w:val="center"/>
            <w:hideMark/>
          </w:tcPr>
          <w:p w14:paraId="575DA6C3"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2"/>
            <w:tcBorders>
              <w:top w:val="single" w:sz="8" w:space="0" w:color="auto"/>
              <w:left w:val="nil"/>
              <w:bottom w:val="single" w:sz="8" w:space="0" w:color="auto"/>
              <w:right w:val="single" w:sz="8" w:space="0" w:color="auto"/>
            </w:tcBorders>
            <w:vAlign w:val="center"/>
            <w:hideMark/>
          </w:tcPr>
          <w:p w14:paraId="3ED37941"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2"/>
            <w:tcBorders>
              <w:top w:val="single" w:sz="8" w:space="0" w:color="auto"/>
              <w:left w:val="nil"/>
              <w:bottom w:val="single" w:sz="8" w:space="0" w:color="auto"/>
              <w:right w:val="single" w:sz="8" w:space="0" w:color="auto"/>
            </w:tcBorders>
            <w:vAlign w:val="center"/>
            <w:hideMark/>
          </w:tcPr>
          <w:p w14:paraId="51DF9A77"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0A3597A2"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49352638" w14:textId="77777777">
        <w:trPr>
          <w:trHeight w:val="300"/>
        </w:trPr>
        <w:tc>
          <w:tcPr>
            <w:tcW w:w="2432" w:type="pct"/>
            <w:gridSpan w:val="6"/>
            <w:vMerge/>
            <w:tcBorders>
              <w:top w:val="single" w:sz="8" w:space="0" w:color="auto"/>
              <w:left w:val="single" w:sz="8" w:space="0" w:color="auto"/>
              <w:bottom w:val="single" w:sz="8" w:space="0" w:color="000000"/>
              <w:right w:val="single" w:sz="8" w:space="0" w:color="000000"/>
            </w:tcBorders>
            <w:vAlign w:val="center"/>
            <w:hideMark/>
          </w:tcPr>
          <w:p w14:paraId="31A02FC9" w14:textId="77777777" w:rsidR="00A27CF2" w:rsidRPr="00047543" w:rsidRDefault="00A27CF2">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6955F767"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93" w:type="pct"/>
            <w:gridSpan w:val="2"/>
            <w:tcBorders>
              <w:top w:val="nil"/>
              <w:left w:val="nil"/>
              <w:bottom w:val="single" w:sz="8" w:space="0" w:color="auto"/>
              <w:right w:val="single" w:sz="8" w:space="0" w:color="auto"/>
            </w:tcBorders>
            <w:vAlign w:val="center"/>
            <w:hideMark/>
          </w:tcPr>
          <w:p w14:paraId="22010BE7"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1D325C76"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93" w:type="pct"/>
            <w:gridSpan w:val="2"/>
            <w:tcBorders>
              <w:top w:val="nil"/>
              <w:left w:val="nil"/>
              <w:bottom w:val="single" w:sz="8" w:space="0" w:color="auto"/>
              <w:right w:val="single" w:sz="8" w:space="0" w:color="auto"/>
            </w:tcBorders>
            <w:vAlign w:val="center"/>
            <w:hideMark/>
          </w:tcPr>
          <w:p w14:paraId="3011CF8B"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3653D593" w14:textId="77777777" w:rsidR="00A27CF2" w:rsidRPr="00047543" w:rsidRDefault="00A27CF2">
            <w:pPr>
              <w:spacing w:before="0" w:after="0"/>
              <w:jc w:val="left"/>
              <w:rPr>
                <w:b/>
                <w:bCs/>
                <w:noProof/>
                <w:color w:val="000000"/>
                <w:sz w:val="20"/>
                <w:szCs w:val="20"/>
                <w:lang w:eastAsia="en-IE"/>
              </w:rPr>
            </w:pPr>
          </w:p>
        </w:tc>
      </w:tr>
      <w:tr w:rsidR="00A27CF2" w:rsidRPr="00047543" w14:paraId="7E81C324" w14:textId="77777777">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14:paraId="17080691" w14:textId="77777777" w:rsidR="00A27CF2" w:rsidRPr="00047543" w:rsidRDefault="00A27CF2">
            <w:pPr>
              <w:spacing w:before="0" w:after="0"/>
              <w:rPr>
                <w:noProof/>
                <w:color w:val="000000"/>
                <w:sz w:val="21"/>
                <w:szCs w:val="21"/>
              </w:rPr>
            </w:pPr>
            <w:r w:rsidRPr="00047543">
              <w:rPr>
                <w:noProof/>
                <w:color w:val="000000"/>
                <w:sz w:val="21"/>
              </w:rPr>
              <w:t xml:space="preserve">TOTALA driftsanslag </w:t>
            </w:r>
            <w:r w:rsidRPr="00047543">
              <w:rPr>
                <w:noProof/>
              </w:rPr>
              <w:t xml:space="preserve"> </w:t>
            </w:r>
            <w:r w:rsidRPr="00047543">
              <w:rPr>
                <w:noProof/>
              </w:rPr>
              <w:cr/>
            </w:r>
            <w:r w:rsidRPr="00047543">
              <w:rPr>
                <w:noProof/>
              </w:rPr>
              <w:br/>
            </w:r>
          </w:p>
        </w:tc>
        <w:tc>
          <w:tcPr>
            <w:tcW w:w="529" w:type="pct"/>
            <w:gridSpan w:val="2"/>
            <w:tcBorders>
              <w:top w:val="nil"/>
              <w:left w:val="nil"/>
              <w:bottom w:val="single" w:sz="8" w:space="0" w:color="auto"/>
              <w:right w:val="single" w:sz="8" w:space="0" w:color="auto"/>
            </w:tcBorders>
            <w:vAlign w:val="center"/>
            <w:hideMark/>
          </w:tcPr>
          <w:p w14:paraId="29F0A272"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2" w:type="pct"/>
            <w:gridSpan w:val="3"/>
            <w:tcBorders>
              <w:top w:val="single" w:sz="8" w:space="0" w:color="auto"/>
              <w:left w:val="nil"/>
              <w:bottom w:val="single" w:sz="8" w:space="0" w:color="auto"/>
              <w:right w:val="single" w:sz="8" w:space="0" w:color="auto"/>
            </w:tcBorders>
            <w:vAlign w:val="center"/>
            <w:hideMark/>
          </w:tcPr>
          <w:p w14:paraId="0F94CAFB" w14:textId="77777777" w:rsidR="00A27CF2" w:rsidRPr="00047543" w:rsidRDefault="00A27CF2">
            <w:pPr>
              <w:spacing w:before="0" w:after="0"/>
              <w:jc w:val="center"/>
              <w:rPr>
                <w:noProof/>
                <w:color w:val="000000"/>
                <w:sz w:val="14"/>
                <w:szCs w:val="14"/>
              </w:rPr>
            </w:pPr>
            <w:r w:rsidRPr="00047543">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A3BB14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F0E1165"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9BE2689"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ED91D41"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5A44050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7DE92329" w14:textId="77777777">
        <w:trPr>
          <w:trHeight w:val="456"/>
        </w:trPr>
        <w:tc>
          <w:tcPr>
            <w:tcW w:w="1411" w:type="pct"/>
            <w:vMerge/>
            <w:tcBorders>
              <w:top w:val="nil"/>
              <w:left w:val="single" w:sz="8" w:space="0" w:color="auto"/>
              <w:bottom w:val="single" w:sz="8" w:space="0" w:color="auto"/>
              <w:right w:val="single" w:sz="8" w:space="0" w:color="auto"/>
            </w:tcBorders>
            <w:vAlign w:val="center"/>
            <w:hideMark/>
          </w:tcPr>
          <w:p w14:paraId="532847F8" w14:textId="77777777" w:rsidR="00A27CF2" w:rsidRPr="00047543" w:rsidRDefault="00A27CF2">
            <w:pPr>
              <w:spacing w:before="0" w:after="0"/>
              <w:jc w:val="left"/>
              <w:rPr>
                <w:noProof/>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4B5DD3BA"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2" w:type="pct"/>
            <w:gridSpan w:val="3"/>
            <w:tcBorders>
              <w:top w:val="single" w:sz="8" w:space="0" w:color="auto"/>
              <w:left w:val="nil"/>
              <w:bottom w:val="single" w:sz="8" w:space="0" w:color="auto"/>
              <w:right w:val="single" w:sz="8" w:space="0" w:color="auto"/>
            </w:tcBorders>
            <w:vAlign w:val="center"/>
            <w:hideMark/>
          </w:tcPr>
          <w:p w14:paraId="69907038" w14:textId="77777777" w:rsidR="00A27CF2" w:rsidRPr="00047543" w:rsidRDefault="00A27CF2">
            <w:pPr>
              <w:spacing w:before="0" w:after="0"/>
              <w:jc w:val="center"/>
              <w:rPr>
                <w:noProof/>
                <w:color w:val="000000"/>
                <w:sz w:val="14"/>
                <w:szCs w:val="14"/>
              </w:rPr>
            </w:pPr>
            <w:r w:rsidRPr="00047543">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52DF287"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EBE0B3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BC2406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62EC647"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B79777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455DBAD" w14:textId="77777777">
        <w:trPr>
          <w:trHeight w:val="924"/>
        </w:trPr>
        <w:tc>
          <w:tcPr>
            <w:tcW w:w="1939" w:type="pct"/>
            <w:gridSpan w:val="3"/>
            <w:tcBorders>
              <w:top w:val="single" w:sz="8" w:space="0" w:color="auto"/>
              <w:left w:val="single" w:sz="8" w:space="0" w:color="auto"/>
              <w:bottom w:val="single" w:sz="8" w:space="0" w:color="auto"/>
              <w:right w:val="single" w:sz="8" w:space="0" w:color="auto"/>
            </w:tcBorders>
            <w:vAlign w:val="center"/>
            <w:hideMark/>
          </w:tcPr>
          <w:p w14:paraId="73F6E3BD" w14:textId="77777777" w:rsidR="00A27CF2" w:rsidRPr="00047543" w:rsidRDefault="00A27CF2">
            <w:pPr>
              <w:spacing w:before="0" w:after="0"/>
              <w:rPr>
                <w:noProof/>
                <w:color w:val="000000"/>
                <w:sz w:val="21"/>
                <w:szCs w:val="21"/>
              </w:rPr>
            </w:pPr>
            <w:r w:rsidRPr="00047543">
              <w:rPr>
                <w:noProof/>
                <w:color w:val="000000"/>
                <w:sz w:val="21"/>
              </w:rPr>
              <w:t xml:space="preserve">TOTALA anslag av administrativ natur som finansieras genom ramanslagen för särskilda program </w:t>
            </w:r>
          </w:p>
        </w:tc>
        <w:tc>
          <w:tcPr>
            <w:tcW w:w="492" w:type="pct"/>
            <w:gridSpan w:val="3"/>
            <w:tcBorders>
              <w:top w:val="single" w:sz="8" w:space="0" w:color="auto"/>
              <w:left w:val="nil"/>
              <w:bottom w:val="single" w:sz="8" w:space="0" w:color="auto"/>
              <w:right w:val="single" w:sz="8" w:space="0" w:color="auto"/>
            </w:tcBorders>
            <w:vAlign w:val="center"/>
            <w:hideMark/>
          </w:tcPr>
          <w:p w14:paraId="618BAFA3" w14:textId="77777777" w:rsidR="00A27CF2" w:rsidRPr="00047543" w:rsidRDefault="00A27CF2">
            <w:pPr>
              <w:spacing w:before="0" w:after="0"/>
              <w:jc w:val="center"/>
              <w:rPr>
                <w:noProof/>
                <w:color w:val="000000"/>
                <w:sz w:val="14"/>
                <w:szCs w:val="14"/>
              </w:rPr>
            </w:pPr>
            <w:r w:rsidRPr="00047543">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6DDE24C"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93F4E88"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CB497D7"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731E42D"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00B80B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6DCB8E26" w14:textId="77777777">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2CD9449B" w14:textId="77777777" w:rsidR="00A27CF2" w:rsidRPr="00047543" w:rsidRDefault="00A27CF2">
            <w:pPr>
              <w:spacing w:before="0" w:after="0"/>
              <w:jc w:val="center"/>
              <w:rPr>
                <w:b/>
                <w:bCs/>
                <w:noProof/>
                <w:color w:val="000000"/>
                <w:sz w:val="22"/>
              </w:rPr>
            </w:pPr>
            <w:r w:rsidRPr="00047543">
              <w:rPr>
                <w:b/>
                <w:noProof/>
                <w:color w:val="000000"/>
                <w:sz w:val="22"/>
              </w:rPr>
              <w:t>TOTALA anslag för RUBRIK &lt;….&gt;</w:t>
            </w:r>
          </w:p>
        </w:tc>
        <w:tc>
          <w:tcPr>
            <w:tcW w:w="529" w:type="pct"/>
            <w:gridSpan w:val="2"/>
            <w:tcBorders>
              <w:top w:val="nil"/>
              <w:left w:val="nil"/>
              <w:bottom w:val="single" w:sz="8" w:space="0" w:color="auto"/>
              <w:right w:val="single" w:sz="8" w:space="0" w:color="auto"/>
            </w:tcBorders>
            <w:vAlign w:val="center"/>
            <w:hideMark/>
          </w:tcPr>
          <w:p w14:paraId="2629B019"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2" w:type="pct"/>
            <w:gridSpan w:val="3"/>
            <w:tcBorders>
              <w:top w:val="single" w:sz="8" w:space="0" w:color="auto"/>
              <w:left w:val="nil"/>
              <w:bottom w:val="single" w:sz="8" w:space="0" w:color="auto"/>
              <w:right w:val="single" w:sz="8" w:space="0" w:color="auto"/>
            </w:tcBorders>
            <w:vAlign w:val="center"/>
            <w:hideMark/>
          </w:tcPr>
          <w:p w14:paraId="285574FE" w14:textId="77777777" w:rsidR="00A27CF2" w:rsidRPr="00047543" w:rsidRDefault="00A27CF2">
            <w:pPr>
              <w:spacing w:before="0" w:after="0"/>
              <w:jc w:val="center"/>
              <w:rPr>
                <w:noProof/>
                <w:color w:val="000000"/>
                <w:sz w:val="14"/>
                <w:szCs w:val="14"/>
              </w:rPr>
            </w:pPr>
            <w:r w:rsidRPr="00047543">
              <w:rPr>
                <w:noProof/>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175F9CE"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5FD434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009F25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8A3231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585EC6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67690B66" w14:textId="77777777">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35193A5F" w14:textId="77777777" w:rsidR="00A27CF2" w:rsidRPr="00047543" w:rsidRDefault="00A27CF2">
            <w:pPr>
              <w:spacing w:before="0" w:after="0"/>
              <w:jc w:val="center"/>
              <w:rPr>
                <w:noProof/>
                <w:color w:val="000000"/>
                <w:sz w:val="22"/>
              </w:rPr>
            </w:pPr>
            <w:r w:rsidRPr="00047543">
              <w:rPr>
                <w:noProof/>
                <w:color w:val="000000"/>
                <w:sz w:val="22"/>
              </w:rPr>
              <w:t>i den fleråriga budgetramen</w:t>
            </w:r>
          </w:p>
        </w:tc>
        <w:tc>
          <w:tcPr>
            <w:tcW w:w="529" w:type="pct"/>
            <w:gridSpan w:val="2"/>
            <w:tcBorders>
              <w:top w:val="nil"/>
              <w:left w:val="nil"/>
              <w:bottom w:val="single" w:sz="8" w:space="0" w:color="auto"/>
              <w:right w:val="single" w:sz="8" w:space="0" w:color="auto"/>
            </w:tcBorders>
            <w:vAlign w:val="center"/>
            <w:hideMark/>
          </w:tcPr>
          <w:p w14:paraId="23E11E03"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2" w:type="pct"/>
            <w:gridSpan w:val="3"/>
            <w:tcBorders>
              <w:top w:val="single" w:sz="8" w:space="0" w:color="auto"/>
              <w:left w:val="nil"/>
              <w:bottom w:val="single" w:sz="8" w:space="0" w:color="auto"/>
              <w:right w:val="single" w:sz="8" w:space="0" w:color="auto"/>
            </w:tcBorders>
            <w:vAlign w:val="center"/>
            <w:hideMark/>
          </w:tcPr>
          <w:p w14:paraId="0E492838" w14:textId="77777777" w:rsidR="00A27CF2" w:rsidRPr="00047543" w:rsidRDefault="00A27CF2">
            <w:pPr>
              <w:spacing w:before="0" w:after="0"/>
              <w:jc w:val="center"/>
              <w:rPr>
                <w:noProof/>
                <w:color w:val="000000"/>
                <w:sz w:val="14"/>
                <w:szCs w:val="14"/>
              </w:rPr>
            </w:pPr>
            <w:r w:rsidRPr="00047543">
              <w:rPr>
                <w:noProof/>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79898A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424196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7EE5D4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E7C573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32B83B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21F07235" w14:textId="77777777">
        <w:trPr>
          <w:trHeight w:val="288"/>
        </w:trPr>
        <w:tc>
          <w:tcPr>
            <w:tcW w:w="1522" w:type="pct"/>
            <w:gridSpan w:val="2"/>
            <w:tcBorders>
              <w:top w:val="nil"/>
              <w:left w:val="nil"/>
              <w:bottom w:val="nil"/>
              <w:right w:val="nil"/>
            </w:tcBorders>
            <w:noWrap/>
            <w:vAlign w:val="bottom"/>
            <w:hideMark/>
          </w:tcPr>
          <w:p w14:paraId="17EBFEC2" w14:textId="77777777" w:rsidR="00A27CF2" w:rsidRPr="00047543" w:rsidRDefault="00A27CF2">
            <w:pPr>
              <w:spacing w:before="0" w:after="0"/>
              <w:jc w:val="left"/>
              <w:rPr>
                <w:noProof/>
                <w:sz w:val="20"/>
                <w:szCs w:val="24"/>
                <w:lang w:eastAsia="en-IE"/>
              </w:rPr>
            </w:pPr>
          </w:p>
        </w:tc>
        <w:tc>
          <w:tcPr>
            <w:tcW w:w="471" w:type="pct"/>
            <w:gridSpan w:val="2"/>
            <w:tcBorders>
              <w:top w:val="nil"/>
              <w:left w:val="nil"/>
              <w:bottom w:val="nil"/>
              <w:right w:val="nil"/>
            </w:tcBorders>
            <w:noWrap/>
            <w:vAlign w:val="bottom"/>
            <w:hideMark/>
          </w:tcPr>
          <w:p w14:paraId="53991EAF" w14:textId="77777777" w:rsidR="00A27CF2" w:rsidRPr="00047543" w:rsidRDefault="00A27CF2">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343B00FB" w14:textId="77777777" w:rsidR="00A27CF2" w:rsidRPr="00047543" w:rsidRDefault="00A27CF2">
            <w:pPr>
              <w:spacing w:before="0" w:after="0"/>
              <w:jc w:val="left"/>
              <w:rPr>
                <w:noProof/>
                <w:sz w:val="20"/>
                <w:szCs w:val="20"/>
                <w:lang w:eastAsia="en-IE"/>
              </w:rPr>
            </w:pPr>
          </w:p>
        </w:tc>
        <w:tc>
          <w:tcPr>
            <w:tcW w:w="365" w:type="pct"/>
            <w:gridSpan w:val="2"/>
            <w:tcBorders>
              <w:top w:val="nil"/>
              <w:left w:val="nil"/>
              <w:bottom w:val="nil"/>
              <w:right w:val="single" w:sz="4" w:space="0" w:color="auto"/>
            </w:tcBorders>
            <w:noWrap/>
            <w:vAlign w:val="bottom"/>
            <w:hideMark/>
          </w:tcPr>
          <w:p w14:paraId="56A17C1E" w14:textId="77777777" w:rsidR="00A27CF2" w:rsidRPr="00047543" w:rsidRDefault="00A27CF2">
            <w:pPr>
              <w:spacing w:before="0" w:after="0"/>
              <w:jc w:val="left"/>
              <w:rPr>
                <w:noProof/>
                <w:sz w:val="20"/>
                <w:szCs w:val="20"/>
                <w:lang w:eastAsia="en-IE"/>
              </w:rPr>
            </w:pPr>
          </w:p>
        </w:tc>
        <w:tc>
          <w:tcPr>
            <w:tcW w:w="437" w:type="pct"/>
            <w:gridSpan w:val="2"/>
            <w:tcBorders>
              <w:top w:val="single" w:sz="8" w:space="0" w:color="auto"/>
              <w:left w:val="single" w:sz="4" w:space="0" w:color="auto"/>
              <w:bottom w:val="nil"/>
              <w:right w:val="single" w:sz="8" w:space="0" w:color="auto"/>
            </w:tcBorders>
            <w:vAlign w:val="center"/>
            <w:hideMark/>
          </w:tcPr>
          <w:p w14:paraId="0C236A10"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37" w:type="pct"/>
            <w:gridSpan w:val="2"/>
            <w:tcBorders>
              <w:top w:val="single" w:sz="8" w:space="0" w:color="auto"/>
              <w:left w:val="nil"/>
              <w:bottom w:val="nil"/>
              <w:right w:val="single" w:sz="8" w:space="0" w:color="auto"/>
            </w:tcBorders>
            <w:vAlign w:val="center"/>
            <w:hideMark/>
          </w:tcPr>
          <w:p w14:paraId="45A88F26"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37" w:type="pct"/>
            <w:gridSpan w:val="2"/>
            <w:tcBorders>
              <w:top w:val="single" w:sz="8" w:space="0" w:color="auto"/>
              <w:left w:val="nil"/>
              <w:bottom w:val="nil"/>
              <w:right w:val="single" w:sz="8" w:space="0" w:color="auto"/>
            </w:tcBorders>
            <w:vAlign w:val="center"/>
            <w:hideMark/>
          </w:tcPr>
          <w:p w14:paraId="6E888C81"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37" w:type="pct"/>
            <w:gridSpan w:val="2"/>
            <w:tcBorders>
              <w:top w:val="single" w:sz="8" w:space="0" w:color="auto"/>
              <w:left w:val="nil"/>
              <w:bottom w:val="nil"/>
              <w:right w:val="single" w:sz="8" w:space="0" w:color="auto"/>
            </w:tcBorders>
            <w:vAlign w:val="center"/>
            <w:hideMark/>
          </w:tcPr>
          <w:p w14:paraId="078319B1"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29" w:type="pct"/>
            <w:vMerge w:val="restart"/>
            <w:tcBorders>
              <w:top w:val="single" w:sz="8" w:space="0" w:color="auto"/>
              <w:left w:val="single" w:sz="8" w:space="0" w:color="auto"/>
              <w:bottom w:val="single" w:sz="8" w:space="0" w:color="000000"/>
              <w:right w:val="single" w:sz="8" w:space="0" w:color="auto"/>
            </w:tcBorders>
            <w:vAlign w:val="center"/>
            <w:hideMark/>
          </w:tcPr>
          <w:p w14:paraId="4B7D5346"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34CF9A26" w14:textId="77777777">
        <w:trPr>
          <w:trHeight w:val="300"/>
        </w:trPr>
        <w:tc>
          <w:tcPr>
            <w:tcW w:w="1522" w:type="pct"/>
            <w:gridSpan w:val="2"/>
            <w:tcBorders>
              <w:top w:val="nil"/>
              <w:left w:val="nil"/>
              <w:bottom w:val="nil"/>
              <w:right w:val="nil"/>
            </w:tcBorders>
            <w:noWrap/>
            <w:vAlign w:val="bottom"/>
            <w:hideMark/>
          </w:tcPr>
          <w:p w14:paraId="205A2390" w14:textId="77777777" w:rsidR="00A27CF2" w:rsidRPr="00047543" w:rsidRDefault="00A27CF2">
            <w:pPr>
              <w:spacing w:before="0" w:after="0"/>
              <w:jc w:val="center"/>
              <w:rPr>
                <w:b/>
                <w:bCs/>
                <w:noProof/>
                <w:color w:val="000000"/>
                <w:sz w:val="20"/>
                <w:szCs w:val="20"/>
                <w:lang w:eastAsia="en-IE"/>
              </w:rPr>
            </w:pPr>
          </w:p>
        </w:tc>
        <w:tc>
          <w:tcPr>
            <w:tcW w:w="471" w:type="pct"/>
            <w:gridSpan w:val="2"/>
            <w:tcBorders>
              <w:top w:val="nil"/>
              <w:left w:val="nil"/>
              <w:bottom w:val="nil"/>
              <w:right w:val="nil"/>
            </w:tcBorders>
            <w:noWrap/>
            <w:vAlign w:val="bottom"/>
            <w:hideMark/>
          </w:tcPr>
          <w:p w14:paraId="3D1309A7" w14:textId="77777777" w:rsidR="00A27CF2" w:rsidRPr="00047543" w:rsidRDefault="00A27CF2">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1E662A4E" w14:textId="77777777" w:rsidR="00A27CF2" w:rsidRPr="00047543" w:rsidRDefault="00A27CF2">
            <w:pPr>
              <w:spacing w:before="0" w:after="0"/>
              <w:jc w:val="left"/>
              <w:rPr>
                <w:noProof/>
                <w:sz w:val="20"/>
                <w:szCs w:val="20"/>
                <w:lang w:eastAsia="en-IE"/>
              </w:rPr>
            </w:pPr>
          </w:p>
        </w:tc>
        <w:tc>
          <w:tcPr>
            <w:tcW w:w="365" w:type="pct"/>
            <w:gridSpan w:val="2"/>
            <w:tcBorders>
              <w:top w:val="nil"/>
              <w:left w:val="nil"/>
              <w:bottom w:val="nil"/>
              <w:right w:val="single" w:sz="4" w:space="0" w:color="auto"/>
            </w:tcBorders>
            <w:noWrap/>
            <w:vAlign w:val="bottom"/>
            <w:hideMark/>
          </w:tcPr>
          <w:p w14:paraId="5071B59F" w14:textId="77777777" w:rsidR="00A27CF2" w:rsidRPr="00047543" w:rsidRDefault="00A27CF2">
            <w:pPr>
              <w:spacing w:before="0" w:after="0"/>
              <w:jc w:val="left"/>
              <w:rPr>
                <w:noProof/>
                <w:sz w:val="20"/>
                <w:szCs w:val="20"/>
                <w:lang w:eastAsia="en-IE"/>
              </w:rPr>
            </w:pPr>
          </w:p>
        </w:tc>
        <w:tc>
          <w:tcPr>
            <w:tcW w:w="437" w:type="pct"/>
            <w:gridSpan w:val="2"/>
            <w:tcBorders>
              <w:top w:val="nil"/>
              <w:left w:val="single" w:sz="4" w:space="0" w:color="auto"/>
              <w:bottom w:val="single" w:sz="8" w:space="0" w:color="auto"/>
              <w:right w:val="single" w:sz="8" w:space="0" w:color="auto"/>
            </w:tcBorders>
            <w:vAlign w:val="center"/>
            <w:hideMark/>
          </w:tcPr>
          <w:p w14:paraId="355172F3"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37" w:type="pct"/>
            <w:gridSpan w:val="2"/>
            <w:tcBorders>
              <w:top w:val="nil"/>
              <w:left w:val="nil"/>
              <w:bottom w:val="single" w:sz="8" w:space="0" w:color="auto"/>
              <w:right w:val="single" w:sz="8" w:space="0" w:color="auto"/>
            </w:tcBorders>
            <w:vAlign w:val="center"/>
            <w:hideMark/>
          </w:tcPr>
          <w:p w14:paraId="10B3941F"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37" w:type="pct"/>
            <w:gridSpan w:val="2"/>
            <w:tcBorders>
              <w:top w:val="nil"/>
              <w:left w:val="nil"/>
              <w:bottom w:val="single" w:sz="8" w:space="0" w:color="auto"/>
              <w:right w:val="single" w:sz="8" w:space="0" w:color="auto"/>
            </w:tcBorders>
            <w:vAlign w:val="center"/>
            <w:hideMark/>
          </w:tcPr>
          <w:p w14:paraId="54461372"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37" w:type="pct"/>
            <w:gridSpan w:val="2"/>
            <w:tcBorders>
              <w:top w:val="nil"/>
              <w:left w:val="nil"/>
              <w:bottom w:val="single" w:sz="8" w:space="0" w:color="auto"/>
              <w:right w:val="single" w:sz="8" w:space="0" w:color="auto"/>
            </w:tcBorders>
            <w:vAlign w:val="center"/>
            <w:hideMark/>
          </w:tcPr>
          <w:p w14:paraId="1F64E05F"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29" w:type="pct"/>
            <w:vMerge/>
            <w:tcBorders>
              <w:top w:val="single" w:sz="8" w:space="0" w:color="auto"/>
              <w:left w:val="single" w:sz="8" w:space="0" w:color="auto"/>
              <w:bottom w:val="single" w:sz="8" w:space="0" w:color="000000"/>
              <w:right w:val="single" w:sz="8" w:space="0" w:color="auto"/>
            </w:tcBorders>
            <w:vAlign w:val="center"/>
            <w:hideMark/>
          </w:tcPr>
          <w:p w14:paraId="7C005BD3" w14:textId="77777777" w:rsidR="00A27CF2" w:rsidRPr="00047543" w:rsidRDefault="00A27CF2">
            <w:pPr>
              <w:spacing w:before="0" w:after="0"/>
              <w:jc w:val="left"/>
              <w:rPr>
                <w:b/>
                <w:bCs/>
                <w:noProof/>
                <w:color w:val="000000"/>
                <w:sz w:val="20"/>
                <w:szCs w:val="20"/>
                <w:lang w:eastAsia="en-IE"/>
              </w:rPr>
            </w:pPr>
          </w:p>
        </w:tc>
      </w:tr>
      <w:tr w:rsidR="00A27CF2" w:rsidRPr="00047543" w14:paraId="0F9D0F73" w14:textId="77777777">
        <w:trPr>
          <w:trHeight w:val="300"/>
        </w:trPr>
        <w:tc>
          <w:tcPr>
            <w:tcW w:w="152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1B597E3F" w14:textId="77777777" w:rsidR="00A27CF2" w:rsidRPr="00047543" w:rsidRDefault="00A27CF2">
            <w:pPr>
              <w:spacing w:before="0" w:after="0"/>
              <w:rPr>
                <w:noProof/>
                <w:color w:val="000000"/>
                <w:sz w:val="21"/>
                <w:szCs w:val="21"/>
              </w:rPr>
            </w:pPr>
            <w:r w:rsidRPr="00047543">
              <w:rPr>
                <w:rFonts w:ascii="Calibri" w:hAnsi="Calibri"/>
                <w:noProof/>
                <w:color w:val="000000"/>
                <w:sz w:val="21"/>
              </w:rPr>
              <w:t xml:space="preserve">• </w:t>
            </w:r>
            <w:r w:rsidRPr="00047543">
              <w:rPr>
                <w:noProof/>
                <w:color w:val="000000"/>
                <w:sz w:val="21"/>
              </w:rPr>
              <w:t>TOTALA driftsanslag (alla driftsposter)</w:t>
            </w:r>
          </w:p>
        </w:tc>
        <w:tc>
          <w:tcPr>
            <w:tcW w:w="471" w:type="pct"/>
            <w:gridSpan w:val="2"/>
            <w:tcBorders>
              <w:top w:val="single" w:sz="8" w:space="0" w:color="auto"/>
              <w:left w:val="nil"/>
              <w:bottom w:val="single" w:sz="8" w:space="0" w:color="auto"/>
              <w:right w:val="single" w:sz="8" w:space="0" w:color="auto"/>
            </w:tcBorders>
            <w:vAlign w:val="center"/>
            <w:hideMark/>
          </w:tcPr>
          <w:p w14:paraId="534CF394"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731" w:type="pct"/>
            <w:gridSpan w:val="3"/>
            <w:tcBorders>
              <w:top w:val="single" w:sz="8" w:space="0" w:color="auto"/>
              <w:left w:val="nil"/>
              <w:bottom w:val="single" w:sz="8" w:space="0" w:color="auto"/>
              <w:right w:val="single" w:sz="8" w:space="0" w:color="000000"/>
            </w:tcBorders>
            <w:vAlign w:val="center"/>
            <w:hideMark/>
          </w:tcPr>
          <w:p w14:paraId="4A29538D" w14:textId="77777777" w:rsidR="00A27CF2" w:rsidRPr="00047543" w:rsidRDefault="00A27CF2">
            <w:pPr>
              <w:spacing w:before="0" w:after="0"/>
              <w:jc w:val="center"/>
              <w:rPr>
                <w:noProof/>
                <w:color w:val="000000"/>
                <w:sz w:val="14"/>
                <w:szCs w:val="14"/>
              </w:rPr>
            </w:pPr>
            <w:r w:rsidRPr="00047543">
              <w:rPr>
                <w:noProof/>
                <w:color w:val="000000"/>
                <w:sz w:val="14"/>
              </w:rPr>
              <w:t>(4)</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E771972"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A18005C"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5D28A02"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9055E99"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4E0ACE6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5923F98" w14:textId="77777777">
        <w:trPr>
          <w:trHeight w:val="300"/>
        </w:trPr>
        <w:tc>
          <w:tcPr>
            <w:tcW w:w="1522" w:type="pct"/>
            <w:gridSpan w:val="2"/>
            <w:vMerge/>
            <w:tcBorders>
              <w:top w:val="single" w:sz="8" w:space="0" w:color="auto"/>
              <w:left w:val="single" w:sz="8" w:space="0" w:color="auto"/>
              <w:bottom w:val="single" w:sz="8" w:space="0" w:color="auto"/>
              <w:right w:val="single" w:sz="8" w:space="0" w:color="auto"/>
            </w:tcBorders>
            <w:vAlign w:val="center"/>
            <w:hideMark/>
          </w:tcPr>
          <w:p w14:paraId="176673F0" w14:textId="77777777" w:rsidR="00A27CF2" w:rsidRPr="00047543" w:rsidRDefault="00A27CF2">
            <w:pPr>
              <w:spacing w:before="0" w:after="0"/>
              <w:jc w:val="left"/>
              <w:rPr>
                <w:noProof/>
                <w:color w:val="000000"/>
                <w:sz w:val="21"/>
                <w:szCs w:val="21"/>
                <w:lang w:eastAsia="en-IE"/>
              </w:rPr>
            </w:pPr>
          </w:p>
        </w:tc>
        <w:tc>
          <w:tcPr>
            <w:tcW w:w="471" w:type="pct"/>
            <w:gridSpan w:val="2"/>
            <w:tcBorders>
              <w:top w:val="nil"/>
              <w:left w:val="nil"/>
              <w:bottom w:val="single" w:sz="8" w:space="0" w:color="auto"/>
              <w:right w:val="single" w:sz="8" w:space="0" w:color="auto"/>
            </w:tcBorders>
            <w:vAlign w:val="center"/>
            <w:hideMark/>
          </w:tcPr>
          <w:p w14:paraId="507A8AC3"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731" w:type="pct"/>
            <w:gridSpan w:val="3"/>
            <w:tcBorders>
              <w:top w:val="single" w:sz="8" w:space="0" w:color="auto"/>
              <w:left w:val="nil"/>
              <w:bottom w:val="single" w:sz="8" w:space="0" w:color="auto"/>
              <w:right w:val="single" w:sz="8" w:space="0" w:color="000000"/>
            </w:tcBorders>
            <w:vAlign w:val="center"/>
            <w:hideMark/>
          </w:tcPr>
          <w:p w14:paraId="082A4D1C" w14:textId="77777777" w:rsidR="00A27CF2" w:rsidRPr="00047543" w:rsidRDefault="00A27CF2">
            <w:pPr>
              <w:spacing w:before="0" w:after="0"/>
              <w:jc w:val="center"/>
              <w:rPr>
                <w:noProof/>
                <w:color w:val="000000"/>
                <w:sz w:val="14"/>
                <w:szCs w:val="14"/>
              </w:rPr>
            </w:pPr>
            <w:r w:rsidRPr="00047543">
              <w:rPr>
                <w:noProof/>
                <w:color w:val="000000"/>
                <w:sz w:val="14"/>
              </w:rPr>
              <w:t>(5)</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9DCDEB9"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95937DA"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EC0551A"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38D950B"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199BB59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3212CDC" w14:textId="77777777">
        <w:trPr>
          <w:trHeight w:val="990"/>
        </w:trPr>
        <w:tc>
          <w:tcPr>
            <w:tcW w:w="1993" w:type="pct"/>
            <w:gridSpan w:val="4"/>
            <w:tcBorders>
              <w:top w:val="single" w:sz="8" w:space="0" w:color="auto"/>
              <w:left w:val="single" w:sz="8" w:space="0" w:color="auto"/>
              <w:bottom w:val="single" w:sz="8" w:space="0" w:color="auto"/>
              <w:right w:val="single" w:sz="8" w:space="0" w:color="000000"/>
            </w:tcBorders>
            <w:vAlign w:val="center"/>
            <w:hideMark/>
          </w:tcPr>
          <w:p w14:paraId="569E669C" w14:textId="77777777" w:rsidR="00A27CF2" w:rsidRPr="00047543" w:rsidRDefault="00A27CF2">
            <w:pPr>
              <w:spacing w:before="0" w:after="0"/>
              <w:rPr>
                <w:noProof/>
                <w:color w:val="000000"/>
                <w:sz w:val="21"/>
                <w:szCs w:val="21"/>
              </w:rPr>
            </w:pPr>
            <w:r w:rsidRPr="00047543">
              <w:rPr>
                <w:rFonts w:ascii="Calibri" w:hAnsi="Calibri"/>
                <w:noProof/>
                <w:color w:val="000000"/>
                <w:sz w:val="21"/>
              </w:rPr>
              <w:t>•</w:t>
            </w:r>
            <w:r w:rsidRPr="00047543">
              <w:rPr>
                <w:noProof/>
                <w:color w:val="000000"/>
                <w:sz w:val="21"/>
              </w:rPr>
              <w:t xml:space="preserve"> TOTALA anslag av administrativ natur som finansieras genom ramanslagen för särskilda program (alla driftsrelaterade rubriker)</w:t>
            </w:r>
          </w:p>
        </w:tc>
        <w:tc>
          <w:tcPr>
            <w:tcW w:w="731" w:type="pct"/>
            <w:gridSpan w:val="3"/>
            <w:tcBorders>
              <w:top w:val="single" w:sz="8" w:space="0" w:color="auto"/>
              <w:left w:val="nil"/>
              <w:bottom w:val="single" w:sz="8" w:space="0" w:color="auto"/>
              <w:right w:val="single" w:sz="8" w:space="0" w:color="000000"/>
            </w:tcBorders>
            <w:vAlign w:val="center"/>
            <w:hideMark/>
          </w:tcPr>
          <w:p w14:paraId="15D357F3" w14:textId="77777777" w:rsidR="00A27CF2" w:rsidRPr="00047543" w:rsidRDefault="00A27CF2">
            <w:pPr>
              <w:spacing w:before="0" w:after="0"/>
              <w:jc w:val="center"/>
              <w:rPr>
                <w:noProof/>
                <w:color w:val="000000"/>
                <w:sz w:val="14"/>
                <w:szCs w:val="14"/>
              </w:rPr>
            </w:pPr>
            <w:r w:rsidRPr="00047543">
              <w:rPr>
                <w:noProof/>
                <w:color w:val="000000"/>
                <w:sz w:val="14"/>
              </w:rPr>
              <w:t>(6)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7E1C09E"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AA76834"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35587ED"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34C84A9"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098A210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8F19596" w14:textId="77777777">
        <w:trPr>
          <w:trHeight w:val="564"/>
        </w:trPr>
        <w:tc>
          <w:tcPr>
            <w:tcW w:w="1522" w:type="pct"/>
            <w:gridSpan w:val="2"/>
            <w:tcBorders>
              <w:top w:val="nil"/>
              <w:left w:val="single" w:sz="8" w:space="0" w:color="auto"/>
              <w:bottom w:val="nil"/>
              <w:right w:val="single" w:sz="8" w:space="0" w:color="auto"/>
            </w:tcBorders>
            <w:shd w:val="thinDiagStripe" w:color="C0C0C0" w:fill="F1F1F1"/>
            <w:vAlign w:val="center"/>
            <w:hideMark/>
          </w:tcPr>
          <w:p w14:paraId="7AC2B34F" w14:textId="77777777" w:rsidR="00A27CF2" w:rsidRPr="00047543" w:rsidRDefault="00A27CF2">
            <w:pPr>
              <w:spacing w:before="0" w:after="0"/>
              <w:jc w:val="center"/>
              <w:rPr>
                <w:b/>
                <w:bCs/>
                <w:noProof/>
                <w:color w:val="000000"/>
                <w:sz w:val="22"/>
              </w:rPr>
            </w:pPr>
            <w:r w:rsidRPr="00047543">
              <w:rPr>
                <w:b/>
                <w:noProof/>
                <w:color w:val="000000"/>
                <w:sz w:val="22"/>
              </w:rPr>
              <w:t>TOTALA anslag för rubrikerna 1–6</w:t>
            </w:r>
          </w:p>
        </w:tc>
        <w:tc>
          <w:tcPr>
            <w:tcW w:w="471" w:type="pct"/>
            <w:gridSpan w:val="2"/>
            <w:tcBorders>
              <w:top w:val="nil"/>
              <w:left w:val="nil"/>
              <w:bottom w:val="nil"/>
              <w:right w:val="single" w:sz="8" w:space="0" w:color="auto"/>
            </w:tcBorders>
            <w:vAlign w:val="center"/>
            <w:hideMark/>
          </w:tcPr>
          <w:p w14:paraId="1A65D12B"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731" w:type="pct"/>
            <w:gridSpan w:val="3"/>
            <w:tcBorders>
              <w:top w:val="single" w:sz="8" w:space="0" w:color="auto"/>
              <w:left w:val="nil"/>
              <w:bottom w:val="nil"/>
              <w:right w:val="single" w:sz="8" w:space="0" w:color="000000"/>
            </w:tcBorders>
            <w:vAlign w:val="center"/>
            <w:hideMark/>
          </w:tcPr>
          <w:p w14:paraId="4F160EA6" w14:textId="77777777" w:rsidR="00A27CF2" w:rsidRPr="00047543" w:rsidRDefault="00A27CF2">
            <w:pPr>
              <w:spacing w:before="0" w:after="0"/>
              <w:jc w:val="center"/>
              <w:rPr>
                <w:noProof/>
                <w:color w:val="000000"/>
                <w:sz w:val="14"/>
                <w:szCs w:val="14"/>
              </w:rPr>
            </w:pPr>
            <w:r w:rsidRPr="00047543">
              <w:rPr>
                <w:noProof/>
                <w:color w:val="000000"/>
                <w:sz w:val="14"/>
              </w:rPr>
              <w:t>=4+6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C3CE0B5"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685308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EA3B4C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95A712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6DB30C7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23EE8D3" w14:textId="77777777">
        <w:trPr>
          <w:trHeight w:val="588"/>
        </w:trPr>
        <w:tc>
          <w:tcPr>
            <w:tcW w:w="1522"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37044E12" w14:textId="77777777" w:rsidR="00A27CF2" w:rsidRPr="00047543" w:rsidRDefault="00A27CF2">
            <w:pPr>
              <w:spacing w:before="0" w:after="0"/>
              <w:jc w:val="center"/>
              <w:rPr>
                <w:noProof/>
                <w:color w:val="000000"/>
                <w:sz w:val="20"/>
                <w:szCs w:val="20"/>
              </w:rPr>
            </w:pPr>
            <w:r w:rsidRPr="00047543">
              <w:rPr>
                <w:noProof/>
                <w:color w:val="000000"/>
                <w:sz w:val="20"/>
              </w:rPr>
              <w:t>i den fleråriga budgetramen</w:t>
            </w:r>
            <w:r w:rsidRPr="00047543">
              <w:rPr>
                <w:noProof/>
              </w:rPr>
              <w:t xml:space="preserve"> </w:t>
            </w:r>
            <w:r w:rsidRPr="00047543">
              <w:rPr>
                <w:noProof/>
              </w:rPr>
              <w:cr/>
            </w:r>
            <w:r w:rsidRPr="00047543">
              <w:rPr>
                <w:noProof/>
              </w:rPr>
              <w:br/>
            </w:r>
            <w:r w:rsidRPr="00047543">
              <w:rPr>
                <w:noProof/>
                <w:color w:val="000000"/>
                <w:sz w:val="20"/>
              </w:rPr>
              <w:t>(referensbelopp)</w:t>
            </w:r>
          </w:p>
        </w:tc>
        <w:tc>
          <w:tcPr>
            <w:tcW w:w="471" w:type="pct"/>
            <w:gridSpan w:val="2"/>
            <w:tcBorders>
              <w:top w:val="nil"/>
              <w:left w:val="nil"/>
              <w:bottom w:val="single" w:sz="8" w:space="0" w:color="auto"/>
              <w:right w:val="single" w:sz="8" w:space="0" w:color="auto"/>
            </w:tcBorders>
            <w:vAlign w:val="center"/>
            <w:hideMark/>
          </w:tcPr>
          <w:p w14:paraId="3B33D351"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731" w:type="pct"/>
            <w:gridSpan w:val="3"/>
            <w:tcBorders>
              <w:top w:val="single" w:sz="8" w:space="0" w:color="auto"/>
              <w:left w:val="nil"/>
              <w:bottom w:val="single" w:sz="8" w:space="0" w:color="auto"/>
              <w:right w:val="single" w:sz="8" w:space="0" w:color="000000"/>
            </w:tcBorders>
            <w:vAlign w:val="center"/>
            <w:hideMark/>
          </w:tcPr>
          <w:p w14:paraId="4E3EAEE7" w14:textId="77777777" w:rsidR="00A27CF2" w:rsidRPr="00047543" w:rsidRDefault="00A27CF2">
            <w:pPr>
              <w:spacing w:before="0" w:after="0"/>
              <w:jc w:val="center"/>
              <w:rPr>
                <w:noProof/>
                <w:color w:val="000000"/>
                <w:sz w:val="14"/>
                <w:szCs w:val="14"/>
              </w:rPr>
            </w:pPr>
            <w:r w:rsidRPr="00047543">
              <w:rPr>
                <w:noProof/>
                <w:color w:val="000000"/>
                <w:sz w:val="14"/>
              </w:rPr>
              <w:t>=5+6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5C8C40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21476BE"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61C0DB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D473C9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29" w:type="pct"/>
            <w:tcBorders>
              <w:top w:val="nil"/>
              <w:left w:val="nil"/>
              <w:bottom w:val="single" w:sz="8" w:space="0" w:color="auto"/>
              <w:right w:val="single" w:sz="8" w:space="0" w:color="auto"/>
            </w:tcBorders>
            <w:shd w:val="clear" w:color="000000" w:fill="D9D9D9"/>
            <w:vAlign w:val="center"/>
            <w:hideMark/>
          </w:tcPr>
          <w:p w14:paraId="60ED14A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bl>
    <w:p w14:paraId="42768E11" w14:textId="77777777" w:rsidR="00A27CF2" w:rsidRPr="00047543" w:rsidRDefault="00A27CF2" w:rsidP="00A27CF2">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244"/>
        <w:gridCol w:w="1126"/>
        <w:gridCol w:w="1275"/>
        <w:gridCol w:w="637"/>
        <w:gridCol w:w="640"/>
        <w:gridCol w:w="1069"/>
        <w:gridCol w:w="1069"/>
        <w:gridCol w:w="1069"/>
        <w:gridCol w:w="1069"/>
        <w:gridCol w:w="1320"/>
      </w:tblGrid>
      <w:tr w:rsidR="00A27CF2" w:rsidRPr="00047543" w14:paraId="1B14F4AB" w14:textId="77777777">
        <w:trPr>
          <w:jc w:val="center"/>
        </w:trPr>
        <w:tc>
          <w:tcPr>
            <w:tcW w:w="1739" w:type="pct"/>
            <w:gridSpan w:val="2"/>
            <w:shd w:val="thinDiagStripe" w:color="C0C0C0" w:fill="auto"/>
            <w:vAlign w:val="center"/>
          </w:tcPr>
          <w:p w14:paraId="5934EA7C" w14:textId="77777777" w:rsidR="00A27CF2" w:rsidRPr="00047543" w:rsidRDefault="00A27CF2">
            <w:pPr>
              <w:spacing w:before="60" w:after="60"/>
              <w:jc w:val="center"/>
              <w:rPr>
                <w:b/>
                <w:noProof/>
              </w:rPr>
            </w:pPr>
            <w:r w:rsidRPr="00047543">
              <w:rPr>
                <w:noProof/>
              </w:rPr>
              <w:br w:type="page"/>
            </w:r>
            <w:r w:rsidRPr="00047543">
              <w:rPr>
                <w:b/>
                <w:noProof/>
                <w:sz w:val="22"/>
              </w:rPr>
              <w:t xml:space="preserve">Rubrik i den fleråriga budgetramen </w:t>
            </w:r>
          </w:p>
        </w:tc>
        <w:tc>
          <w:tcPr>
            <w:tcW w:w="396" w:type="pct"/>
            <w:shd w:val="thinDiagStripe" w:color="C0C0C0" w:fill="auto"/>
            <w:vAlign w:val="center"/>
          </w:tcPr>
          <w:p w14:paraId="5E146C64" w14:textId="77777777" w:rsidR="00A27CF2" w:rsidRPr="00047543" w:rsidRDefault="00A27CF2">
            <w:pPr>
              <w:spacing w:before="60" w:after="60"/>
              <w:jc w:val="center"/>
              <w:rPr>
                <w:noProof/>
              </w:rPr>
            </w:pPr>
            <w:r w:rsidRPr="00047543">
              <w:rPr>
                <w:b/>
                <w:noProof/>
                <w:sz w:val="22"/>
              </w:rPr>
              <w:t>7</w:t>
            </w:r>
          </w:p>
        </w:tc>
        <w:tc>
          <w:tcPr>
            <w:tcW w:w="2865" w:type="pct"/>
            <w:gridSpan w:val="8"/>
            <w:vAlign w:val="center"/>
          </w:tcPr>
          <w:p w14:paraId="508F0DE5" w14:textId="77777777" w:rsidR="00A27CF2" w:rsidRPr="00047543" w:rsidRDefault="00A27CF2">
            <w:pPr>
              <w:spacing w:before="60" w:after="60"/>
              <w:rPr>
                <w:noProof/>
              </w:rPr>
            </w:pPr>
            <w:r w:rsidRPr="00047543">
              <w:rPr>
                <w:noProof/>
                <w:sz w:val="22"/>
              </w:rPr>
              <w:t>”Administrativa utgifter”</w:t>
            </w:r>
            <w:r w:rsidRPr="00047543">
              <w:rPr>
                <w:noProof/>
              </w:rPr>
              <w:t xml:space="preserve"> </w:t>
            </w:r>
          </w:p>
        </w:tc>
      </w:tr>
      <w:tr w:rsidR="00A27CF2" w:rsidRPr="00047543" w14:paraId="032DE351"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709D52E1" w14:textId="77777777" w:rsidR="00A27CF2" w:rsidRPr="00047543" w:rsidRDefault="00A27CF2">
            <w:pPr>
              <w:spacing w:before="0" w:after="0"/>
              <w:jc w:val="center"/>
              <w:rPr>
                <w:noProof/>
                <w:color w:val="000000"/>
                <w:szCs w:val="24"/>
              </w:rPr>
            </w:pPr>
            <w:r w:rsidRPr="00047543">
              <w:rPr>
                <w:noProof/>
                <w:color w:val="000000"/>
              </w:rPr>
              <w:t>GD: &lt;…….&gt;</w:t>
            </w:r>
          </w:p>
        </w:tc>
        <w:tc>
          <w:tcPr>
            <w:tcW w:w="376" w:type="pct"/>
            <w:tcBorders>
              <w:top w:val="single" w:sz="8" w:space="0" w:color="auto"/>
              <w:left w:val="nil"/>
              <w:bottom w:val="nil"/>
              <w:right w:val="single" w:sz="8" w:space="0" w:color="auto"/>
            </w:tcBorders>
            <w:vAlign w:val="center"/>
            <w:hideMark/>
          </w:tcPr>
          <w:p w14:paraId="5E817CC5"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376" w:type="pct"/>
            <w:tcBorders>
              <w:top w:val="single" w:sz="8" w:space="0" w:color="auto"/>
              <w:left w:val="nil"/>
              <w:bottom w:val="nil"/>
              <w:right w:val="single" w:sz="8" w:space="0" w:color="auto"/>
            </w:tcBorders>
            <w:vAlign w:val="center"/>
            <w:hideMark/>
          </w:tcPr>
          <w:p w14:paraId="289C754C"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376" w:type="pct"/>
            <w:tcBorders>
              <w:top w:val="single" w:sz="8" w:space="0" w:color="auto"/>
              <w:left w:val="nil"/>
              <w:bottom w:val="nil"/>
              <w:right w:val="single" w:sz="8" w:space="0" w:color="auto"/>
            </w:tcBorders>
            <w:vAlign w:val="center"/>
            <w:hideMark/>
          </w:tcPr>
          <w:p w14:paraId="154CB563"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376" w:type="pct"/>
            <w:tcBorders>
              <w:top w:val="single" w:sz="8" w:space="0" w:color="auto"/>
              <w:left w:val="nil"/>
              <w:bottom w:val="nil"/>
              <w:right w:val="single" w:sz="8" w:space="0" w:color="auto"/>
            </w:tcBorders>
            <w:vAlign w:val="center"/>
            <w:hideMark/>
          </w:tcPr>
          <w:p w14:paraId="3AD74319"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65" w:type="pct"/>
            <w:vMerge w:val="restart"/>
            <w:tcBorders>
              <w:top w:val="single" w:sz="8" w:space="0" w:color="auto"/>
              <w:left w:val="single" w:sz="8" w:space="0" w:color="auto"/>
              <w:bottom w:val="single" w:sz="8" w:space="0" w:color="000000"/>
              <w:right w:val="single" w:sz="8" w:space="0" w:color="auto"/>
            </w:tcBorders>
            <w:vAlign w:val="center"/>
            <w:hideMark/>
          </w:tcPr>
          <w:p w14:paraId="6F35EF65"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1027CF89"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12764404" w14:textId="77777777" w:rsidR="00A27CF2" w:rsidRPr="00047543" w:rsidRDefault="00A27CF2">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5E1BF9A9"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376" w:type="pct"/>
            <w:tcBorders>
              <w:top w:val="nil"/>
              <w:left w:val="nil"/>
              <w:bottom w:val="single" w:sz="8" w:space="0" w:color="auto"/>
              <w:right w:val="single" w:sz="8" w:space="0" w:color="auto"/>
            </w:tcBorders>
            <w:vAlign w:val="center"/>
            <w:hideMark/>
          </w:tcPr>
          <w:p w14:paraId="7245BFAD"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376" w:type="pct"/>
            <w:tcBorders>
              <w:top w:val="nil"/>
              <w:left w:val="nil"/>
              <w:bottom w:val="single" w:sz="8" w:space="0" w:color="auto"/>
              <w:right w:val="single" w:sz="8" w:space="0" w:color="auto"/>
            </w:tcBorders>
            <w:vAlign w:val="center"/>
            <w:hideMark/>
          </w:tcPr>
          <w:p w14:paraId="78D756A4"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376" w:type="pct"/>
            <w:tcBorders>
              <w:top w:val="nil"/>
              <w:left w:val="nil"/>
              <w:bottom w:val="single" w:sz="8" w:space="0" w:color="auto"/>
              <w:right w:val="single" w:sz="8" w:space="0" w:color="auto"/>
            </w:tcBorders>
            <w:vAlign w:val="center"/>
            <w:hideMark/>
          </w:tcPr>
          <w:p w14:paraId="7823C916"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0FE64668" w14:textId="77777777" w:rsidR="00A27CF2" w:rsidRPr="00047543" w:rsidRDefault="00A27CF2">
            <w:pPr>
              <w:spacing w:before="0" w:after="0"/>
              <w:jc w:val="left"/>
              <w:rPr>
                <w:b/>
                <w:bCs/>
                <w:noProof/>
                <w:color w:val="000000"/>
                <w:sz w:val="20"/>
                <w:szCs w:val="20"/>
                <w:lang w:eastAsia="en-IE"/>
              </w:rPr>
            </w:pPr>
          </w:p>
        </w:tc>
      </w:tr>
      <w:tr w:rsidR="00A27CF2" w:rsidRPr="00047543" w14:paraId="0FDCD8F3"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625186BF" w14:textId="77777777" w:rsidR="00A27CF2" w:rsidRPr="00047543" w:rsidRDefault="00A27CF2">
            <w:pPr>
              <w:spacing w:before="0" w:after="0"/>
              <w:jc w:val="left"/>
              <w:rPr>
                <w:rFonts w:ascii="Wingdings" w:hAnsi="Wingdings" w:cs="Calibri"/>
                <w:noProof/>
                <w:color w:val="000000"/>
                <w:sz w:val="22"/>
              </w:rPr>
            </w:pPr>
            <w:r w:rsidRPr="00047543">
              <w:rPr>
                <w:rFonts w:ascii="Wingdings" w:hAnsi="Wingdings"/>
                <w:noProof/>
                <w:color w:val="000000"/>
                <w:sz w:val="22"/>
              </w:rPr>
              <w:t></w:t>
            </w:r>
            <w:r w:rsidRPr="00047543">
              <w:rPr>
                <w:noProof/>
                <w:color w:val="000000"/>
                <w:sz w:val="22"/>
              </w:rPr>
              <w:t xml:space="preserve"> Personalresurser </w:t>
            </w:r>
          </w:p>
        </w:tc>
        <w:tc>
          <w:tcPr>
            <w:tcW w:w="376" w:type="pct"/>
            <w:tcBorders>
              <w:top w:val="nil"/>
              <w:left w:val="nil"/>
              <w:bottom w:val="single" w:sz="8" w:space="0" w:color="auto"/>
              <w:right w:val="single" w:sz="8" w:space="0" w:color="auto"/>
            </w:tcBorders>
            <w:shd w:val="clear" w:color="000000" w:fill="D9D9D9"/>
            <w:vAlign w:val="center"/>
            <w:hideMark/>
          </w:tcPr>
          <w:p w14:paraId="6CAB2E44"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E1AE195"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84D0D22"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EFDC2DE"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18299F9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7FEAC3AD"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267B9B60" w14:textId="77777777" w:rsidR="00A27CF2" w:rsidRPr="00047543" w:rsidRDefault="00A27CF2">
            <w:pPr>
              <w:spacing w:before="0" w:after="0"/>
              <w:jc w:val="left"/>
              <w:rPr>
                <w:rFonts w:ascii="Wingdings" w:hAnsi="Wingdings" w:cs="Calibri"/>
                <w:noProof/>
                <w:color w:val="000000"/>
                <w:sz w:val="22"/>
              </w:rPr>
            </w:pPr>
            <w:r w:rsidRPr="00047543">
              <w:rPr>
                <w:rFonts w:ascii="Wingdings" w:hAnsi="Wingdings"/>
                <w:noProof/>
                <w:color w:val="000000"/>
                <w:sz w:val="22"/>
              </w:rPr>
              <w:t></w:t>
            </w:r>
            <w:r w:rsidRPr="00047543">
              <w:rPr>
                <w:noProof/>
                <w:color w:val="000000"/>
                <w:sz w:val="22"/>
              </w:rPr>
              <w:t xml:space="preserve"> Övriga administrativa utgifter </w:t>
            </w:r>
          </w:p>
        </w:tc>
        <w:tc>
          <w:tcPr>
            <w:tcW w:w="376" w:type="pct"/>
            <w:tcBorders>
              <w:top w:val="nil"/>
              <w:left w:val="nil"/>
              <w:bottom w:val="single" w:sz="8" w:space="0" w:color="auto"/>
              <w:right w:val="single" w:sz="8" w:space="0" w:color="auto"/>
            </w:tcBorders>
            <w:shd w:val="clear" w:color="000000" w:fill="D9D9D9"/>
            <w:vAlign w:val="center"/>
            <w:hideMark/>
          </w:tcPr>
          <w:p w14:paraId="6F047515"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90CA436"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5046F95"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663950F0"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3FE2EEA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D6E960C"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vAlign w:val="center"/>
            <w:hideMark/>
          </w:tcPr>
          <w:p w14:paraId="6C61AE78" w14:textId="77777777" w:rsidR="00A27CF2" w:rsidRPr="00047543" w:rsidRDefault="00A27CF2">
            <w:pPr>
              <w:spacing w:before="0" w:after="0"/>
              <w:jc w:val="center"/>
              <w:rPr>
                <w:b/>
                <w:bCs/>
                <w:noProof/>
                <w:color w:val="000000"/>
                <w:sz w:val="22"/>
              </w:rPr>
            </w:pPr>
            <w:r w:rsidRPr="00047543">
              <w:rPr>
                <w:b/>
                <w:noProof/>
                <w:color w:val="000000"/>
                <w:sz w:val="22"/>
              </w:rPr>
              <w:t xml:space="preserve">TOTALT GD </w:t>
            </w:r>
            <w:r w:rsidRPr="00047543">
              <w:rPr>
                <w:noProof/>
                <w:color w:val="000000"/>
                <w:sz w:val="22"/>
              </w:rPr>
              <w:t>&lt;…….&gt;</w:t>
            </w:r>
          </w:p>
        </w:tc>
        <w:tc>
          <w:tcPr>
            <w:tcW w:w="1378" w:type="pct"/>
            <w:gridSpan w:val="5"/>
            <w:tcBorders>
              <w:top w:val="single" w:sz="8" w:space="0" w:color="auto"/>
              <w:left w:val="nil"/>
              <w:bottom w:val="single" w:sz="8" w:space="0" w:color="auto"/>
              <w:right w:val="single" w:sz="8" w:space="0" w:color="auto"/>
            </w:tcBorders>
            <w:vAlign w:val="center"/>
            <w:hideMark/>
          </w:tcPr>
          <w:p w14:paraId="7A6F1DB6" w14:textId="77777777" w:rsidR="00A27CF2" w:rsidRPr="00047543" w:rsidRDefault="00A27CF2">
            <w:pPr>
              <w:spacing w:before="0" w:after="0"/>
              <w:jc w:val="left"/>
              <w:rPr>
                <w:noProof/>
                <w:color w:val="000000"/>
                <w:sz w:val="18"/>
                <w:szCs w:val="18"/>
              </w:rPr>
            </w:pPr>
            <w:r w:rsidRPr="00047543">
              <w:rPr>
                <w:noProof/>
                <w:color w:val="000000"/>
                <w:sz w:val="18"/>
              </w:rPr>
              <w:t xml:space="preserve">Anslag </w:t>
            </w:r>
          </w:p>
        </w:tc>
        <w:tc>
          <w:tcPr>
            <w:tcW w:w="376" w:type="pct"/>
            <w:tcBorders>
              <w:top w:val="nil"/>
              <w:left w:val="nil"/>
              <w:bottom w:val="single" w:sz="8" w:space="0" w:color="auto"/>
              <w:right w:val="single" w:sz="8" w:space="0" w:color="auto"/>
            </w:tcBorders>
            <w:shd w:val="clear" w:color="000000" w:fill="D9D9D9"/>
            <w:vAlign w:val="center"/>
            <w:hideMark/>
          </w:tcPr>
          <w:p w14:paraId="13D3D385"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4066474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EC9E80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2D64D7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4265FB8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29EB735"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noWrap/>
            <w:vAlign w:val="bottom"/>
            <w:hideMark/>
          </w:tcPr>
          <w:p w14:paraId="767F32CE" w14:textId="77777777" w:rsidR="00A27CF2" w:rsidRPr="00047543" w:rsidRDefault="00A27CF2">
            <w:pPr>
              <w:spacing w:before="0" w:after="0"/>
              <w:jc w:val="right"/>
              <w:rPr>
                <w:b/>
                <w:bCs/>
                <w:noProof/>
                <w:color w:val="000000"/>
                <w:sz w:val="20"/>
                <w:szCs w:val="20"/>
                <w:lang w:eastAsia="en-IE"/>
              </w:rPr>
            </w:pPr>
          </w:p>
        </w:tc>
        <w:tc>
          <w:tcPr>
            <w:tcW w:w="929" w:type="pct"/>
            <w:gridSpan w:val="3"/>
            <w:tcBorders>
              <w:top w:val="nil"/>
              <w:left w:val="nil"/>
              <w:bottom w:val="nil"/>
              <w:right w:val="nil"/>
            </w:tcBorders>
            <w:noWrap/>
            <w:vAlign w:val="bottom"/>
            <w:hideMark/>
          </w:tcPr>
          <w:p w14:paraId="08CD10FC" w14:textId="77777777" w:rsidR="00A27CF2" w:rsidRPr="00047543" w:rsidRDefault="00A27CF2">
            <w:pPr>
              <w:spacing w:before="0" w:after="0"/>
              <w:jc w:val="left"/>
              <w:rPr>
                <w:noProof/>
                <w:sz w:val="20"/>
                <w:szCs w:val="20"/>
                <w:lang w:eastAsia="en-IE"/>
              </w:rPr>
            </w:pPr>
          </w:p>
        </w:tc>
        <w:tc>
          <w:tcPr>
            <w:tcW w:w="224" w:type="pct"/>
            <w:tcBorders>
              <w:top w:val="nil"/>
              <w:left w:val="nil"/>
              <w:bottom w:val="nil"/>
              <w:right w:val="nil"/>
            </w:tcBorders>
            <w:noWrap/>
            <w:vAlign w:val="bottom"/>
            <w:hideMark/>
          </w:tcPr>
          <w:p w14:paraId="3E1148AC" w14:textId="77777777" w:rsidR="00A27CF2" w:rsidRPr="00047543" w:rsidRDefault="00A27CF2">
            <w:pPr>
              <w:spacing w:before="0" w:after="0"/>
              <w:jc w:val="left"/>
              <w:rPr>
                <w:noProof/>
                <w:sz w:val="20"/>
                <w:szCs w:val="20"/>
                <w:lang w:eastAsia="en-IE"/>
              </w:rPr>
            </w:pPr>
          </w:p>
        </w:tc>
        <w:tc>
          <w:tcPr>
            <w:tcW w:w="225" w:type="pct"/>
            <w:tcBorders>
              <w:top w:val="nil"/>
              <w:left w:val="nil"/>
              <w:bottom w:val="nil"/>
              <w:right w:val="nil"/>
            </w:tcBorders>
            <w:noWrap/>
            <w:vAlign w:val="bottom"/>
            <w:hideMark/>
          </w:tcPr>
          <w:p w14:paraId="381DC002" w14:textId="77777777" w:rsidR="00A27CF2" w:rsidRPr="00047543" w:rsidRDefault="00A27CF2">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685BD82D" w14:textId="77777777" w:rsidR="00A27CF2" w:rsidRPr="00047543" w:rsidRDefault="00A27CF2">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2681332E" w14:textId="77777777" w:rsidR="00A27CF2" w:rsidRPr="00047543" w:rsidRDefault="00A27CF2">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459536B7" w14:textId="77777777" w:rsidR="00A27CF2" w:rsidRPr="00047543" w:rsidRDefault="00A27CF2">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0860DD81" w14:textId="77777777" w:rsidR="00A27CF2" w:rsidRPr="00047543" w:rsidRDefault="00A27CF2">
            <w:pPr>
              <w:spacing w:before="0" w:after="0"/>
              <w:jc w:val="left"/>
              <w:rPr>
                <w:noProof/>
                <w:sz w:val="20"/>
                <w:szCs w:val="20"/>
                <w:lang w:eastAsia="en-IE"/>
              </w:rPr>
            </w:pPr>
          </w:p>
        </w:tc>
        <w:tc>
          <w:tcPr>
            <w:tcW w:w="465" w:type="pct"/>
            <w:tcBorders>
              <w:top w:val="nil"/>
              <w:left w:val="nil"/>
              <w:bottom w:val="nil"/>
              <w:right w:val="nil"/>
            </w:tcBorders>
            <w:noWrap/>
            <w:vAlign w:val="bottom"/>
            <w:hideMark/>
          </w:tcPr>
          <w:p w14:paraId="071E5B3C" w14:textId="77777777" w:rsidR="00A27CF2" w:rsidRPr="00047543" w:rsidRDefault="00A27CF2">
            <w:pPr>
              <w:spacing w:before="0" w:after="0"/>
              <w:jc w:val="left"/>
              <w:rPr>
                <w:noProof/>
                <w:sz w:val="20"/>
                <w:szCs w:val="20"/>
                <w:lang w:eastAsia="en-IE"/>
              </w:rPr>
            </w:pPr>
          </w:p>
        </w:tc>
      </w:tr>
      <w:tr w:rsidR="00A27CF2" w:rsidRPr="00047543" w14:paraId="6034E165"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3032"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0DE73EC1" w14:textId="77777777" w:rsidR="00A27CF2" w:rsidRPr="00047543" w:rsidRDefault="00A27CF2">
            <w:pPr>
              <w:spacing w:before="0" w:after="0"/>
              <w:jc w:val="center"/>
              <w:rPr>
                <w:noProof/>
                <w:color w:val="000000"/>
                <w:szCs w:val="24"/>
              </w:rPr>
            </w:pPr>
            <w:r w:rsidRPr="00047543">
              <w:rPr>
                <w:noProof/>
                <w:color w:val="000000"/>
              </w:rPr>
              <w:t>GD: &lt;…….&gt;</w:t>
            </w:r>
          </w:p>
        </w:tc>
        <w:tc>
          <w:tcPr>
            <w:tcW w:w="376" w:type="pct"/>
            <w:tcBorders>
              <w:top w:val="single" w:sz="8" w:space="0" w:color="auto"/>
              <w:left w:val="nil"/>
              <w:bottom w:val="nil"/>
              <w:right w:val="single" w:sz="8" w:space="0" w:color="auto"/>
            </w:tcBorders>
            <w:vAlign w:val="center"/>
            <w:hideMark/>
          </w:tcPr>
          <w:p w14:paraId="7B5F2510"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376" w:type="pct"/>
            <w:tcBorders>
              <w:top w:val="single" w:sz="8" w:space="0" w:color="auto"/>
              <w:left w:val="nil"/>
              <w:bottom w:val="nil"/>
              <w:right w:val="single" w:sz="8" w:space="0" w:color="auto"/>
            </w:tcBorders>
            <w:vAlign w:val="center"/>
            <w:hideMark/>
          </w:tcPr>
          <w:p w14:paraId="0C1DC470"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376" w:type="pct"/>
            <w:tcBorders>
              <w:top w:val="single" w:sz="8" w:space="0" w:color="auto"/>
              <w:left w:val="nil"/>
              <w:bottom w:val="nil"/>
              <w:right w:val="single" w:sz="8" w:space="0" w:color="auto"/>
            </w:tcBorders>
            <w:vAlign w:val="center"/>
            <w:hideMark/>
          </w:tcPr>
          <w:p w14:paraId="6D05A645"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376" w:type="pct"/>
            <w:tcBorders>
              <w:top w:val="single" w:sz="8" w:space="0" w:color="auto"/>
              <w:left w:val="nil"/>
              <w:bottom w:val="nil"/>
              <w:right w:val="single" w:sz="8" w:space="0" w:color="auto"/>
            </w:tcBorders>
            <w:vAlign w:val="center"/>
            <w:hideMark/>
          </w:tcPr>
          <w:p w14:paraId="0CC89E01"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65" w:type="pct"/>
            <w:vMerge w:val="restart"/>
            <w:tcBorders>
              <w:top w:val="single" w:sz="8" w:space="0" w:color="auto"/>
              <w:left w:val="single" w:sz="8" w:space="0" w:color="auto"/>
              <w:bottom w:val="single" w:sz="8" w:space="0" w:color="000000"/>
              <w:right w:val="single" w:sz="8" w:space="0" w:color="auto"/>
            </w:tcBorders>
            <w:vAlign w:val="center"/>
            <w:hideMark/>
          </w:tcPr>
          <w:p w14:paraId="07624670"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136050DA"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tcBorders>
              <w:top w:val="single" w:sz="8" w:space="0" w:color="auto"/>
              <w:left w:val="single" w:sz="8" w:space="0" w:color="auto"/>
              <w:bottom w:val="single" w:sz="8" w:space="0" w:color="auto"/>
              <w:right w:val="single" w:sz="8" w:space="0" w:color="auto"/>
            </w:tcBorders>
            <w:vAlign w:val="center"/>
            <w:hideMark/>
          </w:tcPr>
          <w:p w14:paraId="67B7CE0F" w14:textId="77777777" w:rsidR="00A27CF2" w:rsidRPr="00047543" w:rsidRDefault="00A27CF2">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116904A5"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376" w:type="pct"/>
            <w:tcBorders>
              <w:top w:val="nil"/>
              <w:left w:val="nil"/>
              <w:bottom w:val="single" w:sz="8" w:space="0" w:color="auto"/>
              <w:right w:val="single" w:sz="8" w:space="0" w:color="auto"/>
            </w:tcBorders>
            <w:vAlign w:val="center"/>
            <w:hideMark/>
          </w:tcPr>
          <w:p w14:paraId="04E3F6B3"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376" w:type="pct"/>
            <w:tcBorders>
              <w:top w:val="nil"/>
              <w:left w:val="nil"/>
              <w:bottom w:val="single" w:sz="8" w:space="0" w:color="auto"/>
              <w:right w:val="single" w:sz="8" w:space="0" w:color="auto"/>
            </w:tcBorders>
            <w:vAlign w:val="center"/>
            <w:hideMark/>
          </w:tcPr>
          <w:p w14:paraId="387BF2D1"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376" w:type="pct"/>
            <w:tcBorders>
              <w:top w:val="nil"/>
              <w:left w:val="nil"/>
              <w:bottom w:val="single" w:sz="8" w:space="0" w:color="auto"/>
              <w:right w:val="single" w:sz="8" w:space="0" w:color="auto"/>
            </w:tcBorders>
            <w:vAlign w:val="center"/>
            <w:hideMark/>
          </w:tcPr>
          <w:p w14:paraId="061F01D6"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465" w:type="pct"/>
            <w:vMerge/>
            <w:tcBorders>
              <w:top w:val="single" w:sz="8" w:space="0" w:color="auto"/>
              <w:left w:val="single" w:sz="8" w:space="0" w:color="auto"/>
              <w:bottom w:val="single" w:sz="8" w:space="0" w:color="000000"/>
              <w:right w:val="single" w:sz="8" w:space="0" w:color="auto"/>
            </w:tcBorders>
            <w:vAlign w:val="center"/>
            <w:hideMark/>
          </w:tcPr>
          <w:p w14:paraId="6E963446" w14:textId="77777777" w:rsidR="00A27CF2" w:rsidRPr="00047543" w:rsidRDefault="00A27CF2">
            <w:pPr>
              <w:spacing w:before="0" w:after="0"/>
              <w:jc w:val="left"/>
              <w:rPr>
                <w:b/>
                <w:bCs/>
                <w:noProof/>
                <w:color w:val="000000"/>
                <w:sz w:val="20"/>
                <w:szCs w:val="20"/>
                <w:lang w:eastAsia="en-IE"/>
              </w:rPr>
            </w:pPr>
          </w:p>
        </w:tc>
      </w:tr>
      <w:tr w:rsidR="00A27CF2" w:rsidRPr="00047543" w14:paraId="4C984DD0"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710A7291" w14:textId="77777777" w:rsidR="00A27CF2" w:rsidRPr="00047543" w:rsidRDefault="00A27CF2">
            <w:pPr>
              <w:spacing w:before="0" w:after="0"/>
              <w:jc w:val="left"/>
              <w:rPr>
                <w:rFonts w:ascii="Wingdings" w:hAnsi="Wingdings" w:cs="Calibri"/>
                <w:noProof/>
                <w:color w:val="000000"/>
                <w:sz w:val="22"/>
              </w:rPr>
            </w:pPr>
            <w:r w:rsidRPr="00047543">
              <w:rPr>
                <w:rFonts w:ascii="Wingdings" w:hAnsi="Wingdings"/>
                <w:noProof/>
                <w:color w:val="000000"/>
                <w:sz w:val="22"/>
              </w:rPr>
              <w:t></w:t>
            </w:r>
            <w:r w:rsidRPr="00047543">
              <w:rPr>
                <w:noProof/>
                <w:color w:val="000000"/>
                <w:sz w:val="22"/>
              </w:rPr>
              <w:t xml:space="preserve"> Personalresurser </w:t>
            </w:r>
          </w:p>
        </w:tc>
        <w:tc>
          <w:tcPr>
            <w:tcW w:w="376" w:type="pct"/>
            <w:tcBorders>
              <w:top w:val="nil"/>
              <w:left w:val="nil"/>
              <w:bottom w:val="single" w:sz="8" w:space="0" w:color="auto"/>
              <w:right w:val="single" w:sz="8" w:space="0" w:color="auto"/>
            </w:tcBorders>
            <w:shd w:val="clear" w:color="000000" w:fill="D9D9D9"/>
            <w:vAlign w:val="center"/>
            <w:hideMark/>
          </w:tcPr>
          <w:p w14:paraId="38DA076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F5BF063"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2521CF3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D187017"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4D90F1C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7A3E13BB"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09EDFB55" w14:textId="77777777" w:rsidR="00A27CF2" w:rsidRPr="00047543" w:rsidRDefault="00A27CF2">
            <w:pPr>
              <w:spacing w:before="0" w:after="0"/>
              <w:jc w:val="left"/>
              <w:rPr>
                <w:rFonts w:ascii="Wingdings" w:hAnsi="Wingdings" w:cs="Calibri"/>
                <w:noProof/>
                <w:color w:val="000000"/>
                <w:sz w:val="22"/>
              </w:rPr>
            </w:pPr>
            <w:r w:rsidRPr="00047543">
              <w:rPr>
                <w:rFonts w:ascii="Wingdings" w:hAnsi="Wingdings"/>
                <w:noProof/>
                <w:color w:val="000000"/>
                <w:sz w:val="22"/>
              </w:rPr>
              <w:t></w:t>
            </w:r>
            <w:r w:rsidRPr="00047543">
              <w:rPr>
                <w:noProof/>
                <w:color w:val="000000"/>
                <w:sz w:val="22"/>
              </w:rPr>
              <w:t xml:space="preserve"> Övriga administrativa utgifter </w:t>
            </w:r>
          </w:p>
        </w:tc>
        <w:tc>
          <w:tcPr>
            <w:tcW w:w="376" w:type="pct"/>
            <w:tcBorders>
              <w:top w:val="nil"/>
              <w:left w:val="nil"/>
              <w:bottom w:val="single" w:sz="8" w:space="0" w:color="auto"/>
              <w:right w:val="single" w:sz="8" w:space="0" w:color="auto"/>
            </w:tcBorders>
            <w:shd w:val="clear" w:color="000000" w:fill="D9D9D9"/>
            <w:vAlign w:val="center"/>
            <w:hideMark/>
          </w:tcPr>
          <w:p w14:paraId="09CFAC65"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F156139"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23FD34C"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599F3BD"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4E284724"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E4B74D1"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vAlign w:val="center"/>
            <w:hideMark/>
          </w:tcPr>
          <w:p w14:paraId="3A87DD1A" w14:textId="77777777" w:rsidR="00A27CF2" w:rsidRPr="00047543" w:rsidRDefault="00A27CF2">
            <w:pPr>
              <w:spacing w:before="0" w:after="0"/>
              <w:jc w:val="center"/>
              <w:rPr>
                <w:b/>
                <w:bCs/>
                <w:noProof/>
                <w:color w:val="000000"/>
                <w:sz w:val="22"/>
              </w:rPr>
            </w:pPr>
            <w:r w:rsidRPr="00047543">
              <w:rPr>
                <w:b/>
                <w:noProof/>
                <w:color w:val="000000"/>
                <w:sz w:val="22"/>
              </w:rPr>
              <w:t xml:space="preserve">TOTALT GD </w:t>
            </w:r>
            <w:r w:rsidRPr="00047543">
              <w:rPr>
                <w:noProof/>
                <w:color w:val="000000"/>
                <w:sz w:val="22"/>
              </w:rPr>
              <w:t>&lt;…….&gt;</w:t>
            </w:r>
          </w:p>
        </w:tc>
        <w:tc>
          <w:tcPr>
            <w:tcW w:w="1378" w:type="pct"/>
            <w:gridSpan w:val="5"/>
            <w:tcBorders>
              <w:top w:val="single" w:sz="8" w:space="0" w:color="auto"/>
              <w:left w:val="nil"/>
              <w:bottom w:val="single" w:sz="8" w:space="0" w:color="auto"/>
              <w:right w:val="single" w:sz="8" w:space="0" w:color="auto"/>
            </w:tcBorders>
            <w:vAlign w:val="center"/>
            <w:hideMark/>
          </w:tcPr>
          <w:p w14:paraId="093A0524" w14:textId="77777777" w:rsidR="00A27CF2" w:rsidRPr="00047543" w:rsidRDefault="00A27CF2">
            <w:pPr>
              <w:spacing w:before="0" w:after="0"/>
              <w:jc w:val="left"/>
              <w:rPr>
                <w:noProof/>
                <w:color w:val="000000"/>
                <w:sz w:val="18"/>
                <w:szCs w:val="18"/>
              </w:rPr>
            </w:pPr>
            <w:r w:rsidRPr="00047543">
              <w:rPr>
                <w:noProof/>
                <w:color w:val="000000"/>
                <w:sz w:val="18"/>
              </w:rPr>
              <w:t xml:space="preserve">Anslag </w:t>
            </w:r>
          </w:p>
        </w:tc>
        <w:tc>
          <w:tcPr>
            <w:tcW w:w="376" w:type="pct"/>
            <w:tcBorders>
              <w:top w:val="nil"/>
              <w:left w:val="nil"/>
              <w:bottom w:val="single" w:sz="8" w:space="0" w:color="auto"/>
              <w:right w:val="single" w:sz="8" w:space="0" w:color="auto"/>
            </w:tcBorders>
            <w:shd w:val="clear" w:color="000000" w:fill="D9D9D9"/>
            <w:vAlign w:val="center"/>
            <w:hideMark/>
          </w:tcPr>
          <w:p w14:paraId="11E3EFA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06C93C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106E448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376" w:type="pct"/>
            <w:tcBorders>
              <w:top w:val="nil"/>
              <w:left w:val="nil"/>
              <w:bottom w:val="single" w:sz="8" w:space="0" w:color="auto"/>
              <w:right w:val="single" w:sz="8" w:space="0" w:color="auto"/>
            </w:tcBorders>
            <w:shd w:val="clear" w:color="000000" w:fill="D9D9D9"/>
            <w:vAlign w:val="center"/>
            <w:hideMark/>
          </w:tcPr>
          <w:p w14:paraId="71471BF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65" w:type="pct"/>
            <w:tcBorders>
              <w:top w:val="nil"/>
              <w:left w:val="nil"/>
              <w:bottom w:val="single" w:sz="8" w:space="0" w:color="auto"/>
              <w:right w:val="single" w:sz="8" w:space="0" w:color="auto"/>
            </w:tcBorders>
            <w:shd w:val="clear" w:color="000000" w:fill="D9D9D9"/>
            <w:vAlign w:val="center"/>
            <w:hideMark/>
          </w:tcPr>
          <w:p w14:paraId="5008024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764EA51"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noWrap/>
            <w:vAlign w:val="bottom"/>
            <w:hideMark/>
          </w:tcPr>
          <w:p w14:paraId="0FCD63C6" w14:textId="77777777" w:rsidR="00A27CF2" w:rsidRPr="00047543" w:rsidRDefault="00A27CF2">
            <w:pPr>
              <w:spacing w:before="0" w:after="0"/>
              <w:jc w:val="right"/>
              <w:rPr>
                <w:b/>
                <w:bCs/>
                <w:noProof/>
                <w:color w:val="000000"/>
                <w:sz w:val="20"/>
                <w:szCs w:val="20"/>
                <w:lang w:eastAsia="en-IE"/>
              </w:rPr>
            </w:pPr>
          </w:p>
        </w:tc>
        <w:tc>
          <w:tcPr>
            <w:tcW w:w="929" w:type="pct"/>
            <w:gridSpan w:val="3"/>
            <w:tcBorders>
              <w:top w:val="nil"/>
              <w:left w:val="nil"/>
              <w:bottom w:val="nil"/>
              <w:right w:val="nil"/>
            </w:tcBorders>
            <w:noWrap/>
            <w:vAlign w:val="bottom"/>
            <w:hideMark/>
          </w:tcPr>
          <w:p w14:paraId="55796158" w14:textId="77777777" w:rsidR="00A27CF2" w:rsidRPr="00047543" w:rsidRDefault="00A27CF2">
            <w:pPr>
              <w:spacing w:before="0" w:after="0"/>
              <w:jc w:val="left"/>
              <w:rPr>
                <w:noProof/>
                <w:sz w:val="20"/>
                <w:szCs w:val="20"/>
                <w:lang w:eastAsia="en-IE"/>
              </w:rPr>
            </w:pPr>
          </w:p>
        </w:tc>
        <w:tc>
          <w:tcPr>
            <w:tcW w:w="224" w:type="pct"/>
            <w:tcBorders>
              <w:top w:val="nil"/>
              <w:left w:val="nil"/>
              <w:bottom w:val="nil"/>
              <w:right w:val="nil"/>
            </w:tcBorders>
            <w:noWrap/>
            <w:vAlign w:val="bottom"/>
            <w:hideMark/>
          </w:tcPr>
          <w:p w14:paraId="2C985293" w14:textId="77777777" w:rsidR="00A27CF2" w:rsidRPr="00047543" w:rsidRDefault="00A27CF2">
            <w:pPr>
              <w:spacing w:before="0" w:after="0"/>
              <w:jc w:val="left"/>
              <w:rPr>
                <w:noProof/>
                <w:sz w:val="20"/>
                <w:szCs w:val="20"/>
                <w:lang w:eastAsia="en-IE"/>
              </w:rPr>
            </w:pPr>
          </w:p>
        </w:tc>
        <w:tc>
          <w:tcPr>
            <w:tcW w:w="225" w:type="pct"/>
            <w:tcBorders>
              <w:top w:val="nil"/>
              <w:left w:val="nil"/>
              <w:bottom w:val="nil"/>
              <w:right w:val="nil"/>
            </w:tcBorders>
            <w:noWrap/>
            <w:vAlign w:val="bottom"/>
            <w:hideMark/>
          </w:tcPr>
          <w:p w14:paraId="6AA49091" w14:textId="77777777" w:rsidR="00A27CF2" w:rsidRPr="00047543" w:rsidRDefault="00A27CF2">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464AE93C" w14:textId="77777777" w:rsidR="00A27CF2" w:rsidRPr="00047543" w:rsidRDefault="00A27CF2">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42E2857A" w14:textId="77777777" w:rsidR="00A27CF2" w:rsidRPr="00047543" w:rsidRDefault="00A27CF2">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07277BA1" w14:textId="77777777" w:rsidR="00A27CF2" w:rsidRPr="00047543" w:rsidRDefault="00A27CF2">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10BE8EF5" w14:textId="77777777" w:rsidR="00A27CF2" w:rsidRPr="00047543" w:rsidRDefault="00A27CF2">
            <w:pPr>
              <w:spacing w:before="0" w:after="0"/>
              <w:jc w:val="left"/>
              <w:rPr>
                <w:noProof/>
                <w:sz w:val="20"/>
                <w:szCs w:val="20"/>
                <w:lang w:eastAsia="en-IE"/>
              </w:rPr>
            </w:pPr>
          </w:p>
        </w:tc>
        <w:tc>
          <w:tcPr>
            <w:tcW w:w="465" w:type="pct"/>
            <w:tcBorders>
              <w:top w:val="nil"/>
              <w:left w:val="nil"/>
              <w:bottom w:val="nil"/>
              <w:right w:val="nil"/>
            </w:tcBorders>
            <w:noWrap/>
            <w:vAlign w:val="bottom"/>
            <w:hideMark/>
          </w:tcPr>
          <w:p w14:paraId="797EFAB5" w14:textId="77777777" w:rsidR="00A27CF2" w:rsidRPr="00047543" w:rsidRDefault="00A27CF2">
            <w:pPr>
              <w:spacing w:before="0" w:after="0"/>
              <w:jc w:val="left"/>
              <w:rPr>
                <w:noProof/>
                <w:sz w:val="20"/>
                <w:szCs w:val="20"/>
                <w:lang w:eastAsia="en-IE"/>
              </w:rPr>
            </w:pPr>
          </w:p>
        </w:tc>
      </w:tr>
      <w:tr w:rsidR="00A27CF2" w:rsidRPr="00047543" w14:paraId="2FE6C50D" w14:textId="7777777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4"/>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157DE2F2" w14:textId="77777777" w:rsidR="00A27CF2" w:rsidRPr="00047543" w:rsidRDefault="00A27CF2">
            <w:pPr>
              <w:spacing w:before="0" w:after="0"/>
              <w:jc w:val="center"/>
              <w:rPr>
                <w:b/>
                <w:bCs/>
                <w:noProof/>
                <w:color w:val="000000"/>
                <w:sz w:val="22"/>
              </w:rPr>
            </w:pPr>
            <w:r w:rsidRPr="00047543">
              <w:rPr>
                <w:b/>
                <w:noProof/>
                <w:color w:val="000000"/>
                <w:sz w:val="22"/>
              </w:rPr>
              <w:t xml:space="preserve">TOTALA anslag för RUBRIK 7 i den fleråriga budgetramen </w:t>
            </w:r>
          </w:p>
        </w:tc>
        <w:tc>
          <w:tcPr>
            <w:tcW w:w="449" w:type="pct"/>
            <w:gridSpan w:val="2"/>
            <w:tcBorders>
              <w:top w:val="single" w:sz="8" w:space="0" w:color="auto"/>
              <w:left w:val="nil"/>
              <w:bottom w:val="single" w:sz="8" w:space="0" w:color="auto"/>
              <w:right w:val="single" w:sz="8" w:space="0" w:color="auto"/>
            </w:tcBorders>
            <w:vAlign w:val="center"/>
            <w:hideMark/>
          </w:tcPr>
          <w:p w14:paraId="19781643" w14:textId="77777777" w:rsidR="00A27CF2" w:rsidRPr="00047543" w:rsidRDefault="00A27CF2">
            <w:pPr>
              <w:spacing w:before="0" w:after="0"/>
              <w:jc w:val="center"/>
              <w:rPr>
                <w:noProof/>
                <w:color w:val="000000"/>
                <w:sz w:val="18"/>
                <w:szCs w:val="18"/>
              </w:rPr>
            </w:pPr>
            <w:r w:rsidRPr="00047543">
              <w:rPr>
                <w:noProof/>
                <w:color w:val="000000"/>
                <w:sz w:val="18"/>
              </w:rPr>
              <w:t>(summa åtaganden = summa betalningar)</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2EFAD29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676DEB4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7EE80FB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376" w:type="pct"/>
            <w:tcBorders>
              <w:top w:val="single" w:sz="8" w:space="0" w:color="auto"/>
              <w:left w:val="nil"/>
              <w:bottom w:val="single" w:sz="8" w:space="0" w:color="auto"/>
              <w:right w:val="single" w:sz="8" w:space="0" w:color="auto"/>
            </w:tcBorders>
            <w:shd w:val="clear" w:color="000000" w:fill="D9D9D9"/>
            <w:vAlign w:val="center"/>
            <w:hideMark/>
          </w:tcPr>
          <w:p w14:paraId="27B06C5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65" w:type="pct"/>
            <w:tcBorders>
              <w:top w:val="single" w:sz="8" w:space="0" w:color="auto"/>
              <w:left w:val="nil"/>
              <w:bottom w:val="single" w:sz="8" w:space="0" w:color="auto"/>
              <w:right w:val="single" w:sz="8" w:space="0" w:color="auto"/>
            </w:tcBorders>
            <w:shd w:val="clear" w:color="000000" w:fill="D9D9D9"/>
            <w:vAlign w:val="center"/>
            <w:hideMark/>
          </w:tcPr>
          <w:p w14:paraId="36387B8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bl>
    <w:p w14:paraId="43225E9C" w14:textId="77777777" w:rsidR="00A27CF2" w:rsidRPr="00047543" w:rsidRDefault="00A27CF2" w:rsidP="00A27CF2">
      <w:pPr>
        <w:jc w:val="right"/>
        <w:rPr>
          <w:noProof/>
          <w:sz w:val="20"/>
        </w:rPr>
      </w:pPr>
      <w:r w:rsidRPr="00047543">
        <w:rPr>
          <w:noProof/>
          <w:sz w:val="20"/>
        </w:rPr>
        <w:t>Miljoner EUR (avrundat till tre decimaler)</w:t>
      </w:r>
    </w:p>
    <w:tbl>
      <w:tblPr>
        <w:tblW w:w="5000" w:type="pct"/>
        <w:tblLook w:val="04A0" w:firstRow="1" w:lastRow="0" w:firstColumn="1" w:lastColumn="0" w:noHBand="0" w:noVBand="1"/>
      </w:tblPr>
      <w:tblGrid>
        <w:gridCol w:w="5607"/>
        <w:gridCol w:w="2080"/>
        <w:gridCol w:w="1255"/>
        <w:gridCol w:w="1254"/>
        <w:gridCol w:w="1254"/>
        <w:gridCol w:w="1254"/>
        <w:gridCol w:w="1516"/>
      </w:tblGrid>
      <w:tr w:rsidR="00A27CF2" w:rsidRPr="00047543" w14:paraId="697CBF24" w14:textId="77777777">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18946D2D" w14:textId="77777777" w:rsidR="00A27CF2" w:rsidRPr="00047543" w:rsidRDefault="00A27CF2">
            <w:pPr>
              <w:spacing w:before="0" w:after="0"/>
              <w:jc w:val="center"/>
              <w:rPr>
                <w:noProof/>
                <w:color w:val="000000"/>
                <w:szCs w:val="24"/>
              </w:rPr>
            </w:pPr>
            <w:r w:rsidRPr="00047543">
              <w:rPr>
                <w:noProof/>
                <w:color w:val="000000"/>
              </w:rPr>
              <w:t xml:space="preserve"> </w:t>
            </w:r>
          </w:p>
        </w:tc>
        <w:tc>
          <w:tcPr>
            <w:tcW w:w="441" w:type="pct"/>
            <w:tcBorders>
              <w:top w:val="single" w:sz="8" w:space="0" w:color="auto"/>
              <w:left w:val="nil"/>
              <w:bottom w:val="nil"/>
              <w:right w:val="single" w:sz="8" w:space="0" w:color="auto"/>
            </w:tcBorders>
            <w:vAlign w:val="center"/>
            <w:hideMark/>
          </w:tcPr>
          <w:p w14:paraId="112D1D69"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41" w:type="pct"/>
            <w:tcBorders>
              <w:top w:val="single" w:sz="8" w:space="0" w:color="auto"/>
              <w:left w:val="nil"/>
              <w:bottom w:val="nil"/>
              <w:right w:val="single" w:sz="8" w:space="0" w:color="auto"/>
            </w:tcBorders>
            <w:vAlign w:val="center"/>
            <w:hideMark/>
          </w:tcPr>
          <w:p w14:paraId="0ACDF241"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41" w:type="pct"/>
            <w:tcBorders>
              <w:top w:val="single" w:sz="8" w:space="0" w:color="auto"/>
              <w:left w:val="nil"/>
              <w:bottom w:val="nil"/>
              <w:right w:val="single" w:sz="8" w:space="0" w:color="auto"/>
            </w:tcBorders>
            <w:vAlign w:val="center"/>
            <w:hideMark/>
          </w:tcPr>
          <w:p w14:paraId="19D3686E"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41" w:type="pct"/>
            <w:tcBorders>
              <w:top w:val="single" w:sz="8" w:space="0" w:color="auto"/>
              <w:left w:val="nil"/>
              <w:bottom w:val="nil"/>
              <w:right w:val="single" w:sz="8" w:space="0" w:color="auto"/>
            </w:tcBorders>
            <w:vAlign w:val="center"/>
            <w:hideMark/>
          </w:tcPr>
          <w:p w14:paraId="5E59FC01"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33" w:type="pct"/>
            <w:vMerge w:val="restart"/>
            <w:tcBorders>
              <w:top w:val="single" w:sz="8" w:space="0" w:color="auto"/>
              <w:left w:val="single" w:sz="8" w:space="0" w:color="auto"/>
              <w:bottom w:val="single" w:sz="8" w:space="0" w:color="000000"/>
              <w:right w:val="single" w:sz="8" w:space="0" w:color="auto"/>
            </w:tcBorders>
            <w:vAlign w:val="center"/>
            <w:hideMark/>
          </w:tcPr>
          <w:p w14:paraId="3D25AD79"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5C265F5D" w14:textId="77777777">
        <w:trPr>
          <w:trHeight w:val="300"/>
        </w:trPr>
        <w:tc>
          <w:tcPr>
            <w:tcW w:w="2702" w:type="pct"/>
            <w:gridSpan w:val="2"/>
            <w:vMerge/>
            <w:tcBorders>
              <w:top w:val="single" w:sz="8" w:space="0" w:color="auto"/>
              <w:left w:val="single" w:sz="8" w:space="0" w:color="auto"/>
              <w:bottom w:val="single" w:sz="8" w:space="0" w:color="auto"/>
              <w:right w:val="single" w:sz="8" w:space="0" w:color="auto"/>
            </w:tcBorders>
            <w:vAlign w:val="center"/>
            <w:hideMark/>
          </w:tcPr>
          <w:p w14:paraId="71BDAD27" w14:textId="77777777" w:rsidR="00A27CF2" w:rsidRPr="00047543" w:rsidRDefault="00A27CF2">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vAlign w:val="center"/>
            <w:hideMark/>
          </w:tcPr>
          <w:p w14:paraId="14A8B2A6"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41" w:type="pct"/>
            <w:tcBorders>
              <w:top w:val="nil"/>
              <w:left w:val="nil"/>
              <w:bottom w:val="single" w:sz="8" w:space="0" w:color="auto"/>
              <w:right w:val="single" w:sz="8" w:space="0" w:color="auto"/>
            </w:tcBorders>
            <w:vAlign w:val="center"/>
            <w:hideMark/>
          </w:tcPr>
          <w:p w14:paraId="26DA38FD"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41" w:type="pct"/>
            <w:tcBorders>
              <w:top w:val="nil"/>
              <w:left w:val="nil"/>
              <w:bottom w:val="single" w:sz="8" w:space="0" w:color="auto"/>
              <w:right w:val="single" w:sz="8" w:space="0" w:color="auto"/>
            </w:tcBorders>
            <w:vAlign w:val="center"/>
            <w:hideMark/>
          </w:tcPr>
          <w:p w14:paraId="1CC8FB9B"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41" w:type="pct"/>
            <w:tcBorders>
              <w:top w:val="nil"/>
              <w:left w:val="nil"/>
              <w:bottom w:val="single" w:sz="8" w:space="0" w:color="auto"/>
              <w:right w:val="single" w:sz="8" w:space="0" w:color="auto"/>
            </w:tcBorders>
            <w:vAlign w:val="center"/>
            <w:hideMark/>
          </w:tcPr>
          <w:p w14:paraId="65693DE7"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33" w:type="pct"/>
            <w:vMerge/>
            <w:tcBorders>
              <w:top w:val="single" w:sz="8" w:space="0" w:color="auto"/>
              <w:left w:val="single" w:sz="8" w:space="0" w:color="auto"/>
              <w:bottom w:val="single" w:sz="8" w:space="0" w:color="000000"/>
              <w:right w:val="single" w:sz="8" w:space="0" w:color="auto"/>
            </w:tcBorders>
            <w:vAlign w:val="center"/>
            <w:hideMark/>
          </w:tcPr>
          <w:p w14:paraId="1178A388" w14:textId="77777777" w:rsidR="00A27CF2" w:rsidRPr="00047543" w:rsidRDefault="00A27CF2">
            <w:pPr>
              <w:spacing w:before="0" w:after="0"/>
              <w:jc w:val="left"/>
              <w:rPr>
                <w:b/>
                <w:bCs/>
                <w:noProof/>
                <w:color w:val="000000"/>
                <w:sz w:val="20"/>
                <w:szCs w:val="20"/>
                <w:lang w:eastAsia="en-IE"/>
              </w:rPr>
            </w:pPr>
          </w:p>
        </w:tc>
      </w:tr>
      <w:tr w:rsidR="00A27CF2" w:rsidRPr="00047543" w14:paraId="301290FE" w14:textId="77777777">
        <w:trPr>
          <w:trHeight w:val="564"/>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47254D26" w14:textId="77777777" w:rsidR="00A27CF2" w:rsidRPr="00047543" w:rsidRDefault="00A27CF2">
            <w:pPr>
              <w:spacing w:before="0" w:after="0"/>
              <w:jc w:val="center"/>
              <w:rPr>
                <w:b/>
                <w:bCs/>
                <w:noProof/>
                <w:color w:val="000000"/>
                <w:sz w:val="22"/>
              </w:rPr>
            </w:pPr>
            <w:r w:rsidRPr="00047543">
              <w:rPr>
                <w:b/>
                <w:noProof/>
                <w:color w:val="000000"/>
                <w:sz w:val="22"/>
              </w:rPr>
              <w:t>TOTALA anslag för RUBRIKERNA 1–7</w:t>
            </w:r>
          </w:p>
        </w:tc>
        <w:tc>
          <w:tcPr>
            <w:tcW w:w="731" w:type="pct"/>
            <w:tcBorders>
              <w:top w:val="single" w:sz="8" w:space="0" w:color="auto"/>
              <w:left w:val="nil"/>
              <w:bottom w:val="single" w:sz="8" w:space="0" w:color="auto"/>
              <w:right w:val="single" w:sz="8" w:space="0" w:color="auto"/>
            </w:tcBorders>
            <w:vAlign w:val="center"/>
            <w:hideMark/>
          </w:tcPr>
          <w:p w14:paraId="7D0D86E3"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41" w:type="pct"/>
            <w:tcBorders>
              <w:top w:val="nil"/>
              <w:left w:val="nil"/>
              <w:bottom w:val="single" w:sz="8" w:space="0" w:color="auto"/>
              <w:right w:val="single" w:sz="8" w:space="0" w:color="auto"/>
            </w:tcBorders>
            <w:shd w:val="clear" w:color="000000" w:fill="D9D9D9"/>
            <w:vAlign w:val="center"/>
            <w:hideMark/>
          </w:tcPr>
          <w:p w14:paraId="0AFCBBBD" w14:textId="77777777" w:rsidR="00A27CF2" w:rsidRPr="00047543" w:rsidRDefault="00A27CF2">
            <w:pPr>
              <w:spacing w:before="0" w:after="0"/>
              <w:jc w:val="right"/>
              <w:rPr>
                <w:b/>
                <w:bCs/>
                <w:noProof/>
                <w:color w:val="000000"/>
                <w:szCs w:val="24"/>
              </w:rPr>
            </w:pPr>
            <w:r w:rsidRPr="0004754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1CBAEC26" w14:textId="77777777" w:rsidR="00A27CF2" w:rsidRPr="00047543" w:rsidRDefault="00A27CF2">
            <w:pPr>
              <w:spacing w:before="0" w:after="0"/>
              <w:jc w:val="right"/>
              <w:rPr>
                <w:b/>
                <w:bCs/>
                <w:noProof/>
                <w:color w:val="000000"/>
                <w:szCs w:val="24"/>
              </w:rPr>
            </w:pPr>
            <w:r w:rsidRPr="0004754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4A0220E8" w14:textId="77777777" w:rsidR="00A27CF2" w:rsidRPr="00047543" w:rsidRDefault="00A27CF2">
            <w:pPr>
              <w:spacing w:before="0" w:after="0"/>
              <w:jc w:val="right"/>
              <w:rPr>
                <w:b/>
                <w:bCs/>
                <w:noProof/>
                <w:color w:val="000000"/>
                <w:szCs w:val="24"/>
              </w:rPr>
            </w:pPr>
            <w:r w:rsidRPr="0004754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4EB53979" w14:textId="77777777" w:rsidR="00A27CF2" w:rsidRPr="00047543" w:rsidRDefault="00A27CF2">
            <w:pPr>
              <w:spacing w:before="0" w:after="0"/>
              <w:jc w:val="right"/>
              <w:rPr>
                <w:b/>
                <w:bCs/>
                <w:noProof/>
                <w:color w:val="000000"/>
                <w:szCs w:val="24"/>
              </w:rPr>
            </w:pPr>
            <w:r w:rsidRPr="00047543">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196AC4F4" w14:textId="77777777" w:rsidR="00A27CF2" w:rsidRPr="00047543" w:rsidRDefault="00A27CF2">
            <w:pPr>
              <w:spacing w:before="0" w:after="0"/>
              <w:jc w:val="right"/>
              <w:rPr>
                <w:b/>
                <w:bCs/>
                <w:noProof/>
                <w:color w:val="000000"/>
                <w:szCs w:val="24"/>
              </w:rPr>
            </w:pPr>
            <w:r w:rsidRPr="00047543">
              <w:rPr>
                <w:b/>
                <w:noProof/>
                <w:color w:val="000000"/>
              </w:rPr>
              <w:t>0,000</w:t>
            </w:r>
          </w:p>
        </w:tc>
      </w:tr>
      <w:tr w:rsidR="00A27CF2" w:rsidRPr="00047543" w14:paraId="3BE9A42C" w14:textId="77777777">
        <w:trPr>
          <w:trHeight w:val="540"/>
        </w:trPr>
        <w:tc>
          <w:tcPr>
            <w:tcW w:w="1971" w:type="pct"/>
            <w:tcBorders>
              <w:top w:val="single" w:sz="8" w:space="0" w:color="auto"/>
              <w:left w:val="single" w:sz="8" w:space="0" w:color="auto"/>
              <w:bottom w:val="single" w:sz="8" w:space="0" w:color="auto"/>
              <w:right w:val="single" w:sz="8" w:space="0" w:color="000000"/>
            </w:tcBorders>
            <w:shd w:val="clear" w:color="000000" w:fill="C0C0C0"/>
            <w:vAlign w:val="center"/>
            <w:hideMark/>
          </w:tcPr>
          <w:p w14:paraId="53513DA2" w14:textId="77777777" w:rsidR="00A27CF2" w:rsidRPr="00047543" w:rsidRDefault="00A27CF2">
            <w:pPr>
              <w:spacing w:before="0" w:after="0"/>
              <w:jc w:val="center"/>
              <w:rPr>
                <w:noProof/>
                <w:color w:val="000000"/>
                <w:sz w:val="22"/>
              </w:rPr>
            </w:pPr>
            <w:r w:rsidRPr="00047543">
              <w:rPr>
                <w:noProof/>
                <w:color w:val="000000"/>
                <w:sz w:val="22"/>
              </w:rPr>
              <w:t>i den fleråriga budgetramen</w:t>
            </w:r>
            <w:r w:rsidRPr="00047543">
              <w:rPr>
                <w:b/>
                <w:noProof/>
                <w:color w:val="000000"/>
                <w:sz w:val="22"/>
              </w:rPr>
              <w:t xml:space="preserve"> </w:t>
            </w:r>
          </w:p>
        </w:tc>
        <w:tc>
          <w:tcPr>
            <w:tcW w:w="731" w:type="pct"/>
            <w:tcBorders>
              <w:top w:val="single" w:sz="8" w:space="0" w:color="auto"/>
              <w:left w:val="nil"/>
              <w:bottom w:val="single" w:sz="8" w:space="0" w:color="auto"/>
              <w:right w:val="single" w:sz="8" w:space="0" w:color="auto"/>
            </w:tcBorders>
            <w:vAlign w:val="center"/>
            <w:hideMark/>
          </w:tcPr>
          <w:p w14:paraId="6EB65620"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41" w:type="pct"/>
            <w:tcBorders>
              <w:top w:val="nil"/>
              <w:left w:val="nil"/>
              <w:bottom w:val="single" w:sz="8" w:space="0" w:color="auto"/>
              <w:right w:val="single" w:sz="8" w:space="0" w:color="auto"/>
            </w:tcBorders>
            <w:shd w:val="clear" w:color="000000" w:fill="D9D9D9"/>
            <w:vAlign w:val="center"/>
            <w:hideMark/>
          </w:tcPr>
          <w:p w14:paraId="64130781" w14:textId="77777777" w:rsidR="00A27CF2" w:rsidRPr="00047543" w:rsidRDefault="00A27CF2">
            <w:pPr>
              <w:spacing w:before="0" w:after="0"/>
              <w:jc w:val="right"/>
              <w:rPr>
                <w:b/>
                <w:bCs/>
                <w:noProof/>
                <w:color w:val="000000"/>
                <w:szCs w:val="24"/>
              </w:rPr>
            </w:pPr>
            <w:r w:rsidRPr="0004754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4913BFB2" w14:textId="77777777" w:rsidR="00A27CF2" w:rsidRPr="00047543" w:rsidRDefault="00A27CF2">
            <w:pPr>
              <w:spacing w:before="0" w:after="0"/>
              <w:jc w:val="right"/>
              <w:rPr>
                <w:b/>
                <w:bCs/>
                <w:noProof/>
                <w:color w:val="000000"/>
                <w:szCs w:val="24"/>
              </w:rPr>
            </w:pPr>
            <w:r w:rsidRPr="0004754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15ADF5B8" w14:textId="77777777" w:rsidR="00A27CF2" w:rsidRPr="00047543" w:rsidRDefault="00A27CF2">
            <w:pPr>
              <w:spacing w:before="0" w:after="0"/>
              <w:jc w:val="right"/>
              <w:rPr>
                <w:b/>
                <w:bCs/>
                <w:noProof/>
                <w:color w:val="000000"/>
                <w:szCs w:val="24"/>
              </w:rPr>
            </w:pPr>
            <w:r w:rsidRPr="00047543">
              <w:rPr>
                <w:b/>
                <w:noProof/>
                <w:color w:val="000000"/>
              </w:rPr>
              <w:t>0,000</w:t>
            </w:r>
          </w:p>
        </w:tc>
        <w:tc>
          <w:tcPr>
            <w:tcW w:w="441" w:type="pct"/>
            <w:tcBorders>
              <w:top w:val="nil"/>
              <w:left w:val="nil"/>
              <w:bottom w:val="single" w:sz="8" w:space="0" w:color="auto"/>
              <w:right w:val="single" w:sz="8" w:space="0" w:color="auto"/>
            </w:tcBorders>
            <w:shd w:val="clear" w:color="000000" w:fill="D9D9D9"/>
            <w:vAlign w:val="center"/>
            <w:hideMark/>
          </w:tcPr>
          <w:p w14:paraId="4DB85674" w14:textId="77777777" w:rsidR="00A27CF2" w:rsidRPr="00047543" w:rsidRDefault="00A27CF2">
            <w:pPr>
              <w:spacing w:before="0" w:after="0"/>
              <w:jc w:val="right"/>
              <w:rPr>
                <w:b/>
                <w:bCs/>
                <w:noProof/>
                <w:color w:val="000000"/>
                <w:szCs w:val="24"/>
              </w:rPr>
            </w:pPr>
            <w:r w:rsidRPr="00047543">
              <w:rPr>
                <w:b/>
                <w:noProof/>
                <w:color w:val="000000"/>
              </w:rPr>
              <w:t>0,000</w:t>
            </w:r>
          </w:p>
        </w:tc>
        <w:tc>
          <w:tcPr>
            <w:tcW w:w="533" w:type="pct"/>
            <w:tcBorders>
              <w:top w:val="nil"/>
              <w:left w:val="nil"/>
              <w:bottom w:val="single" w:sz="8" w:space="0" w:color="auto"/>
              <w:right w:val="single" w:sz="8" w:space="0" w:color="auto"/>
            </w:tcBorders>
            <w:shd w:val="clear" w:color="000000" w:fill="D9D9D9"/>
            <w:vAlign w:val="center"/>
            <w:hideMark/>
          </w:tcPr>
          <w:p w14:paraId="33D98C57" w14:textId="77777777" w:rsidR="00A27CF2" w:rsidRPr="00047543" w:rsidRDefault="00A27CF2">
            <w:pPr>
              <w:spacing w:before="0" w:after="0"/>
              <w:jc w:val="right"/>
              <w:rPr>
                <w:b/>
                <w:bCs/>
                <w:noProof/>
                <w:color w:val="000000"/>
                <w:szCs w:val="24"/>
              </w:rPr>
            </w:pPr>
            <w:r w:rsidRPr="00047543">
              <w:rPr>
                <w:b/>
                <w:noProof/>
                <w:color w:val="000000"/>
              </w:rPr>
              <w:t>0,000</w:t>
            </w:r>
          </w:p>
        </w:tc>
      </w:tr>
    </w:tbl>
    <w:p w14:paraId="0D4BF92A" w14:textId="77777777" w:rsidR="00A27CF2" w:rsidRPr="00047543" w:rsidRDefault="00A27CF2" w:rsidP="00A27CF2">
      <w:pPr>
        <w:pStyle w:val="ManualHeading3"/>
        <w:rPr>
          <w:noProof/>
        </w:rPr>
      </w:pPr>
      <w:r w:rsidRPr="00047543">
        <w:rPr>
          <w:noProof/>
        </w:rPr>
        <w:t>3.2.1.2</w:t>
      </w:r>
      <w:r w:rsidRPr="00047543">
        <w:rPr>
          <w:noProof/>
        </w:rPr>
        <w:tab/>
        <w:t>Anslag från externa inkomster avsatta för särskilda ändamål</w:t>
      </w:r>
    </w:p>
    <w:p w14:paraId="36A2772E" w14:textId="77777777" w:rsidR="00A27CF2" w:rsidRPr="00047543" w:rsidRDefault="00A27CF2" w:rsidP="00A27CF2">
      <w:pPr>
        <w:jc w:val="right"/>
        <w:rPr>
          <w:noProof/>
          <w:sz w:val="18"/>
          <w:szCs w:val="18"/>
        </w:rPr>
      </w:pPr>
      <w:r w:rsidRPr="00047543">
        <w:rPr>
          <w:noProof/>
          <w:sz w:val="18"/>
        </w:rPr>
        <w:t>Miljoner EUR (avrundat till tre decimaler)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A27CF2" w:rsidRPr="00047543" w14:paraId="3DEC2228" w14:textId="77777777">
        <w:trPr>
          <w:jc w:val="center"/>
        </w:trPr>
        <w:tc>
          <w:tcPr>
            <w:tcW w:w="1739" w:type="pct"/>
            <w:shd w:val="thinDiagStripe" w:color="C0C0C0" w:fill="auto"/>
            <w:vAlign w:val="center"/>
          </w:tcPr>
          <w:p w14:paraId="11C2FF06" w14:textId="77777777" w:rsidR="00A27CF2" w:rsidRPr="00047543" w:rsidRDefault="00A27CF2">
            <w:pPr>
              <w:spacing w:before="60" w:after="60"/>
              <w:jc w:val="center"/>
              <w:rPr>
                <w:b/>
                <w:noProof/>
              </w:rPr>
            </w:pPr>
            <w:r w:rsidRPr="00047543">
              <w:rPr>
                <w:b/>
                <w:noProof/>
                <w:sz w:val="22"/>
              </w:rPr>
              <w:t xml:space="preserve">Rubrik i den fleråriga budgetramen </w:t>
            </w:r>
          </w:p>
        </w:tc>
        <w:tc>
          <w:tcPr>
            <w:tcW w:w="396" w:type="pct"/>
            <w:vAlign w:val="center"/>
          </w:tcPr>
          <w:p w14:paraId="00BE3E75" w14:textId="77777777" w:rsidR="00A27CF2" w:rsidRPr="00047543" w:rsidRDefault="00A27CF2">
            <w:pPr>
              <w:spacing w:before="60" w:after="60"/>
              <w:jc w:val="center"/>
              <w:rPr>
                <w:noProof/>
              </w:rPr>
            </w:pPr>
            <w:r w:rsidRPr="00047543">
              <w:rPr>
                <w:noProof/>
                <w:sz w:val="22"/>
              </w:rPr>
              <w:t>Nummer</w:t>
            </w:r>
          </w:p>
        </w:tc>
        <w:tc>
          <w:tcPr>
            <w:tcW w:w="2865" w:type="pct"/>
            <w:vAlign w:val="center"/>
          </w:tcPr>
          <w:p w14:paraId="1D6EC79A" w14:textId="77777777" w:rsidR="00A27CF2" w:rsidRPr="00047543" w:rsidRDefault="00A27CF2">
            <w:pPr>
              <w:spacing w:before="60" w:after="60"/>
              <w:rPr>
                <w:noProof/>
              </w:rPr>
            </w:pPr>
          </w:p>
        </w:tc>
      </w:tr>
    </w:tbl>
    <w:p w14:paraId="26E73B40" w14:textId="77777777" w:rsidR="00A27CF2" w:rsidRPr="00047543" w:rsidRDefault="00A27CF2" w:rsidP="00A27CF2">
      <w:pPr>
        <w:rPr>
          <w:noProof/>
          <w:sz w:val="16"/>
        </w:rPr>
      </w:pPr>
    </w:p>
    <w:tbl>
      <w:tblPr>
        <w:tblW w:w="5000" w:type="pct"/>
        <w:tblLook w:val="04A0" w:firstRow="1" w:lastRow="0" w:firstColumn="1" w:lastColumn="0" w:noHBand="0" w:noVBand="1"/>
      </w:tblPr>
      <w:tblGrid>
        <w:gridCol w:w="4014"/>
        <w:gridCol w:w="21"/>
        <w:gridCol w:w="911"/>
        <w:gridCol w:w="572"/>
        <w:gridCol w:w="21"/>
        <w:gridCol w:w="533"/>
        <w:gridCol w:w="845"/>
        <w:gridCol w:w="33"/>
        <w:gridCol w:w="1369"/>
        <w:gridCol w:w="42"/>
        <w:gridCol w:w="1360"/>
        <w:gridCol w:w="51"/>
        <w:gridCol w:w="1351"/>
        <w:gridCol w:w="60"/>
        <w:gridCol w:w="1342"/>
        <w:gridCol w:w="17"/>
        <w:gridCol w:w="1678"/>
      </w:tblGrid>
      <w:tr w:rsidR="00A27CF2" w:rsidRPr="00047543" w14:paraId="0B29CB83" w14:textId="77777777">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vAlign w:val="center"/>
            <w:hideMark/>
          </w:tcPr>
          <w:p w14:paraId="0FD8D8D3" w14:textId="77777777" w:rsidR="00A27CF2" w:rsidRPr="00047543" w:rsidRDefault="00A27CF2">
            <w:pPr>
              <w:spacing w:before="0" w:after="0"/>
              <w:jc w:val="center"/>
              <w:rPr>
                <w:noProof/>
                <w:color w:val="000000"/>
                <w:sz w:val="22"/>
              </w:rPr>
            </w:pPr>
            <w:r w:rsidRPr="00047543">
              <w:rPr>
                <w:noProof/>
                <w:color w:val="000000"/>
                <w:sz w:val="22"/>
              </w:rPr>
              <w:t>GD: &lt;…….&gt;</w:t>
            </w:r>
          </w:p>
        </w:tc>
        <w:tc>
          <w:tcPr>
            <w:tcW w:w="496" w:type="pct"/>
            <w:gridSpan w:val="2"/>
            <w:tcBorders>
              <w:top w:val="single" w:sz="8" w:space="0" w:color="auto"/>
              <w:left w:val="nil"/>
              <w:bottom w:val="single" w:sz="8" w:space="0" w:color="auto"/>
              <w:right w:val="single" w:sz="8" w:space="0" w:color="auto"/>
            </w:tcBorders>
            <w:vAlign w:val="center"/>
            <w:hideMark/>
          </w:tcPr>
          <w:p w14:paraId="0D02D093"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2"/>
            <w:tcBorders>
              <w:top w:val="single" w:sz="8" w:space="0" w:color="auto"/>
              <w:left w:val="nil"/>
              <w:bottom w:val="single" w:sz="8" w:space="0" w:color="auto"/>
              <w:right w:val="single" w:sz="8" w:space="0" w:color="auto"/>
            </w:tcBorders>
            <w:vAlign w:val="center"/>
            <w:hideMark/>
          </w:tcPr>
          <w:p w14:paraId="40085A8A"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2"/>
            <w:tcBorders>
              <w:top w:val="single" w:sz="8" w:space="0" w:color="auto"/>
              <w:left w:val="nil"/>
              <w:bottom w:val="single" w:sz="8" w:space="0" w:color="auto"/>
              <w:right w:val="single" w:sz="8" w:space="0" w:color="auto"/>
            </w:tcBorders>
            <w:vAlign w:val="center"/>
            <w:hideMark/>
          </w:tcPr>
          <w:p w14:paraId="1B863062"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78" w:type="pct"/>
            <w:gridSpan w:val="2"/>
            <w:tcBorders>
              <w:top w:val="single" w:sz="8" w:space="0" w:color="auto"/>
              <w:left w:val="nil"/>
              <w:bottom w:val="single" w:sz="8" w:space="0" w:color="auto"/>
              <w:right w:val="single" w:sz="8" w:space="0" w:color="auto"/>
            </w:tcBorders>
            <w:vAlign w:val="center"/>
            <w:hideMark/>
          </w:tcPr>
          <w:p w14:paraId="05FAE7B0"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14:paraId="0596F460"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60E3EC2D" w14:textId="77777777">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14:paraId="5D7122C0" w14:textId="77777777" w:rsidR="00A27CF2" w:rsidRPr="00047543" w:rsidRDefault="00A27CF2">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584F0880"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6B05EDCA"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5D804FAC"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78" w:type="pct"/>
            <w:gridSpan w:val="2"/>
            <w:tcBorders>
              <w:top w:val="nil"/>
              <w:left w:val="nil"/>
              <w:bottom w:val="single" w:sz="8" w:space="0" w:color="auto"/>
              <w:right w:val="single" w:sz="8" w:space="0" w:color="auto"/>
            </w:tcBorders>
            <w:vAlign w:val="center"/>
            <w:hideMark/>
          </w:tcPr>
          <w:p w14:paraId="1E7D6BE7"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14:paraId="4CA13E68" w14:textId="77777777" w:rsidR="00A27CF2" w:rsidRPr="00047543" w:rsidRDefault="00A27CF2">
            <w:pPr>
              <w:spacing w:before="0" w:after="0"/>
              <w:jc w:val="left"/>
              <w:rPr>
                <w:b/>
                <w:bCs/>
                <w:noProof/>
                <w:color w:val="000000"/>
                <w:sz w:val="20"/>
                <w:szCs w:val="20"/>
                <w:lang w:eastAsia="en-IE"/>
              </w:rPr>
            </w:pPr>
          </w:p>
        </w:tc>
      </w:tr>
      <w:tr w:rsidR="00A27CF2" w:rsidRPr="00047543" w14:paraId="4B1FAB7D" w14:textId="77777777">
        <w:trPr>
          <w:trHeight w:val="300"/>
        </w:trPr>
        <w:tc>
          <w:tcPr>
            <w:tcW w:w="5000" w:type="pct"/>
            <w:gridSpan w:val="17"/>
            <w:tcBorders>
              <w:top w:val="single" w:sz="8" w:space="0" w:color="auto"/>
              <w:left w:val="single" w:sz="8" w:space="0" w:color="auto"/>
              <w:bottom w:val="single" w:sz="8" w:space="0" w:color="auto"/>
              <w:right w:val="single" w:sz="8" w:space="0" w:color="auto"/>
            </w:tcBorders>
            <w:vAlign w:val="center"/>
            <w:hideMark/>
          </w:tcPr>
          <w:p w14:paraId="22E876BB" w14:textId="77777777" w:rsidR="00A27CF2" w:rsidRPr="00047543" w:rsidRDefault="00A27CF2">
            <w:pPr>
              <w:spacing w:before="0" w:after="0"/>
              <w:jc w:val="left"/>
              <w:rPr>
                <w:noProof/>
                <w:color w:val="000000"/>
                <w:sz w:val="21"/>
                <w:szCs w:val="21"/>
              </w:rPr>
            </w:pPr>
            <w:r w:rsidRPr="00047543">
              <w:rPr>
                <w:noProof/>
                <w:color w:val="000000"/>
                <w:sz w:val="21"/>
              </w:rPr>
              <w:t xml:space="preserve">Driftsanslag </w:t>
            </w:r>
          </w:p>
        </w:tc>
      </w:tr>
      <w:tr w:rsidR="00A27CF2" w:rsidRPr="00047543" w14:paraId="08151440" w14:textId="77777777">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1902C629" w14:textId="77777777" w:rsidR="00A27CF2" w:rsidRPr="00047543" w:rsidRDefault="00A27CF2">
            <w:pPr>
              <w:spacing w:before="0" w:after="0"/>
              <w:jc w:val="left"/>
              <w:rPr>
                <w:noProof/>
                <w:color w:val="000000"/>
                <w:sz w:val="22"/>
              </w:rPr>
            </w:pPr>
            <w:r w:rsidRPr="00047543">
              <w:rPr>
                <w:noProof/>
                <w:color w:val="000000"/>
                <w:sz w:val="22"/>
              </w:rPr>
              <w:t>Budgetpost</w:t>
            </w:r>
          </w:p>
        </w:tc>
        <w:tc>
          <w:tcPr>
            <w:tcW w:w="529" w:type="pct"/>
            <w:gridSpan w:val="3"/>
            <w:tcBorders>
              <w:top w:val="nil"/>
              <w:left w:val="nil"/>
              <w:bottom w:val="single" w:sz="8" w:space="0" w:color="auto"/>
              <w:right w:val="single" w:sz="8" w:space="0" w:color="auto"/>
            </w:tcBorders>
            <w:vAlign w:val="center"/>
            <w:hideMark/>
          </w:tcPr>
          <w:p w14:paraId="1A78CE04"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3"/>
            <w:tcBorders>
              <w:top w:val="single" w:sz="8" w:space="0" w:color="auto"/>
              <w:left w:val="nil"/>
              <w:bottom w:val="single" w:sz="8" w:space="0" w:color="auto"/>
              <w:right w:val="single" w:sz="8" w:space="0" w:color="auto"/>
            </w:tcBorders>
            <w:vAlign w:val="center"/>
            <w:hideMark/>
          </w:tcPr>
          <w:p w14:paraId="27842EFE" w14:textId="77777777" w:rsidR="00A27CF2" w:rsidRPr="00047543" w:rsidRDefault="00A27CF2">
            <w:pPr>
              <w:spacing w:before="0" w:after="0"/>
              <w:jc w:val="center"/>
              <w:rPr>
                <w:noProof/>
                <w:color w:val="000000"/>
                <w:sz w:val="14"/>
                <w:szCs w:val="14"/>
              </w:rPr>
            </w:pPr>
            <w:r w:rsidRPr="00047543">
              <w:rPr>
                <w:noProof/>
                <w:color w:val="000000"/>
                <w:sz w:val="14"/>
              </w:rPr>
              <w:t>(1a)</w:t>
            </w:r>
          </w:p>
        </w:tc>
        <w:tc>
          <w:tcPr>
            <w:tcW w:w="496" w:type="pct"/>
            <w:gridSpan w:val="2"/>
            <w:tcBorders>
              <w:top w:val="nil"/>
              <w:left w:val="nil"/>
              <w:bottom w:val="single" w:sz="8" w:space="0" w:color="auto"/>
              <w:right w:val="single" w:sz="8" w:space="0" w:color="auto"/>
            </w:tcBorders>
            <w:vAlign w:val="center"/>
            <w:hideMark/>
          </w:tcPr>
          <w:p w14:paraId="150BA150"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A384822"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C344AE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5D2A077C"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06E072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217716D" w14:textId="77777777">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2BB68DC1" w14:textId="77777777" w:rsidR="00A27CF2" w:rsidRPr="00047543" w:rsidRDefault="00A27CF2">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1568E8ED"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3"/>
            <w:tcBorders>
              <w:top w:val="single" w:sz="8" w:space="0" w:color="auto"/>
              <w:left w:val="nil"/>
              <w:bottom w:val="single" w:sz="8" w:space="0" w:color="auto"/>
              <w:right w:val="single" w:sz="8" w:space="0" w:color="auto"/>
            </w:tcBorders>
            <w:vAlign w:val="center"/>
            <w:hideMark/>
          </w:tcPr>
          <w:p w14:paraId="74BC8E55" w14:textId="77777777" w:rsidR="00A27CF2" w:rsidRPr="00047543" w:rsidRDefault="00A27CF2">
            <w:pPr>
              <w:spacing w:before="0" w:after="0"/>
              <w:jc w:val="center"/>
              <w:rPr>
                <w:noProof/>
                <w:color w:val="000000"/>
                <w:sz w:val="14"/>
                <w:szCs w:val="14"/>
              </w:rPr>
            </w:pPr>
            <w:r w:rsidRPr="00047543">
              <w:rPr>
                <w:noProof/>
                <w:color w:val="000000"/>
                <w:sz w:val="14"/>
              </w:rPr>
              <w:t>(2a)</w:t>
            </w:r>
          </w:p>
        </w:tc>
        <w:tc>
          <w:tcPr>
            <w:tcW w:w="496" w:type="pct"/>
            <w:gridSpan w:val="2"/>
            <w:tcBorders>
              <w:top w:val="nil"/>
              <w:left w:val="nil"/>
              <w:bottom w:val="single" w:sz="8" w:space="0" w:color="auto"/>
              <w:right w:val="single" w:sz="8" w:space="0" w:color="auto"/>
            </w:tcBorders>
            <w:vAlign w:val="center"/>
            <w:hideMark/>
          </w:tcPr>
          <w:p w14:paraId="00AD429A"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1E0BAD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56C2949"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5178CBC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222F0D2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BAF40E3" w14:textId="77777777">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58670C2F"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3"/>
            <w:tcBorders>
              <w:top w:val="nil"/>
              <w:left w:val="nil"/>
              <w:bottom w:val="single" w:sz="8" w:space="0" w:color="auto"/>
              <w:right w:val="single" w:sz="8" w:space="0" w:color="auto"/>
            </w:tcBorders>
            <w:vAlign w:val="center"/>
            <w:hideMark/>
          </w:tcPr>
          <w:p w14:paraId="044B39A7"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3"/>
            <w:tcBorders>
              <w:top w:val="single" w:sz="8" w:space="0" w:color="auto"/>
              <w:left w:val="nil"/>
              <w:bottom w:val="single" w:sz="8" w:space="0" w:color="auto"/>
              <w:right w:val="single" w:sz="8" w:space="0" w:color="auto"/>
            </w:tcBorders>
            <w:vAlign w:val="center"/>
            <w:hideMark/>
          </w:tcPr>
          <w:p w14:paraId="54EF663A" w14:textId="77777777" w:rsidR="00A27CF2" w:rsidRPr="00047543" w:rsidRDefault="00A27CF2">
            <w:pPr>
              <w:spacing w:before="0" w:after="0"/>
              <w:jc w:val="center"/>
              <w:rPr>
                <w:noProof/>
                <w:color w:val="000000"/>
                <w:sz w:val="14"/>
                <w:szCs w:val="14"/>
              </w:rPr>
            </w:pPr>
            <w:r w:rsidRPr="00047543">
              <w:rPr>
                <w:noProof/>
                <w:color w:val="000000"/>
                <w:sz w:val="14"/>
              </w:rPr>
              <w:t>(1b)</w:t>
            </w:r>
          </w:p>
        </w:tc>
        <w:tc>
          <w:tcPr>
            <w:tcW w:w="496" w:type="pct"/>
            <w:gridSpan w:val="2"/>
            <w:tcBorders>
              <w:top w:val="nil"/>
              <w:left w:val="nil"/>
              <w:bottom w:val="single" w:sz="8" w:space="0" w:color="auto"/>
              <w:right w:val="single" w:sz="8" w:space="0" w:color="auto"/>
            </w:tcBorders>
            <w:vAlign w:val="center"/>
            <w:hideMark/>
          </w:tcPr>
          <w:p w14:paraId="7F319F80"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DC0E8F0"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CB50758"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27E791BD"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79CEC02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D237C44" w14:textId="77777777">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5D590354" w14:textId="77777777" w:rsidR="00A27CF2" w:rsidRPr="00047543" w:rsidRDefault="00A27CF2">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vAlign w:val="center"/>
            <w:hideMark/>
          </w:tcPr>
          <w:p w14:paraId="3AE19691"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3"/>
            <w:tcBorders>
              <w:top w:val="single" w:sz="8" w:space="0" w:color="auto"/>
              <w:left w:val="nil"/>
              <w:bottom w:val="single" w:sz="8" w:space="0" w:color="auto"/>
              <w:right w:val="single" w:sz="8" w:space="0" w:color="auto"/>
            </w:tcBorders>
            <w:vAlign w:val="center"/>
            <w:hideMark/>
          </w:tcPr>
          <w:p w14:paraId="7B5A0579" w14:textId="77777777" w:rsidR="00A27CF2" w:rsidRPr="00047543" w:rsidRDefault="00A27CF2">
            <w:pPr>
              <w:spacing w:before="0" w:after="0"/>
              <w:jc w:val="center"/>
              <w:rPr>
                <w:noProof/>
                <w:color w:val="000000"/>
                <w:sz w:val="14"/>
                <w:szCs w:val="14"/>
              </w:rPr>
            </w:pPr>
            <w:r w:rsidRPr="00047543">
              <w:rPr>
                <w:noProof/>
                <w:color w:val="000000"/>
                <w:sz w:val="14"/>
              </w:rPr>
              <w:t>(2b)</w:t>
            </w:r>
          </w:p>
        </w:tc>
        <w:tc>
          <w:tcPr>
            <w:tcW w:w="496" w:type="pct"/>
            <w:gridSpan w:val="2"/>
            <w:tcBorders>
              <w:top w:val="nil"/>
              <w:left w:val="nil"/>
              <w:bottom w:val="single" w:sz="8" w:space="0" w:color="auto"/>
              <w:right w:val="single" w:sz="8" w:space="0" w:color="auto"/>
            </w:tcBorders>
            <w:vAlign w:val="center"/>
            <w:hideMark/>
          </w:tcPr>
          <w:p w14:paraId="4790FA2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FD8918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25434E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037E2643"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198E8F7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E0F989E" w14:textId="77777777">
        <w:trPr>
          <w:trHeight w:val="288"/>
        </w:trPr>
        <w:tc>
          <w:tcPr>
            <w:tcW w:w="5000" w:type="pct"/>
            <w:gridSpan w:val="17"/>
            <w:tcBorders>
              <w:top w:val="single" w:sz="8" w:space="0" w:color="auto"/>
              <w:left w:val="single" w:sz="8" w:space="0" w:color="auto"/>
              <w:bottom w:val="single" w:sz="8" w:space="0" w:color="auto"/>
              <w:right w:val="single" w:sz="8" w:space="0" w:color="auto"/>
            </w:tcBorders>
            <w:noWrap/>
            <w:vAlign w:val="bottom"/>
            <w:hideMark/>
          </w:tcPr>
          <w:p w14:paraId="2562E59E" w14:textId="77777777" w:rsidR="00A27CF2" w:rsidRPr="00047543" w:rsidRDefault="00A27CF2">
            <w:pPr>
              <w:spacing w:before="0" w:after="0"/>
              <w:jc w:val="left"/>
              <w:rPr>
                <w:noProof/>
                <w:color w:val="000000"/>
                <w:sz w:val="22"/>
              </w:rPr>
            </w:pPr>
            <w:r w:rsidRPr="00047543">
              <w:rPr>
                <w:noProof/>
                <w:color w:val="000000"/>
                <w:sz w:val="22"/>
              </w:rPr>
              <w:t>Anslag av administrativ natur som finansieras genom ramanslagen för särskilda program</w:t>
            </w:r>
            <w:r w:rsidRPr="00047543">
              <w:rPr>
                <w:noProof/>
              </w:rPr>
              <w:t xml:space="preserve"> </w:t>
            </w:r>
          </w:p>
        </w:tc>
      </w:tr>
      <w:tr w:rsidR="00A27CF2" w:rsidRPr="00047543" w14:paraId="023B71D8" w14:textId="77777777">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175EC469"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3"/>
            <w:tcBorders>
              <w:top w:val="nil"/>
              <w:left w:val="nil"/>
              <w:bottom w:val="single" w:sz="8" w:space="0" w:color="auto"/>
              <w:right w:val="single" w:sz="8" w:space="0" w:color="auto"/>
            </w:tcBorders>
            <w:vAlign w:val="center"/>
            <w:hideMark/>
          </w:tcPr>
          <w:p w14:paraId="29A1AFE9" w14:textId="77777777" w:rsidR="00A27CF2" w:rsidRPr="00047543" w:rsidRDefault="00A27CF2">
            <w:pPr>
              <w:spacing w:before="0" w:after="0"/>
              <w:jc w:val="right"/>
              <w:rPr>
                <w:noProof/>
                <w:color w:val="000000"/>
                <w:sz w:val="18"/>
                <w:szCs w:val="18"/>
              </w:rPr>
            </w:pPr>
            <w:r w:rsidRPr="00047543">
              <w:rPr>
                <w:noProof/>
                <w:color w:val="000000"/>
                <w:sz w:val="18"/>
              </w:rPr>
              <w:t xml:space="preserve"> </w:t>
            </w:r>
          </w:p>
        </w:tc>
        <w:tc>
          <w:tcPr>
            <w:tcW w:w="496" w:type="pct"/>
            <w:gridSpan w:val="3"/>
            <w:tcBorders>
              <w:top w:val="single" w:sz="8" w:space="0" w:color="auto"/>
              <w:left w:val="nil"/>
              <w:bottom w:val="single" w:sz="8" w:space="0" w:color="auto"/>
              <w:right w:val="single" w:sz="8" w:space="0" w:color="auto"/>
            </w:tcBorders>
            <w:vAlign w:val="center"/>
            <w:hideMark/>
          </w:tcPr>
          <w:p w14:paraId="3AE6473A" w14:textId="77777777" w:rsidR="00A27CF2" w:rsidRPr="00047543" w:rsidRDefault="00A27CF2">
            <w:pPr>
              <w:spacing w:before="0" w:after="0"/>
              <w:jc w:val="center"/>
              <w:rPr>
                <w:noProof/>
                <w:color w:val="000000"/>
                <w:sz w:val="14"/>
                <w:szCs w:val="14"/>
              </w:rPr>
            </w:pPr>
            <w:r w:rsidRPr="00047543">
              <w:rPr>
                <w:noProof/>
                <w:color w:val="000000"/>
                <w:sz w:val="14"/>
              </w:rPr>
              <w:t>(3)</w:t>
            </w:r>
          </w:p>
        </w:tc>
        <w:tc>
          <w:tcPr>
            <w:tcW w:w="496" w:type="pct"/>
            <w:gridSpan w:val="2"/>
            <w:tcBorders>
              <w:top w:val="nil"/>
              <w:left w:val="nil"/>
              <w:bottom w:val="single" w:sz="8" w:space="0" w:color="auto"/>
              <w:right w:val="single" w:sz="8" w:space="0" w:color="auto"/>
            </w:tcBorders>
            <w:vAlign w:val="center"/>
            <w:hideMark/>
          </w:tcPr>
          <w:p w14:paraId="2F473DC9"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B1A06F5"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089D506"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12BE0FDD"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20734C1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F725D4D" w14:textId="77777777">
        <w:trPr>
          <w:trHeight w:val="288"/>
        </w:trPr>
        <w:tc>
          <w:tcPr>
            <w:tcW w:w="1419" w:type="pct"/>
            <w:gridSpan w:val="2"/>
            <w:vMerge w:val="restart"/>
            <w:tcBorders>
              <w:top w:val="nil"/>
              <w:left w:val="single" w:sz="8" w:space="0" w:color="auto"/>
              <w:right w:val="single" w:sz="8" w:space="0" w:color="auto"/>
            </w:tcBorders>
            <w:vAlign w:val="center"/>
            <w:hideMark/>
          </w:tcPr>
          <w:p w14:paraId="3D8B0A44" w14:textId="77777777" w:rsidR="00A27CF2" w:rsidRPr="00047543" w:rsidRDefault="00A27CF2">
            <w:pPr>
              <w:spacing w:before="0" w:after="0"/>
              <w:jc w:val="center"/>
              <w:rPr>
                <w:b/>
                <w:bCs/>
                <w:noProof/>
                <w:color w:val="000000"/>
                <w:sz w:val="22"/>
              </w:rPr>
            </w:pPr>
            <w:r w:rsidRPr="00047543">
              <w:rPr>
                <w:b/>
                <w:noProof/>
                <w:color w:val="000000"/>
                <w:sz w:val="22"/>
              </w:rPr>
              <w:t>TOTALA anslag</w:t>
            </w:r>
          </w:p>
          <w:p w14:paraId="1A159F49" w14:textId="77777777" w:rsidR="00A27CF2" w:rsidRPr="00047543" w:rsidRDefault="00A27CF2">
            <w:pPr>
              <w:spacing w:before="0" w:after="0"/>
              <w:jc w:val="center"/>
              <w:rPr>
                <w:b/>
                <w:bCs/>
                <w:noProof/>
                <w:color w:val="000000"/>
                <w:sz w:val="22"/>
              </w:rPr>
            </w:pPr>
            <w:r w:rsidRPr="00047543">
              <w:rPr>
                <w:b/>
                <w:noProof/>
                <w:color w:val="000000"/>
                <w:sz w:val="22"/>
              </w:rPr>
              <w:t xml:space="preserve">för GD </w:t>
            </w:r>
            <w:r w:rsidRPr="00047543">
              <w:rPr>
                <w:noProof/>
                <w:color w:val="000000"/>
                <w:sz w:val="22"/>
              </w:rPr>
              <w:t>&lt;…….&gt;</w:t>
            </w:r>
          </w:p>
        </w:tc>
        <w:tc>
          <w:tcPr>
            <w:tcW w:w="529" w:type="pct"/>
            <w:gridSpan w:val="3"/>
            <w:tcBorders>
              <w:top w:val="nil"/>
              <w:left w:val="nil"/>
              <w:bottom w:val="single" w:sz="8" w:space="0" w:color="auto"/>
              <w:right w:val="single" w:sz="8" w:space="0" w:color="auto"/>
            </w:tcBorders>
            <w:vAlign w:val="center"/>
            <w:hideMark/>
          </w:tcPr>
          <w:p w14:paraId="4A8C7010"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3"/>
            <w:tcBorders>
              <w:top w:val="single" w:sz="8" w:space="0" w:color="auto"/>
              <w:left w:val="nil"/>
              <w:bottom w:val="single" w:sz="8" w:space="0" w:color="auto"/>
              <w:right w:val="single" w:sz="8" w:space="0" w:color="auto"/>
            </w:tcBorders>
            <w:vAlign w:val="center"/>
            <w:hideMark/>
          </w:tcPr>
          <w:p w14:paraId="08B3E6AA" w14:textId="77777777" w:rsidR="00A27CF2" w:rsidRPr="00047543" w:rsidRDefault="00A27CF2">
            <w:pPr>
              <w:spacing w:before="0" w:after="0"/>
              <w:jc w:val="center"/>
              <w:rPr>
                <w:noProof/>
                <w:color w:val="000000"/>
                <w:sz w:val="14"/>
                <w:szCs w:val="14"/>
              </w:rPr>
            </w:pPr>
            <w:r w:rsidRPr="00047543">
              <w:rPr>
                <w:noProof/>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8A4BAD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2A15F1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3CAC99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75A512A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58C883B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C4947C1" w14:textId="77777777">
        <w:trPr>
          <w:trHeight w:val="288"/>
        </w:trPr>
        <w:tc>
          <w:tcPr>
            <w:tcW w:w="1419" w:type="pct"/>
            <w:gridSpan w:val="2"/>
            <w:vMerge/>
            <w:tcBorders>
              <w:left w:val="single" w:sz="8" w:space="0" w:color="auto"/>
              <w:bottom w:val="single" w:sz="8" w:space="0" w:color="auto"/>
              <w:right w:val="single" w:sz="8" w:space="0" w:color="auto"/>
            </w:tcBorders>
            <w:vAlign w:val="center"/>
            <w:hideMark/>
          </w:tcPr>
          <w:p w14:paraId="01720794" w14:textId="77777777" w:rsidR="00A27CF2" w:rsidRPr="00047543" w:rsidRDefault="00A27CF2">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0E995983"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3"/>
            <w:tcBorders>
              <w:top w:val="single" w:sz="8" w:space="0" w:color="auto"/>
              <w:left w:val="nil"/>
              <w:bottom w:val="single" w:sz="8" w:space="0" w:color="auto"/>
              <w:right w:val="single" w:sz="8" w:space="0" w:color="auto"/>
            </w:tcBorders>
            <w:vAlign w:val="center"/>
            <w:hideMark/>
          </w:tcPr>
          <w:p w14:paraId="2C0BB888" w14:textId="77777777" w:rsidR="00A27CF2" w:rsidRPr="00047543" w:rsidRDefault="00A27CF2">
            <w:pPr>
              <w:spacing w:before="0" w:after="0"/>
              <w:jc w:val="center"/>
              <w:rPr>
                <w:noProof/>
                <w:color w:val="000000"/>
                <w:sz w:val="14"/>
                <w:szCs w:val="14"/>
              </w:rPr>
            </w:pPr>
            <w:r w:rsidRPr="00047543">
              <w:rPr>
                <w:noProof/>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8B2F26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409B244"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308CB3E"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636A02F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750141E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9CF3880" w14:textId="77777777">
        <w:trPr>
          <w:trHeight w:val="420"/>
        </w:trPr>
        <w:tc>
          <w:tcPr>
            <w:tcW w:w="2444" w:type="pct"/>
            <w:gridSpan w:val="8"/>
            <w:vMerge w:val="restart"/>
            <w:tcBorders>
              <w:top w:val="single" w:sz="8" w:space="0" w:color="auto"/>
              <w:left w:val="single" w:sz="8" w:space="0" w:color="auto"/>
              <w:bottom w:val="single" w:sz="8" w:space="0" w:color="auto"/>
              <w:right w:val="single" w:sz="8" w:space="0" w:color="auto"/>
            </w:tcBorders>
            <w:vAlign w:val="center"/>
            <w:hideMark/>
          </w:tcPr>
          <w:p w14:paraId="23873E36" w14:textId="77777777" w:rsidR="00A27CF2" w:rsidRPr="00047543" w:rsidRDefault="00A27CF2">
            <w:pPr>
              <w:spacing w:before="0" w:after="0"/>
              <w:jc w:val="center"/>
              <w:rPr>
                <w:noProof/>
                <w:color w:val="000000"/>
                <w:sz w:val="22"/>
              </w:rPr>
            </w:pPr>
            <w:r w:rsidRPr="00047543">
              <w:rPr>
                <w:noProof/>
                <w:color w:val="000000"/>
                <w:sz w:val="22"/>
              </w:rPr>
              <w:t>GD: &lt;…….&gt;</w:t>
            </w:r>
          </w:p>
        </w:tc>
        <w:tc>
          <w:tcPr>
            <w:tcW w:w="496" w:type="pct"/>
            <w:gridSpan w:val="2"/>
            <w:tcBorders>
              <w:top w:val="single" w:sz="8" w:space="0" w:color="auto"/>
              <w:left w:val="nil"/>
              <w:bottom w:val="single" w:sz="8" w:space="0" w:color="auto"/>
              <w:right w:val="single" w:sz="8" w:space="0" w:color="auto"/>
            </w:tcBorders>
            <w:vAlign w:val="center"/>
            <w:hideMark/>
          </w:tcPr>
          <w:p w14:paraId="166A7284"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2"/>
            <w:tcBorders>
              <w:top w:val="single" w:sz="8" w:space="0" w:color="auto"/>
              <w:left w:val="nil"/>
              <w:bottom w:val="single" w:sz="8" w:space="0" w:color="auto"/>
              <w:right w:val="single" w:sz="8" w:space="0" w:color="auto"/>
            </w:tcBorders>
            <w:vAlign w:val="center"/>
            <w:hideMark/>
          </w:tcPr>
          <w:p w14:paraId="0CB7DDB7"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2"/>
            <w:tcBorders>
              <w:top w:val="single" w:sz="8" w:space="0" w:color="auto"/>
              <w:left w:val="nil"/>
              <w:bottom w:val="single" w:sz="8" w:space="0" w:color="auto"/>
              <w:right w:val="single" w:sz="8" w:space="0" w:color="auto"/>
            </w:tcBorders>
            <w:vAlign w:val="center"/>
            <w:hideMark/>
          </w:tcPr>
          <w:p w14:paraId="04C16BF5"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78" w:type="pct"/>
            <w:gridSpan w:val="2"/>
            <w:tcBorders>
              <w:top w:val="single" w:sz="8" w:space="0" w:color="auto"/>
              <w:left w:val="nil"/>
              <w:bottom w:val="single" w:sz="8" w:space="0" w:color="auto"/>
              <w:right w:val="single" w:sz="8" w:space="0" w:color="auto"/>
            </w:tcBorders>
            <w:vAlign w:val="center"/>
            <w:hideMark/>
          </w:tcPr>
          <w:p w14:paraId="0B574B82"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90" w:type="pct"/>
            <w:vMerge w:val="restart"/>
            <w:tcBorders>
              <w:top w:val="single" w:sz="8" w:space="0" w:color="auto"/>
              <w:left w:val="single" w:sz="8" w:space="0" w:color="auto"/>
              <w:bottom w:val="single" w:sz="8" w:space="0" w:color="auto"/>
              <w:right w:val="single" w:sz="8" w:space="0" w:color="auto"/>
            </w:tcBorders>
            <w:vAlign w:val="center"/>
            <w:hideMark/>
          </w:tcPr>
          <w:p w14:paraId="2EF861DD"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08577D50" w14:textId="77777777">
        <w:trPr>
          <w:trHeight w:val="288"/>
        </w:trPr>
        <w:tc>
          <w:tcPr>
            <w:tcW w:w="2444" w:type="pct"/>
            <w:gridSpan w:val="8"/>
            <w:vMerge/>
            <w:tcBorders>
              <w:top w:val="single" w:sz="8" w:space="0" w:color="auto"/>
              <w:left w:val="single" w:sz="8" w:space="0" w:color="auto"/>
              <w:bottom w:val="single" w:sz="8" w:space="0" w:color="auto"/>
              <w:right w:val="single" w:sz="8" w:space="0" w:color="auto"/>
            </w:tcBorders>
            <w:vAlign w:val="center"/>
            <w:hideMark/>
          </w:tcPr>
          <w:p w14:paraId="6DB7387A" w14:textId="77777777" w:rsidR="00A27CF2" w:rsidRPr="00047543" w:rsidRDefault="00A27CF2">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28FE8015"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46845E80"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96" w:type="pct"/>
            <w:gridSpan w:val="2"/>
            <w:tcBorders>
              <w:top w:val="nil"/>
              <w:left w:val="nil"/>
              <w:bottom w:val="single" w:sz="8" w:space="0" w:color="auto"/>
              <w:right w:val="single" w:sz="8" w:space="0" w:color="auto"/>
            </w:tcBorders>
            <w:vAlign w:val="center"/>
            <w:hideMark/>
          </w:tcPr>
          <w:p w14:paraId="5F2A292B"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78" w:type="pct"/>
            <w:gridSpan w:val="2"/>
            <w:tcBorders>
              <w:top w:val="nil"/>
              <w:left w:val="nil"/>
              <w:bottom w:val="single" w:sz="8" w:space="0" w:color="auto"/>
              <w:right w:val="single" w:sz="8" w:space="0" w:color="auto"/>
            </w:tcBorders>
            <w:vAlign w:val="center"/>
            <w:hideMark/>
          </w:tcPr>
          <w:p w14:paraId="6F7A3A33"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90" w:type="pct"/>
            <w:vMerge/>
            <w:tcBorders>
              <w:top w:val="single" w:sz="8" w:space="0" w:color="auto"/>
              <w:left w:val="single" w:sz="8" w:space="0" w:color="auto"/>
              <w:bottom w:val="single" w:sz="8" w:space="0" w:color="auto"/>
              <w:right w:val="single" w:sz="8" w:space="0" w:color="auto"/>
            </w:tcBorders>
            <w:vAlign w:val="center"/>
            <w:hideMark/>
          </w:tcPr>
          <w:p w14:paraId="3F179FBA" w14:textId="77777777" w:rsidR="00A27CF2" w:rsidRPr="00047543" w:rsidRDefault="00A27CF2">
            <w:pPr>
              <w:spacing w:before="0" w:after="0"/>
              <w:jc w:val="left"/>
              <w:rPr>
                <w:b/>
                <w:bCs/>
                <w:noProof/>
                <w:color w:val="000000"/>
                <w:sz w:val="20"/>
                <w:szCs w:val="20"/>
                <w:lang w:eastAsia="en-IE"/>
              </w:rPr>
            </w:pPr>
          </w:p>
        </w:tc>
      </w:tr>
      <w:tr w:rsidR="00A27CF2" w:rsidRPr="00047543" w14:paraId="0402B702" w14:textId="77777777">
        <w:trPr>
          <w:trHeight w:val="300"/>
        </w:trPr>
        <w:tc>
          <w:tcPr>
            <w:tcW w:w="5000" w:type="pct"/>
            <w:gridSpan w:val="17"/>
            <w:tcBorders>
              <w:top w:val="single" w:sz="8" w:space="0" w:color="auto"/>
              <w:left w:val="single" w:sz="8" w:space="0" w:color="auto"/>
              <w:bottom w:val="single" w:sz="8" w:space="0" w:color="auto"/>
              <w:right w:val="single" w:sz="8" w:space="0" w:color="auto"/>
            </w:tcBorders>
            <w:vAlign w:val="center"/>
            <w:hideMark/>
          </w:tcPr>
          <w:p w14:paraId="1F6F1844" w14:textId="77777777" w:rsidR="00A27CF2" w:rsidRPr="00047543" w:rsidRDefault="00A27CF2">
            <w:pPr>
              <w:spacing w:before="0" w:after="0"/>
              <w:jc w:val="left"/>
              <w:rPr>
                <w:noProof/>
                <w:color w:val="000000"/>
                <w:sz w:val="21"/>
                <w:szCs w:val="21"/>
              </w:rPr>
            </w:pPr>
            <w:r w:rsidRPr="00047543">
              <w:rPr>
                <w:noProof/>
                <w:color w:val="000000"/>
                <w:sz w:val="21"/>
              </w:rPr>
              <w:t xml:space="preserve">Driftsanslag </w:t>
            </w:r>
          </w:p>
        </w:tc>
      </w:tr>
      <w:tr w:rsidR="00A27CF2" w:rsidRPr="00047543" w14:paraId="76098456" w14:textId="77777777">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77337415" w14:textId="77777777" w:rsidR="00A27CF2" w:rsidRPr="00047543" w:rsidRDefault="00A27CF2">
            <w:pPr>
              <w:spacing w:before="0" w:after="0"/>
              <w:jc w:val="left"/>
              <w:rPr>
                <w:noProof/>
                <w:color w:val="000000"/>
                <w:sz w:val="22"/>
              </w:rPr>
            </w:pPr>
            <w:r w:rsidRPr="00047543">
              <w:rPr>
                <w:noProof/>
                <w:color w:val="000000"/>
                <w:sz w:val="22"/>
              </w:rPr>
              <w:t>Budgetpost</w:t>
            </w:r>
          </w:p>
        </w:tc>
        <w:tc>
          <w:tcPr>
            <w:tcW w:w="529" w:type="pct"/>
            <w:gridSpan w:val="3"/>
            <w:tcBorders>
              <w:top w:val="nil"/>
              <w:left w:val="nil"/>
              <w:bottom w:val="single" w:sz="8" w:space="0" w:color="auto"/>
              <w:right w:val="single" w:sz="8" w:space="0" w:color="auto"/>
            </w:tcBorders>
            <w:vAlign w:val="center"/>
            <w:hideMark/>
          </w:tcPr>
          <w:p w14:paraId="0BF937DA"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3"/>
            <w:tcBorders>
              <w:top w:val="single" w:sz="8" w:space="0" w:color="auto"/>
              <w:left w:val="nil"/>
              <w:bottom w:val="single" w:sz="8" w:space="0" w:color="auto"/>
              <w:right w:val="single" w:sz="8" w:space="0" w:color="auto"/>
            </w:tcBorders>
            <w:vAlign w:val="center"/>
            <w:hideMark/>
          </w:tcPr>
          <w:p w14:paraId="72E06129" w14:textId="77777777" w:rsidR="00A27CF2" w:rsidRPr="00047543" w:rsidRDefault="00A27CF2">
            <w:pPr>
              <w:spacing w:before="0" w:after="0"/>
              <w:jc w:val="center"/>
              <w:rPr>
                <w:noProof/>
                <w:color w:val="000000"/>
                <w:sz w:val="14"/>
                <w:szCs w:val="14"/>
              </w:rPr>
            </w:pPr>
            <w:r w:rsidRPr="00047543">
              <w:rPr>
                <w:noProof/>
                <w:color w:val="000000"/>
                <w:sz w:val="14"/>
              </w:rPr>
              <w:t>(1a)</w:t>
            </w:r>
          </w:p>
        </w:tc>
        <w:tc>
          <w:tcPr>
            <w:tcW w:w="496" w:type="pct"/>
            <w:gridSpan w:val="2"/>
            <w:tcBorders>
              <w:top w:val="nil"/>
              <w:left w:val="nil"/>
              <w:bottom w:val="single" w:sz="8" w:space="0" w:color="auto"/>
              <w:right w:val="single" w:sz="8" w:space="0" w:color="auto"/>
            </w:tcBorders>
            <w:vAlign w:val="center"/>
            <w:hideMark/>
          </w:tcPr>
          <w:p w14:paraId="24FC603A"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1044E24"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D366FF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4C72ACCD"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665C17C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814FC04" w14:textId="77777777">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6626BCEB" w14:textId="77777777" w:rsidR="00A27CF2" w:rsidRPr="00047543" w:rsidRDefault="00A27CF2">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772A6FF0"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3"/>
            <w:tcBorders>
              <w:top w:val="single" w:sz="8" w:space="0" w:color="auto"/>
              <w:left w:val="nil"/>
              <w:bottom w:val="single" w:sz="8" w:space="0" w:color="auto"/>
              <w:right w:val="single" w:sz="8" w:space="0" w:color="auto"/>
            </w:tcBorders>
            <w:vAlign w:val="center"/>
            <w:hideMark/>
          </w:tcPr>
          <w:p w14:paraId="321551F5" w14:textId="77777777" w:rsidR="00A27CF2" w:rsidRPr="00047543" w:rsidRDefault="00A27CF2">
            <w:pPr>
              <w:spacing w:before="0" w:after="0"/>
              <w:jc w:val="center"/>
              <w:rPr>
                <w:noProof/>
                <w:color w:val="000000"/>
                <w:sz w:val="14"/>
                <w:szCs w:val="14"/>
              </w:rPr>
            </w:pPr>
            <w:r w:rsidRPr="00047543">
              <w:rPr>
                <w:noProof/>
                <w:color w:val="000000"/>
                <w:sz w:val="14"/>
              </w:rPr>
              <w:t>(2a)</w:t>
            </w:r>
          </w:p>
        </w:tc>
        <w:tc>
          <w:tcPr>
            <w:tcW w:w="496" w:type="pct"/>
            <w:gridSpan w:val="2"/>
            <w:tcBorders>
              <w:top w:val="nil"/>
              <w:left w:val="nil"/>
              <w:bottom w:val="single" w:sz="8" w:space="0" w:color="auto"/>
              <w:right w:val="single" w:sz="8" w:space="0" w:color="auto"/>
            </w:tcBorders>
            <w:vAlign w:val="center"/>
            <w:hideMark/>
          </w:tcPr>
          <w:p w14:paraId="76F602EF"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6DB9058"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03D742F"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109EFE5A"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3E907CE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C3CD171" w14:textId="77777777">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68150B94"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3"/>
            <w:tcBorders>
              <w:top w:val="nil"/>
              <w:left w:val="nil"/>
              <w:bottom w:val="single" w:sz="8" w:space="0" w:color="auto"/>
              <w:right w:val="single" w:sz="8" w:space="0" w:color="auto"/>
            </w:tcBorders>
            <w:vAlign w:val="center"/>
            <w:hideMark/>
          </w:tcPr>
          <w:p w14:paraId="0A6A1CB6"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3"/>
            <w:tcBorders>
              <w:top w:val="single" w:sz="8" w:space="0" w:color="auto"/>
              <w:left w:val="nil"/>
              <w:bottom w:val="single" w:sz="8" w:space="0" w:color="auto"/>
              <w:right w:val="single" w:sz="8" w:space="0" w:color="auto"/>
            </w:tcBorders>
            <w:vAlign w:val="center"/>
            <w:hideMark/>
          </w:tcPr>
          <w:p w14:paraId="23DC33D5" w14:textId="77777777" w:rsidR="00A27CF2" w:rsidRPr="00047543" w:rsidRDefault="00A27CF2">
            <w:pPr>
              <w:spacing w:before="0" w:after="0"/>
              <w:jc w:val="center"/>
              <w:rPr>
                <w:noProof/>
                <w:color w:val="000000"/>
                <w:sz w:val="14"/>
                <w:szCs w:val="14"/>
              </w:rPr>
            </w:pPr>
            <w:r w:rsidRPr="00047543">
              <w:rPr>
                <w:noProof/>
                <w:color w:val="000000"/>
                <w:sz w:val="14"/>
              </w:rPr>
              <w:t>(1b)</w:t>
            </w:r>
          </w:p>
        </w:tc>
        <w:tc>
          <w:tcPr>
            <w:tcW w:w="496" w:type="pct"/>
            <w:gridSpan w:val="2"/>
            <w:tcBorders>
              <w:top w:val="nil"/>
              <w:left w:val="nil"/>
              <w:bottom w:val="single" w:sz="8" w:space="0" w:color="auto"/>
              <w:right w:val="single" w:sz="8" w:space="0" w:color="auto"/>
            </w:tcBorders>
            <w:vAlign w:val="center"/>
            <w:hideMark/>
          </w:tcPr>
          <w:p w14:paraId="51BD315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219E07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5C43E19"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248EFFE7"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1CFC0AF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F4E0E1C" w14:textId="77777777">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143B8244" w14:textId="77777777" w:rsidR="00A27CF2" w:rsidRPr="00047543" w:rsidRDefault="00A27CF2">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vAlign w:val="center"/>
            <w:hideMark/>
          </w:tcPr>
          <w:p w14:paraId="4A01369B"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3"/>
            <w:tcBorders>
              <w:top w:val="single" w:sz="8" w:space="0" w:color="auto"/>
              <w:left w:val="nil"/>
              <w:bottom w:val="single" w:sz="8" w:space="0" w:color="auto"/>
              <w:right w:val="single" w:sz="8" w:space="0" w:color="auto"/>
            </w:tcBorders>
            <w:vAlign w:val="center"/>
            <w:hideMark/>
          </w:tcPr>
          <w:p w14:paraId="2B98B239" w14:textId="77777777" w:rsidR="00A27CF2" w:rsidRPr="00047543" w:rsidRDefault="00A27CF2">
            <w:pPr>
              <w:spacing w:before="0" w:after="0"/>
              <w:jc w:val="center"/>
              <w:rPr>
                <w:noProof/>
                <w:color w:val="000000"/>
                <w:sz w:val="14"/>
                <w:szCs w:val="14"/>
              </w:rPr>
            </w:pPr>
            <w:r w:rsidRPr="00047543">
              <w:rPr>
                <w:noProof/>
                <w:color w:val="000000"/>
                <w:sz w:val="14"/>
              </w:rPr>
              <w:t>(2b)</w:t>
            </w:r>
          </w:p>
        </w:tc>
        <w:tc>
          <w:tcPr>
            <w:tcW w:w="496" w:type="pct"/>
            <w:gridSpan w:val="2"/>
            <w:tcBorders>
              <w:top w:val="nil"/>
              <w:left w:val="nil"/>
              <w:bottom w:val="single" w:sz="8" w:space="0" w:color="auto"/>
              <w:right w:val="single" w:sz="8" w:space="0" w:color="auto"/>
            </w:tcBorders>
            <w:vAlign w:val="center"/>
            <w:hideMark/>
          </w:tcPr>
          <w:p w14:paraId="1BFA0D5A"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2DEE499"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BF4B68C"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160BE118"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60C70D1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0F5C41F" w14:textId="77777777">
        <w:trPr>
          <w:trHeight w:val="288"/>
        </w:trPr>
        <w:tc>
          <w:tcPr>
            <w:tcW w:w="5000" w:type="pct"/>
            <w:gridSpan w:val="17"/>
            <w:tcBorders>
              <w:top w:val="single" w:sz="8" w:space="0" w:color="auto"/>
              <w:left w:val="single" w:sz="8" w:space="0" w:color="auto"/>
              <w:bottom w:val="single" w:sz="8" w:space="0" w:color="auto"/>
              <w:right w:val="single" w:sz="8" w:space="0" w:color="auto"/>
            </w:tcBorders>
            <w:noWrap/>
            <w:vAlign w:val="bottom"/>
            <w:hideMark/>
          </w:tcPr>
          <w:p w14:paraId="00803173" w14:textId="77777777" w:rsidR="00A27CF2" w:rsidRPr="00047543" w:rsidRDefault="00A27CF2">
            <w:pPr>
              <w:spacing w:before="0" w:after="0"/>
              <w:jc w:val="left"/>
              <w:rPr>
                <w:noProof/>
                <w:color w:val="000000"/>
                <w:sz w:val="22"/>
              </w:rPr>
            </w:pPr>
            <w:r w:rsidRPr="00047543">
              <w:rPr>
                <w:noProof/>
                <w:color w:val="000000"/>
                <w:sz w:val="22"/>
              </w:rPr>
              <w:t>Anslag av administrativ natur som finansieras genom ramanslagen för särskilda program</w:t>
            </w:r>
            <w:r w:rsidRPr="00047543">
              <w:rPr>
                <w:noProof/>
              </w:rPr>
              <w:t xml:space="preserve"> </w:t>
            </w:r>
          </w:p>
        </w:tc>
      </w:tr>
      <w:tr w:rsidR="00A27CF2" w:rsidRPr="00047543" w14:paraId="7B94CEA9" w14:textId="77777777">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7F71ADB4"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3"/>
            <w:tcBorders>
              <w:top w:val="nil"/>
              <w:left w:val="nil"/>
              <w:bottom w:val="single" w:sz="8" w:space="0" w:color="auto"/>
              <w:right w:val="single" w:sz="8" w:space="0" w:color="auto"/>
            </w:tcBorders>
            <w:vAlign w:val="center"/>
            <w:hideMark/>
          </w:tcPr>
          <w:p w14:paraId="4721D2E4" w14:textId="77777777" w:rsidR="00A27CF2" w:rsidRPr="00047543" w:rsidRDefault="00A27CF2">
            <w:pPr>
              <w:spacing w:before="0" w:after="0"/>
              <w:jc w:val="right"/>
              <w:rPr>
                <w:noProof/>
                <w:color w:val="000000"/>
                <w:sz w:val="18"/>
                <w:szCs w:val="18"/>
              </w:rPr>
            </w:pPr>
            <w:r w:rsidRPr="00047543">
              <w:rPr>
                <w:noProof/>
                <w:color w:val="000000"/>
                <w:sz w:val="18"/>
              </w:rPr>
              <w:t xml:space="preserve"> </w:t>
            </w:r>
          </w:p>
        </w:tc>
        <w:tc>
          <w:tcPr>
            <w:tcW w:w="496" w:type="pct"/>
            <w:gridSpan w:val="3"/>
            <w:tcBorders>
              <w:top w:val="single" w:sz="8" w:space="0" w:color="auto"/>
              <w:left w:val="nil"/>
              <w:bottom w:val="single" w:sz="8" w:space="0" w:color="auto"/>
              <w:right w:val="single" w:sz="8" w:space="0" w:color="auto"/>
            </w:tcBorders>
            <w:vAlign w:val="center"/>
            <w:hideMark/>
          </w:tcPr>
          <w:p w14:paraId="77A46272" w14:textId="77777777" w:rsidR="00A27CF2" w:rsidRPr="00047543" w:rsidRDefault="00A27CF2">
            <w:pPr>
              <w:spacing w:before="0" w:after="0"/>
              <w:jc w:val="center"/>
              <w:rPr>
                <w:noProof/>
                <w:color w:val="000000"/>
                <w:sz w:val="14"/>
                <w:szCs w:val="14"/>
              </w:rPr>
            </w:pPr>
            <w:r w:rsidRPr="00047543">
              <w:rPr>
                <w:noProof/>
                <w:color w:val="000000"/>
                <w:sz w:val="14"/>
              </w:rPr>
              <w:t>(3)</w:t>
            </w:r>
          </w:p>
        </w:tc>
        <w:tc>
          <w:tcPr>
            <w:tcW w:w="496" w:type="pct"/>
            <w:gridSpan w:val="2"/>
            <w:tcBorders>
              <w:top w:val="nil"/>
              <w:left w:val="nil"/>
              <w:bottom w:val="single" w:sz="8" w:space="0" w:color="auto"/>
              <w:right w:val="single" w:sz="8" w:space="0" w:color="auto"/>
            </w:tcBorders>
            <w:vAlign w:val="center"/>
            <w:hideMark/>
          </w:tcPr>
          <w:p w14:paraId="7861A5A6"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551CC36B"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4B81D249"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4E6D225F"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590" w:type="pct"/>
            <w:tcBorders>
              <w:top w:val="nil"/>
              <w:left w:val="nil"/>
              <w:bottom w:val="single" w:sz="8" w:space="0" w:color="auto"/>
              <w:right w:val="single" w:sz="8" w:space="0" w:color="auto"/>
            </w:tcBorders>
            <w:shd w:val="clear" w:color="000000" w:fill="D9D9D9"/>
            <w:vAlign w:val="center"/>
            <w:hideMark/>
          </w:tcPr>
          <w:p w14:paraId="4BCC66E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73B7E2E" w14:textId="77777777">
        <w:trPr>
          <w:trHeight w:val="288"/>
        </w:trPr>
        <w:tc>
          <w:tcPr>
            <w:tcW w:w="1419" w:type="pct"/>
            <w:gridSpan w:val="2"/>
            <w:vMerge w:val="restart"/>
            <w:tcBorders>
              <w:top w:val="nil"/>
              <w:left w:val="single" w:sz="8" w:space="0" w:color="auto"/>
              <w:right w:val="single" w:sz="8" w:space="0" w:color="auto"/>
            </w:tcBorders>
            <w:vAlign w:val="center"/>
            <w:hideMark/>
          </w:tcPr>
          <w:p w14:paraId="16C91751" w14:textId="77777777" w:rsidR="00A27CF2" w:rsidRPr="00047543" w:rsidRDefault="00A27CF2">
            <w:pPr>
              <w:spacing w:before="0" w:after="0"/>
              <w:jc w:val="center"/>
              <w:rPr>
                <w:b/>
                <w:bCs/>
                <w:noProof/>
                <w:color w:val="000000"/>
                <w:sz w:val="22"/>
              </w:rPr>
            </w:pPr>
            <w:r w:rsidRPr="00047543">
              <w:rPr>
                <w:b/>
                <w:noProof/>
                <w:color w:val="000000"/>
                <w:sz w:val="22"/>
              </w:rPr>
              <w:t>TOTALA anslag</w:t>
            </w:r>
          </w:p>
          <w:p w14:paraId="3B9043E3" w14:textId="77777777" w:rsidR="00A27CF2" w:rsidRPr="00047543" w:rsidRDefault="00A27CF2">
            <w:pPr>
              <w:spacing w:before="0" w:after="0"/>
              <w:jc w:val="center"/>
              <w:rPr>
                <w:b/>
                <w:bCs/>
                <w:noProof/>
                <w:color w:val="000000"/>
                <w:sz w:val="22"/>
              </w:rPr>
            </w:pPr>
            <w:r w:rsidRPr="00047543">
              <w:rPr>
                <w:b/>
                <w:noProof/>
                <w:color w:val="000000"/>
                <w:sz w:val="22"/>
              </w:rPr>
              <w:t xml:space="preserve">för GD </w:t>
            </w:r>
            <w:r w:rsidRPr="00047543">
              <w:rPr>
                <w:noProof/>
                <w:color w:val="000000"/>
                <w:sz w:val="22"/>
              </w:rPr>
              <w:t>&lt;…….&gt;</w:t>
            </w:r>
          </w:p>
        </w:tc>
        <w:tc>
          <w:tcPr>
            <w:tcW w:w="529" w:type="pct"/>
            <w:gridSpan w:val="3"/>
            <w:tcBorders>
              <w:top w:val="nil"/>
              <w:left w:val="nil"/>
              <w:bottom w:val="single" w:sz="8" w:space="0" w:color="auto"/>
              <w:right w:val="single" w:sz="8" w:space="0" w:color="auto"/>
            </w:tcBorders>
            <w:vAlign w:val="center"/>
            <w:hideMark/>
          </w:tcPr>
          <w:p w14:paraId="28891D8E"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3"/>
            <w:tcBorders>
              <w:top w:val="single" w:sz="8" w:space="0" w:color="auto"/>
              <w:left w:val="nil"/>
              <w:bottom w:val="single" w:sz="8" w:space="0" w:color="auto"/>
              <w:right w:val="single" w:sz="8" w:space="0" w:color="auto"/>
            </w:tcBorders>
            <w:vAlign w:val="center"/>
            <w:hideMark/>
          </w:tcPr>
          <w:p w14:paraId="2F3F8C01" w14:textId="77777777" w:rsidR="00A27CF2" w:rsidRPr="00047543" w:rsidRDefault="00A27CF2">
            <w:pPr>
              <w:spacing w:before="0" w:after="0"/>
              <w:jc w:val="center"/>
              <w:rPr>
                <w:noProof/>
                <w:color w:val="000000"/>
                <w:sz w:val="14"/>
                <w:szCs w:val="14"/>
              </w:rPr>
            </w:pPr>
            <w:r w:rsidRPr="00047543">
              <w:rPr>
                <w:noProof/>
                <w:color w:val="000000"/>
                <w:sz w:val="14"/>
              </w:rPr>
              <w:t>=1a+1b+3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33EADDC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44AE5D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860856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09EABCE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0D5CABE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20A45382" w14:textId="77777777">
        <w:trPr>
          <w:trHeight w:val="288"/>
        </w:trPr>
        <w:tc>
          <w:tcPr>
            <w:tcW w:w="1419" w:type="pct"/>
            <w:gridSpan w:val="2"/>
            <w:vMerge/>
            <w:tcBorders>
              <w:left w:val="single" w:sz="8" w:space="0" w:color="auto"/>
              <w:bottom w:val="single" w:sz="8" w:space="0" w:color="auto"/>
              <w:right w:val="single" w:sz="8" w:space="0" w:color="auto"/>
            </w:tcBorders>
            <w:vAlign w:val="center"/>
            <w:hideMark/>
          </w:tcPr>
          <w:p w14:paraId="00648C92" w14:textId="77777777" w:rsidR="00A27CF2" w:rsidRPr="00047543" w:rsidRDefault="00A27CF2">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2C71790F"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3"/>
            <w:tcBorders>
              <w:top w:val="single" w:sz="8" w:space="0" w:color="auto"/>
              <w:left w:val="nil"/>
              <w:bottom w:val="single" w:sz="8" w:space="0" w:color="auto"/>
              <w:right w:val="single" w:sz="8" w:space="0" w:color="auto"/>
            </w:tcBorders>
            <w:vAlign w:val="center"/>
            <w:hideMark/>
          </w:tcPr>
          <w:p w14:paraId="183DFAE3" w14:textId="77777777" w:rsidR="00A27CF2" w:rsidRPr="00047543" w:rsidRDefault="00A27CF2">
            <w:pPr>
              <w:spacing w:before="0" w:after="0"/>
              <w:jc w:val="center"/>
              <w:rPr>
                <w:noProof/>
                <w:color w:val="000000"/>
                <w:sz w:val="14"/>
                <w:szCs w:val="14"/>
              </w:rPr>
            </w:pPr>
            <w:r w:rsidRPr="00047543">
              <w:rPr>
                <w:noProof/>
                <w:color w:val="000000"/>
                <w:sz w:val="14"/>
              </w:rPr>
              <w:t>=2a+2b+3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CCE8E7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3B3B2C7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825998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0580017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tcBorders>
              <w:top w:val="nil"/>
              <w:left w:val="nil"/>
              <w:bottom w:val="single" w:sz="8" w:space="0" w:color="auto"/>
              <w:right w:val="single" w:sz="8" w:space="0" w:color="auto"/>
            </w:tcBorders>
            <w:shd w:val="clear" w:color="000000" w:fill="D9D9D9"/>
            <w:vAlign w:val="center"/>
            <w:hideMark/>
          </w:tcPr>
          <w:p w14:paraId="1AC55D9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9EAEEB6" w14:textId="77777777">
        <w:trPr>
          <w:trHeight w:val="300"/>
        </w:trPr>
        <w:tc>
          <w:tcPr>
            <w:tcW w:w="2432" w:type="pct"/>
            <w:gridSpan w:val="7"/>
            <w:vMerge w:val="restart"/>
            <w:tcBorders>
              <w:top w:val="single" w:sz="8" w:space="0" w:color="auto"/>
              <w:left w:val="single" w:sz="8" w:space="0" w:color="auto"/>
              <w:bottom w:val="single" w:sz="8" w:space="0" w:color="000000"/>
              <w:right w:val="single" w:sz="8" w:space="0" w:color="000000"/>
            </w:tcBorders>
            <w:vAlign w:val="center"/>
            <w:hideMark/>
          </w:tcPr>
          <w:p w14:paraId="1C9F6490" w14:textId="77777777" w:rsidR="00A27CF2" w:rsidRPr="00047543" w:rsidRDefault="00A27CF2">
            <w:pPr>
              <w:spacing w:before="0" w:after="0"/>
              <w:jc w:val="center"/>
              <w:rPr>
                <w:b/>
                <w:bCs/>
                <w:noProof/>
                <w:color w:val="000000"/>
                <w:sz w:val="22"/>
              </w:rPr>
            </w:pPr>
            <w:r w:rsidRPr="00047543">
              <w:rPr>
                <w:b/>
                <w:noProof/>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29E1B8DD"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2"/>
            <w:tcBorders>
              <w:top w:val="single" w:sz="8" w:space="0" w:color="auto"/>
              <w:left w:val="nil"/>
              <w:bottom w:val="single" w:sz="8" w:space="0" w:color="auto"/>
              <w:right w:val="single" w:sz="8" w:space="0" w:color="auto"/>
            </w:tcBorders>
            <w:vAlign w:val="center"/>
            <w:hideMark/>
          </w:tcPr>
          <w:p w14:paraId="537DB3E0"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2"/>
            <w:tcBorders>
              <w:top w:val="single" w:sz="8" w:space="0" w:color="auto"/>
              <w:left w:val="nil"/>
              <w:bottom w:val="single" w:sz="8" w:space="0" w:color="auto"/>
              <w:right w:val="single" w:sz="8" w:space="0" w:color="auto"/>
            </w:tcBorders>
            <w:vAlign w:val="center"/>
            <w:hideMark/>
          </w:tcPr>
          <w:p w14:paraId="186A7E0E"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2"/>
            <w:tcBorders>
              <w:top w:val="single" w:sz="8" w:space="0" w:color="auto"/>
              <w:left w:val="nil"/>
              <w:bottom w:val="single" w:sz="8" w:space="0" w:color="auto"/>
              <w:right w:val="single" w:sz="8" w:space="0" w:color="auto"/>
            </w:tcBorders>
            <w:vAlign w:val="center"/>
            <w:hideMark/>
          </w:tcPr>
          <w:p w14:paraId="4872A538"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71392FC8"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378517E1" w14:textId="77777777">
        <w:trPr>
          <w:trHeight w:val="300"/>
        </w:trPr>
        <w:tc>
          <w:tcPr>
            <w:tcW w:w="2432" w:type="pct"/>
            <w:gridSpan w:val="7"/>
            <w:vMerge/>
            <w:tcBorders>
              <w:top w:val="single" w:sz="8" w:space="0" w:color="auto"/>
              <w:left w:val="single" w:sz="8" w:space="0" w:color="auto"/>
              <w:bottom w:val="single" w:sz="8" w:space="0" w:color="000000"/>
              <w:right w:val="single" w:sz="8" w:space="0" w:color="000000"/>
            </w:tcBorders>
            <w:vAlign w:val="center"/>
            <w:hideMark/>
          </w:tcPr>
          <w:p w14:paraId="04D49B0E" w14:textId="77777777" w:rsidR="00A27CF2" w:rsidRPr="00047543" w:rsidRDefault="00A27CF2">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6B4D20E1"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93" w:type="pct"/>
            <w:gridSpan w:val="2"/>
            <w:tcBorders>
              <w:top w:val="nil"/>
              <w:left w:val="nil"/>
              <w:bottom w:val="single" w:sz="8" w:space="0" w:color="auto"/>
              <w:right w:val="single" w:sz="8" w:space="0" w:color="auto"/>
            </w:tcBorders>
            <w:vAlign w:val="center"/>
            <w:hideMark/>
          </w:tcPr>
          <w:p w14:paraId="08F34BCE"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78AFDF3F"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93" w:type="pct"/>
            <w:gridSpan w:val="2"/>
            <w:tcBorders>
              <w:top w:val="nil"/>
              <w:left w:val="nil"/>
              <w:bottom w:val="single" w:sz="8" w:space="0" w:color="auto"/>
              <w:right w:val="single" w:sz="8" w:space="0" w:color="auto"/>
            </w:tcBorders>
            <w:vAlign w:val="center"/>
            <w:hideMark/>
          </w:tcPr>
          <w:p w14:paraId="0E1463AF"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3F40E45A" w14:textId="77777777" w:rsidR="00A27CF2" w:rsidRPr="00047543" w:rsidRDefault="00A27CF2">
            <w:pPr>
              <w:spacing w:before="0" w:after="0"/>
              <w:jc w:val="left"/>
              <w:rPr>
                <w:b/>
                <w:bCs/>
                <w:noProof/>
                <w:color w:val="000000"/>
                <w:sz w:val="20"/>
                <w:szCs w:val="20"/>
                <w:lang w:eastAsia="en-IE"/>
              </w:rPr>
            </w:pPr>
          </w:p>
        </w:tc>
      </w:tr>
      <w:tr w:rsidR="00A27CF2" w:rsidRPr="00047543" w14:paraId="363E8F32" w14:textId="77777777">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14:paraId="07F1DBA6" w14:textId="77777777" w:rsidR="00A27CF2" w:rsidRPr="00047543" w:rsidRDefault="00A27CF2">
            <w:pPr>
              <w:spacing w:before="0" w:after="0"/>
              <w:rPr>
                <w:noProof/>
                <w:color w:val="000000"/>
                <w:sz w:val="21"/>
                <w:szCs w:val="21"/>
              </w:rPr>
            </w:pPr>
            <w:r w:rsidRPr="00047543">
              <w:rPr>
                <w:noProof/>
                <w:color w:val="000000"/>
                <w:sz w:val="21"/>
              </w:rPr>
              <w:t xml:space="preserve">TOTALA driftsanslag </w:t>
            </w:r>
            <w:r w:rsidRPr="00047543">
              <w:rPr>
                <w:noProof/>
              </w:rPr>
              <w:t xml:space="preserve"> </w:t>
            </w:r>
            <w:r w:rsidRPr="00047543">
              <w:rPr>
                <w:noProof/>
              </w:rPr>
              <w:cr/>
            </w:r>
            <w:r w:rsidRPr="00047543">
              <w:rPr>
                <w:noProof/>
              </w:rPr>
              <w:br/>
            </w:r>
          </w:p>
        </w:tc>
        <w:tc>
          <w:tcPr>
            <w:tcW w:w="529" w:type="pct"/>
            <w:gridSpan w:val="3"/>
            <w:tcBorders>
              <w:top w:val="nil"/>
              <w:left w:val="nil"/>
              <w:bottom w:val="single" w:sz="8" w:space="0" w:color="auto"/>
              <w:right w:val="single" w:sz="8" w:space="0" w:color="auto"/>
            </w:tcBorders>
            <w:vAlign w:val="center"/>
            <w:hideMark/>
          </w:tcPr>
          <w:p w14:paraId="648418AA"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2" w:type="pct"/>
            <w:gridSpan w:val="3"/>
            <w:tcBorders>
              <w:top w:val="single" w:sz="8" w:space="0" w:color="auto"/>
              <w:left w:val="nil"/>
              <w:bottom w:val="single" w:sz="8" w:space="0" w:color="auto"/>
              <w:right w:val="single" w:sz="8" w:space="0" w:color="auto"/>
            </w:tcBorders>
            <w:vAlign w:val="center"/>
            <w:hideMark/>
          </w:tcPr>
          <w:p w14:paraId="3AB315CA" w14:textId="77777777" w:rsidR="00A27CF2" w:rsidRPr="00047543" w:rsidRDefault="00A27CF2">
            <w:pPr>
              <w:spacing w:before="0" w:after="0"/>
              <w:jc w:val="center"/>
              <w:rPr>
                <w:noProof/>
                <w:color w:val="000000"/>
                <w:sz w:val="14"/>
                <w:szCs w:val="14"/>
              </w:rPr>
            </w:pPr>
            <w:r w:rsidRPr="00047543">
              <w:rPr>
                <w:noProof/>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357ACAB"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587DE22"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861992A"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33DBFCB"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62F398E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6BE3F5B" w14:textId="77777777">
        <w:trPr>
          <w:trHeight w:val="456"/>
        </w:trPr>
        <w:tc>
          <w:tcPr>
            <w:tcW w:w="1411" w:type="pct"/>
            <w:vMerge/>
            <w:tcBorders>
              <w:top w:val="nil"/>
              <w:left w:val="single" w:sz="8" w:space="0" w:color="auto"/>
              <w:bottom w:val="single" w:sz="8" w:space="0" w:color="auto"/>
              <w:right w:val="single" w:sz="8" w:space="0" w:color="auto"/>
            </w:tcBorders>
            <w:vAlign w:val="center"/>
            <w:hideMark/>
          </w:tcPr>
          <w:p w14:paraId="19083580" w14:textId="77777777" w:rsidR="00A27CF2" w:rsidRPr="00047543" w:rsidRDefault="00A27CF2">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vAlign w:val="center"/>
            <w:hideMark/>
          </w:tcPr>
          <w:p w14:paraId="6AF93C26"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2" w:type="pct"/>
            <w:gridSpan w:val="3"/>
            <w:tcBorders>
              <w:top w:val="single" w:sz="8" w:space="0" w:color="auto"/>
              <w:left w:val="nil"/>
              <w:bottom w:val="single" w:sz="8" w:space="0" w:color="auto"/>
              <w:right w:val="single" w:sz="8" w:space="0" w:color="auto"/>
            </w:tcBorders>
            <w:vAlign w:val="center"/>
            <w:hideMark/>
          </w:tcPr>
          <w:p w14:paraId="76857709" w14:textId="77777777" w:rsidR="00A27CF2" w:rsidRPr="00047543" w:rsidRDefault="00A27CF2">
            <w:pPr>
              <w:spacing w:before="0" w:after="0"/>
              <w:jc w:val="center"/>
              <w:rPr>
                <w:noProof/>
                <w:color w:val="000000"/>
                <w:sz w:val="14"/>
                <w:szCs w:val="14"/>
              </w:rPr>
            </w:pPr>
            <w:r w:rsidRPr="00047543">
              <w:rPr>
                <w:noProof/>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9349093"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09B3E6D"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EB6D283"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6B6A942"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8880F4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DF6A191" w14:textId="77777777">
        <w:trPr>
          <w:trHeight w:val="924"/>
        </w:trPr>
        <w:tc>
          <w:tcPr>
            <w:tcW w:w="1939" w:type="pct"/>
            <w:gridSpan w:val="4"/>
            <w:tcBorders>
              <w:top w:val="single" w:sz="8" w:space="0" w:color="auto"/>
              <w:left w:val="single" w:sz="8" w:space="0" w:color="auto"/>
              <w:bottom w:val="single" w:sz="8" w:space="0" w:color="auto"/>
              <w:right w:val="single" w:sz="8" w:space="0" w:color="auto"/>
            </w:tcBorders>
            <w:vAlign w:val="center"/>
            <w:hideMark/>
          </w:tcPr>
          <w:p w14:paraId="1B913A96" w14:textId="77777777" w:rsidR="00A27CF2" w:rsidRPr="00047543" w:rsidRDefault="00A27CF2">
            <w:pPr>
              <w:spacing w:before="0" w:after="0"/>
              <w:rPr>
                <w:noProof/>
                <w:color w:val="000000"/>
                <w:sz w:val="21"/>
                <w:szCs w:val="21"/>
              </w:rPr>
            </w:pPr>
            <w:r w:rsidRPr="00047543">
              <w:rPr>
                <w:noProof/>
                <w:color w:val="000000"/>
                <w:sz w:val="21"/>
              </w:rPr>
              <w:t xml:space="preserve">TOTALA anslag av administrativ natur som finansieras genom ramanslagen för särskilda program </w:t>
            </w:r>
          </w:p>
        </w:tc>
        <w:tc>
          <w:tcPr>
            <w:tcW w:w="492" w:type="pct"/>
            <w:gridSpan w:val="3"/>
            <w:tcBorders>
              <w:top w:val="single" w:sz="8" w:space="0" w:color="auto"/>
              <w:left w:val="nil"/>
              <w:bottom w:val="single" w:sz="8" w:space="0" w:color="auto"/>
              <w:right w:val="single" w:sz="8" w:space="0" w:color="auto"/>
            </w:tcBorders>
            <w:vAlign w:val="center"/>
            <w:hideMark/>
          </w:tcPr>
          <w:p w14:paraId="2D814CA2" w14:textId="77777777" w:rsidR="00A27CF2" w:rsidRPr="00047543" w:rsidRDefault="00A27CF2">
            <w:pPr>
              <w:spacing w:before="0" w:after="0"/>
              <w:jc w:val="center"/>
              <w:rPr>
                <w:noProof/>
                <w:color w:val="000000"/>
                <w:sz w:val="14"/>
                <w:szCs w:val="14"/>
              </w:rPr>
            </w:pPr>
            <w:r w:rsidRPr="00047543">
              <w:rPr>
                <w:noProof/>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465A8E9"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B0DC61D"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A762DB6"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2C47D86"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71078C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4D71106" w14:textId="77777777">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39A11CC1" w14:textId="77777777" w:rsidR="00A27CF2" w:rsidRPr="00047543" w:rsidRDefault="00A27CF2">
            <w:pPr>
              <w:spacing w:before="0" w:after="0"/>
              <w:jc w:val="center"/>
              <w:rPr>
                <w:b/>
                <w:bCs/>
                <w:noProof/>
                <w:color w:val="000000"/>
                <w:sz w:val="22"/>
              </w:rPr>
            </w:pPr>
            <w:r w:rsidRPr="00047543">
              <w:rPr>
                <w:b/>
                <w:noProof/>
                <w:color w:val="000000"/>
                <w:sz w:val="22"/>
              </w:rPr>
              <w:t>TOTALA anslag för RUBRIK &lt;….&gt;</w:t>
            </w:r>
          </w:p>
        </w:tc>
        <w:tc>
          <w:tcPr>
            <w:tcW w:w="529" w:type="pct"/>
            <w:gridSpan w:val="3"/>
            <w:tcBorders>
              <w:top w:val="nil"/>
              <w:left w:val="nil"/>
              <w:bottom w:val="single" w:sz="8" w:space="0" w:color="auto"/>
              <w:right w:val="single" w:sz="8" w:space="0" w:color="auto"/>
            </w:tcBorders>
            <w:vAlign w:val="center"/>
            <w:hideMark/>
          </w:tcPr>
          <w:p w14:paraId="74D8F339"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2" w:type="pct"/>
            <w:gridSpan w:val="3"/>
            <w:tcBorders>
              <w:top w:val="single" w:sz="8" w:space="0" w:color="auto"/>
              <w:left w:val="nil"/>
              <w:bottom w:val="single" w:sz="8" w:space="0" w:color="auto"/>
              <w:right w:val="single" w:sz="8" w:space="0" w:color="auto"/>
            </w:tcBorders>
            <w:vAlign w:val="center"/>
            <w:hideMark/>
          </w:tcPr>
          <w:p w14:paraId="41F7CD1D" w14:textId="77777777" w:rsidR="00A27CF2" w:rsidRPr="00047543" w:rsidRDefault="00A27CF2">
            <w:pPr>
              <w:spacing w:before="0" w:after="0"/>
              <w:jc w:val="center"/>
              <w:rPr>
                <w:noProof/>
                <w:color w:val="000000"/>
                <w:sz w:val="14"/>
                <w:szCs w:val="14"/>
              </w:rPr>
            </w:pPr>
            <w:r w:rsidRPr="00047543">
              <w:rPr>
                <w:noProof/>
                <w:color w:val="000000"/>
                <w:sz w:val="14"/>
              </w:rPr>
              <w:t>=4+6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A84B1A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FA0C8A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63FBA1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5D1E58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05E831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AFE314E" w14:textId="77777777">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39B4D198" w14:textId="77777777" w:rsidR="00A27CF2" w:rsidRPr="00047543" w:rsidRDefault="00A27CF2">
            <w:pPr>
              <w:spacing w:before="0" w:after="0"/>
              <w:jc w:val="center"/>
              <w:rPr>
                <w:noProof/>
                <w:color w:val="000000"/>
                <w:sz w:val="22"/>
              </w:rPr>
            </w:pPr>
            <w:r w:rsidRPr="00047543">
              <w:rPr>
                <w:noProof/>
                <w:color w:val="000000"/>
                <w:sz w:val="22"/>
              </w:rPr>
              <w:t>i den fleråriga budgetramen</w:t>
            </w:r>
          </w:p>
        </w:tc>
        <w:tc>
          <w:tcPr>
            <w:tcW w:w="529" w:type="pct"/>
            <w:gridSpan w:val="3"/>
            <w:tcBorders>
              <w:top w:val="nil"/>
              <w:left w:val="nil"/>
              <w:bottom w:val="single" w:sz="8" w:space="0" w:color="auto"/>
              <w:right w:val="single" w:sz="8" w:space="0" w:color="auto"/>
            </w:tcBorders>
            <w:vAlign w:val="center"/>
            <w:hideMark/>
          </w:tcPr>
          <w:p w14:paraId="68D999D2"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2" w:type="pct"/>
            <w:gridSpan w:val="3"/>
            <w:tcBorders>
              <w:top w:val="single" w:sz="8" w:space="0" w:color="auto"/>
              <w:left w:val="nil"/>
              <w:bottom w:val="single" w:sz="8" w:space="0" w:color="auto"/>
              <w:right w:val="single" w:sz="8" w:space="0" w:color="auto"/>
            </w:tcBorders>
            <w:vAlign w:val="center"/>
            <w:hideMark/>
          </w:tcPr>
          <w:p w14:paraId="7EEEF2D0" w14:textId="77777777" w:rsidR="00A27CF2" w:rsidRPr="00047543" w:rsidRDefault="00A27CF2">
            <w:pPr>
              <w:spacing w:before="0" w:after="0"/>
              <w:jc w:val="center"/>
              <w:rPr>
                <w:noProof/>
                <w:color w:val="000000"/>
                <w:sz w:val="14"/>
                <w:szCs w:val="14"/>
              </w:rPr>
            </w:pPr>
            <w:r w:rsidRPr="00047543">
              <w:rPr>
                <w:noProof/>
                <w:color w:val="000000"/>
                <w:sz w:val="14"/>
              </w:rPr>
              <w:t>=5+6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FE61A7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992E9E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423269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38D58F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09B905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65097BCE"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739" w:type="pct"/>
            <w:gridSpan w:val="3"/>
            <w:shd w:val="thinDiagStripe" w:color="C0C0C0" w:fill="auto"/>
            <w:vAlign w:val="center"/>
          </w:tcPr>
          <w:p w14:paraId="7D8F60D1" w14:textId="77777777" w:rsidR="00A27CF2" w:rsidRPr="00047543" w:rsidRDefault="00A27CF2">
            <w:pPr>
              <w:spacing w:before="60" w:after="60"/>
              <w:jc w:val="center"/>
              <w:rPr>
                <w:b/>
                <w:noProof/>
              </w:rPr>
            </w:pPr>
            <w:r w:rsidRPr="00047543">
              <w:rPr>
                <w:b/>
                <w:noProof/>
                <w:sz w:val="22"/>
              </w:rPr>
              <w:t xml:space="preserve">Rubrik i den fleråriga budgetramen </w:t>
            </w:r>
          </w:p>
        </w:tc>
        <w:tc>
          <w:tcPr>
            <w:tcW w:w="396" w:type="pct"/>
            <w:gridSpan w:val="3"/>
            <w:vAlign w:val="center"/>
          </w:tcPr>
          <w:p w14:paraId="008225B2" w14:textId="77777777" w:rsidR="00A27CF2" w:rsidRPr="00047543" w:rsidRDefault="00A27CF2">
            <w:pPr>
              <w:spacing w:before="60" w:after="60"/>
              <w:jc w:val="center"/>
              <w:rPr>
                <w:noProof/>
              </w:rPr>
            </w:pPr>
            <w:r w:rsidRPr="00047543">
              <w:rPr>
                <w:noProof/>
                <w:sz w:val="22"/>
              </w:rPr>
              <w:t>Nummer</w:t>
            </w:r>
          </w:p>
        </w:tc>
        <w:tc>
          <w:tcPr>
            <w:tcW w:w="2865" w:type="pct"/>
            <w:gridSpan w:val="11"/>
            <w:vAlign w:val="center"/>
          </w:tcPr>
          <w:p w14:paraId="1BECC335" w14:textId="77777777" w:rsidR="00A27CF2" w:rsidRPr="00047543" w:rsidRDefault="00A27CF2">
            <w:pPr>
              <w:spacing w:before="60" w:after="60"/>
              <w:rPr>
                <w:noProof/>
              </w:rPr>
            </w:pPr>
          </w:p>
        </w:tc>
      </w:tr>
    </w:tbl>
    <w:p w14:paraId="37DF71FA" w14:textId="77777777" w:rsidR="00A27CF2" w:rsidRPr="00047543" w:rsidRDefault="00A27CF2" w:rsidP="00A27CF2">
      <w:pPr>
        <w:spacing w:before="0" w:after="200" w:line="276" w:lineRule="auto"/>
        <w:jc w:val="left"/>
        <w:rPr>
          <w:noProof/>
          <w:sz w:val="16"/>
        </w:rPr>
      </w:pPr>
    </w:p>
    <w:tbl>
      <w:tblPr>
        <w:tblW w:w="5000" w:type="pct"/>
        <w:tblLook w:val="04A0" w:firstRow="1" w:lastRow="0" w:firstColumn="1" w:lastColumn="0" w:noHBand="0" w:noVBand="1"/>
      </w:tblPr>
      <w:tblGrid>
        <w:gridCol w:w="4014"/>
        <w:gridCol w:w="21"/>
        <w:gridCol w:w="293"/>
        <w:gridCol w:w="1190"/>
        <w:gridCol w:w="21"/>
        <w:gridCol w:w="128"/>
        <w:gridCol w:w="1038"/>
        <w:gridCol w:w="212"/>
        <w:gridCol w:w="33"/>
        <w:gridCol w:w="796"/>
        <w:gridCol w:w="573"/>
        <w:gridCol w:w="42"/>
        <w:gridCol w:w="628"/>
        <w:gridCol w:w="732"/>
        <w:gridCol w:w="51"/>
        <w:gridCol w:w="460"/>
        <w:gridCol w:w="891"/>
        <w:gridCol w:w="60"/>
        <w:gridCol w:w="292"/>
        <w:gridCol w:w="1050"/>
        <w:gridCol w:w="17"/>
        <w:gridCol w:w="176"/>
        <w:gridCol w:w="1502"/>
      </w:tblGrid>
      <w:tr w:rsidR="00A27CF2" w:rsidRPr="00047543" w14:paraId="3A3D926B" w14:textId="77777777">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vAlign w:val="center"/>
            <w:hideMark/>
          </w:tcPr>
          <w:p w14:paraId="122467C7" w14:textId="77777777" w:rsidR="00A27CF2" w:rsidRPr="00047543" w:rsidRDefault="00A27CF2">
            <w:pPr>
              <w:spacing w:before="0" w:after="0"/>
              <w:jc w:val="center"/>
              <w:rPr>
                <w:noProof/>
                <w:color w:val="000000"/>
                <w:sz w:val="22"/>
              </w:rPr>
            </w:pPr>
            <w:r w:rsidRPr="00047543">
              <w:rPr>
                <w:noProof/>
                <w:color w:val="000000"/>
                <w:sz w:val="22"/>
              </w:rPr>
              <w:t>GD: &lt;…….&gt;</w:t>
            </w:r>
          </w:p>
        </w:tc>
        <w:tc>
          <w:tcPr>
            <w:tcW w:w="496" w:type="pct"/>
            <w:gridSpan w:val="3"/>
            <w:tcBorders>
              <w:top w:val="single" w:sz="8" w:space="0" w:color="auto"/>
              <w:left w:val="nil"/>
              <w:bottom w:val="single" w:sz="8" w:space="0" w:color="auto"/>
              <w:right w:val="single" w:sz="8" w:space="0" w:color="auto"/>
            </w:tcBorders>
            <w:vAlign w:val="center"/>
            <w:hideMark/>
          </w:tcPr>
          <w:p w14:paraId="19ADFC9C"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3"/>
            <w:tcBorders>
              <w:top w:val="single" w:sz="8" w:space="0" w:color="auto"/>
              <w:left w:val="nil"/>
              <w:bottom w:val="single" w:sz="8" w:space="0" w:color="auto"/>
              <w:right w:val="single" w:sz="8" w:space="0" w:color="auto"/>
            </w:tcBorders>
            <w:vAlign w:val="center"/>
            <w:hideMark/>
          </w:tcPr>
          <w:p w14:paraId="42C0B2CE"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3"/>
            <w:tcBorders>
              <w:top w:val="single" w:sz="8" w:space="0" w:color="auto"/>
              <w:left w:val="nil"/>
              <w:bottom w:val="single" w:sz="8" w:space="0" w:color="auto"/>
              <w:right w:val="single" w:sz="8" w:space="0" w:color="auto"/>
            </w:tcBorders>
            <w:vAlign w:val="center"/>
            <w:hideMark/>
          </w:tcPr>
          <w:p w14:paraId="75986345"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78" w:type="pct"/>
            <w:gridSpan w:val="3"/>
            <w:tcBorders>
              <w:top w:val="single" w:sz="8" w:space="0" w:color="auto"/>
              <w:left w:val="nil"/>
              <w:bottom w:val="single" w:sz="8" w:space="0" w:color="auto"/>
              <w:right w:val="single" w:sz="8" w:space="0" w:color="auto"/>
            </w:tcBorders>
            <w:vAlign w:val="center"/>
            <w:hideMark/>
          </w:tcPr>
          <w:p w14:paraId="7225577B"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90"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1D9A0EFC"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36A3608C" w14:textId="77777777">
        <w:trPr>
          <w:trHeight w:val="288"/>
        </w:trPr>
        <w:tc>
          <w:tcPr>
            <w:tcW w:w="2444" w:type="pct"/>
            <w:gridSpan w:val="9"/>
            <w:vMerge/>
            <w:vAlign w:val="center"/>
            <w:hideMark/>
          </w:tcPr>
          <w:p w14:paraId="6726E78A" w14:textId="77777777" w:rsidR="00A27CF2" w:rsidRPr="00047543" w:rsidRDefault="00A27CF2">
            <w:pPr>
              <w:spacing w:before="0" w:after="0"/>
              <w:jc w:val="left"/>
              <w:rPr>
                <w:noProof/>
                <w:color w:val="000000"/>
                <w:sz w:val="22"/>
                <w:lang w:eastAsia="en-IE"/>
              </w:rPr>
            </w:pPr>
          </w:p>
        </w:tc>
        <w:tc>
          <w:tcPr>
            <w:tcW w:w="496" w:type="pct"/>
            <w:gridSpan w:val="3"/>
            <w:tcBorders>
              <w:top w:val="nil"/>
              <w:left w:val="nil"/>
              <w:bottom w:val="single" w:sz="8" w:space="0" w:color="auto"/>
              <w:right w:val="single" w:sz="8" w:space="0" w:color="auto"/>
            </w:tcBorders>
            <w:vAlign w:val="center"/>
            <w:hideMark/>
          </w:tcPr>
          <w:p w14:paraId="5A8D7CB6"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96" w:type="pct"/>
            <w:gridSpan w:val="3"/>
            <w:tcBorders>
              <w:top w:val="nil"/>
              <w:left w:val="nil"/>
              <w:bottom w:val="single" w:sz="8" w:space="0" w:color="auto"/>
              <w:right w:val="single" w:sz="8" w:space="0" w:color="auto"/>
            </w:tcBorders>
            <w:vAlign w:val="center"/>
            <w:hideMark/>
          </w:tcPr>
          <w:p w14:paraId="00F63B52"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96" w:type="pct"/>
            <w:gridSpan w:val="3"/>
            <w:tcBorders>
              <w:top w:val="nil"/>
              <w:left w:val="nil"/>
              <w:bottom w:val="single" w:sz="8" w:space="0" w:color="auto"/>
              <w:right w:val="single" w:sz="8" w:space="0" w:color="auto"/>
            </w:tcBorders>
            <w:vAlign w:val="center"/>
            <w:hideMark/>
          </w:tcPr>
          <w:p w14:paraId="014E6D2B"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78" w:type="pct"/>
            <w:gridSpan w:val="3"/>
            <w:tcBorders>
              <w:top w:val="nil"/>
              <w:left w:val="nil"/>
              <w:bottom w:val="single" w:sz="8" w:space="0" w:color="auto"/>
              <w:right w:val="single" w:sz="8" w:space="0" w:color="auto"/>
            </w:tcBorders>
            <w:vAlign w:val="center"/>
            <w:hideMark/>
          </w:tcPr>
          <w:p w14:paraId="38BEBCD3"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90" w:type="pct"/>
            <w:gridSpan w:val="2"/>
            <w:vMerge/>
            <w:vAlign w:val="center"/>
            <w:hideMark/>
          </w:tcPr>
          <w:p w14:paraId="085EC475" w14:textId="77777777" w:rsidR="00A27CF2" w:rsidRPr="00047543" w:rsidRDefault="00A27CF2">
            <w:pPr>
              <w:spacing w:before="0" w:after="0"/>
              <w:jc w:val="left"/>
              <w:rPr>
                <w:b/>
                <w:bCs/>
                <w:noProof/>
                <w:color w:val="000000"/>
                <w:sz w:val="20"/>
                <w:szCs w:val="20"/>
                <w:lang w:eastAsia="en-IE"/>
              </w:rPr>
            </w:pPr>
          </w:p>
        </w:tc>
      </w:tr>
      <w:tr w:rsidR="00A27CF2" w:rsidRPr="00047543" w14:paraId="1C6F9279" w14:textId="77777777">
        <w:trPr>
          <w:trHeight w:val="300"/>
        </w:trPr>
        <w:tc>
          <w:tcPr>
            <w:tcW w:w="5000" w:type="pct"/>
            <w:gridSpan w:val="23"/>
            <w:tcBorders>
              <w:top w:val="single" w:sz="8" w:space="0" w:color="auto"/>
              <w:left w:val="single" w:sz="8" w:space="0" w:color="auto"/>
              <w:bottom w:val="single" w:sz="8" w:space="0" w:color="auto"/>
              <w:right w:val="single" w:sz="8" w:space="0" w:color="auto"/>
            </w:tcBorders>
            <w:vAlign w:val="center"/>
            <w:hideMark/>
          </w:tcPr>
          <w:p w14:paraId="34BB9C7F" w14:textId="77777777" w:rsidR="00A27CF2" w:rsidRPr="00047543" w:rsidRDefault="00A27CF2">
            <w:pPr>
              <w:spacing w:before="0" w:after="0"/>
              <w:jc w:val="left"/>
              <w:rPr>
                <w:noProof/>
                <w:color w:val="000000"/>
                <w:sz w:val="21"/>
                <w:szCs w:val="21"/>
              </w:rPr>
            </w:pPr>
            <w:r w:rsidRPr="00047543">
              <w:rPr>
                <w:noProof/>
                <w:color w:val="000000"/>
                <w:sz w:val="21"/>
              </w:rPr>
              <w:t xml:space="preserve">Driftsanslag </w:t>
            </w:r>
          </w:p>
        </w:tc>
      </w:tr>
      <w:tr w:rsidR="00A27CF2" w:rsidRPr="00047543" w14:paraId="604F5E63" w14:textId="77777777">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7F52F9BB" w14:textId="77777777" w:rsidR="00A27CF2" w:rsidRPr="00047543" w:rsidRDefault="00A27CF2">
            <w:pPr>
              <w:spacing w:before="0" w:after="0"/>
              <w:jc w:val="left"/>
              <w:rPr>
                <w:noProof/>
                <w:color w:val="000000"/>
                <w:sz w:val="22"/>
              </w:rPr>
            </w:pPr>
            <w:r w:rsidRPr="00047543">
              <w:rPr>
                <w:noProof/>
                <w:color w:val="000000"/>
                <w:sz w:val="22"/>
              </w:rPr>
              <w:t>Budgetpost</w:t>
            </w:r>
          </w:p>
        </w:tc>
        <w:tc>
          <w:tcPr>
            <w:tcW w:w="529" w:type="pct"/>
            <w:gridSpan w:val="3"/>
            <w:tcBorders>
              <w:top w:val="nil"/>
              <w:left w:val="nil"/>
              <w:bottom w:val="single" w:sz="8" w:space="0" w:color="auto"/>
              <w:right w:val="single" w:sz="8" w:space="0" w:color="auto"/>
            </w:tcBorders>
            <w:vAlign w:val="center"/>
            <w:hideMark/>
          </w:tcPr>
          <w:p w14:paraId="2D43699B"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4"/>
            <w:tcBorders>
              <w:top w:val="single" w:sz="8" w:space="0" w:color="auto"/>
              <w:left w:val="nil"/>
              <w:bottom w:val="single" w:sz="8" w:space="0" w:color="auto"/>
              <w:right w:val="single" w:sz="8" w:space="0" w:color="auto"/>
            </w:tcBorders>
            <w:vAlign w:val="center"/>
            <w:hideMark/>
          </w:tcPr>
          <w:p w14:paraId="0E371DBA" w14:textId="77777777" w:rsidR="00A27CF2" w:rsidRPr="00047543" w:rsidRDefault="00A27CF2">
            <w:pPr>
              <w:spacing w:before="0" w:after="0"/>
              <w:jc w:val="center"/>
              <w:rPr>
                <w:noProof/>
                <w:color w:val="000000"/>
                <w:sz w:val="14"/>
                <w:szCs w:val="14"/>
              </w:rPr>
            </w:pPr>
            <w:r w:rsidRPr="00047543">
              <w:rPr>
                <w:noProof/>
                <w:color w:val="000000"/>
                <w:sz w:val="14"/>
              </w:rPr>
              <w:t>(1a)</w:t>
            </w:r>
          </w:p>
        </w:tc>
        <w:tc>
          <w:tcPr>
            <w:tcW w:w="496" w:type="pct"/>
            <w:gridSpan w:val="3"/>
            <w:tcBorders>
              <w:top w:val="nil"/>
              <w:left w:val="nil"/>
              <w:bottom w:val="single" w:sz="8" w:space="0" w:color="auto"/>
              <w:right w:val="single" w:sz="8" w:space="0" w:color="auto"/>
            </w:tcBorders>
            <w:vAlign w:val="center"/>
            <w:hideMark/>
          </w:tcPr>
          <w:p w14:paraId="737C27CF"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7D1015B9"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6D1E5F34"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4137379D"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E5D674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BC08126" w14:textId="77777777">
        <w:trPr>
          <w:trHeight w:val="315"/>
        </w:trPr>
        <w:tc>
          <w:tcPr>
            <w:tcW w:w="1419" w:type="pct"/>
            <w:gridSpan w:val="2"/>
            <w:vMerge/>
            <w:vAlign w:val="center"/>
            <w:hideMark/>
          </w:tcPr>
          <w:p w14:paraId="5FE4EF47" w14:textId="77777777" w:rsidR="00A27CF2" w:rsidRPr="00047543" w:rsidRDefault="00A27CF2">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6CBC6589"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4"/>
            <w:tcBorders>
              <w:top w:val="single" w:sz="8" w:space="0" w:color="auto"/>
              <w:left w:val="nil"/>
              <w:bottom w:val="single" w:sz="8" w:space="0" w:color="auto"/>
              <w:right w:val="single" w:sz="8" w:space="0" w:color="auto"/>
            </w:tcBorders>
            <w:vAlign w:val="center"/>
            <w:hideMark/>
          </w:tcPr>
          <w:p w14:paraId="12902472" w14:textId="77777777" w:rsidR="00A27CF2" w:rsidRPr="00047543" w:rsidRDefault="00A27CF2">
            <w:pPr>
              <w:spacing w:before="0" w:after="0"/>
              <w:jc w:val="center"/>
              <w:rPr>
                <w:noProof/>
                <w:color w:val="000000"/>
                <w:sz w:val="14"/>
                <w:szCs w:val="14"/>
              </w:rPr>
            </w:pPr>
            <w:r w:rsidRPr="00047543">
              <w:rPr>
                <w:noProof/>
                <w:color w:val="000000"/>
                <w:sz w:val="14"/>
              </w:rPr>
              <w:t>(2a)</w:t>
            </w:r>
          </w:p>
        </w:tc>
        <w:tc>
          <w:tcPr>
            <w:tcW w:w="496" w:type="pct"/>
            <w:gridSpan w:val="3"/>
            <w:tcBorders>
              <w:top w:val="nil"/>
              <w:left w:val="nil"/>
              <w:bottom w:val="single" w:sz="8" w:space="0" w:color="auto"/>
              <w:right w:val="single" w:sz="8" w:space="0" w:color="auto"/>
            </w:tcBorders>
            <w:vAlign w:val="center"/>
            <w:hideMark/>
          </w:tcPr>
          <w:p w14:paraId="3ED2DDA4"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3A8DA73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675472C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2DC4CE1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7222CA8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2031AB1C" w14:textId="77777777">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63275C0E"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3"/>
            <w:tcBorders>
              <w:top w:val="nil"/>
              <w:left w:val="nil"/>
              <w:bottom w:val="single" w:sz="8" w:space="0" w:color="auto"/>
              <w:right w:val="single" w:sz="8" w:space="0" w:color="auto"/>
            </w:tcBorders>
            <w:vAlign w:val="center"/>
            <w:hideMark/>
          </w:tcPr>
          <w:p w14:paraId="78036956"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4"/>
            <w:tcBorders>
              <w:top w:val="single" w:sz="8" w:space="0" w:color="auto"/>
              <w:left w:val="nil"/>
              <w:bottom w:val="single" w:sz="8" w:space="0" w:color="auto"/>
              <w:right w:val="single" w:sz="8" w:space="0" w:color="auto"/>
            </w:tcBorders>
            <w:vAlign w:val="center"/>
            <w:hideMark/>
          </w:tcPr>
          <w:p w14:paraId="35ED09CB" w14:textId="77777777" w:rsidR="00A27CF2" w:rsidRPr="00047543" w:rsidRDefault="00A27CF2">
            <w:pPr>
              <w:spacing w:before="0" w:after="0"/>
              <w:jc w:val="center"/>
              <w:rPr>
                <w:noProof/>
                <w:color w:val="000000"/>
                <w:sz w:val="14"/>
                <w:szCs w:val="14"/>
              </w:rPr>
            </w:pPr>
            <w:r w:rsidRPr="00047543">
              <w:rPr>
                <w:noProof/>
                <w:color w:val="000000"/>
                <w:sz w:val="14"/>
              </w:rPr>
              <w:t>(1b)</w:t>
            </w:r>
          </w:p>
        </w:tc>
        <w:tc>
          <w:tcPr>
            <w:tcW w:w="496" w:type="pct"/>
            <w:gridSpan w:val="3"/>
            <w:tcBorders>
              <w:top w:val="nil"/>
              <w:left w:val="nil"/>
              <w:bottom w:val="single" w:sz="8" w:space="0" w:color="auto"/>
              <w:right w:val="single" w:sz="8" w:space="0" w:color="auto"/>
            </w:tcBorders>
            <w:vAlign w:val="center"/>
            <w:hideMark/>
          </w:tcPr>
          <w:p w14:paraId="619D8CD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7430AA48"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0A01835F"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771986AF"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2950EA1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0EBA09A" w14:textId="77777777">
        <w:trPr>
          <w:trHeight w:val="315"/>
        </w:trPr>
        <w:tc>
          <w:tcPr>
            <w:tcW w:w="1419" w:type="pct"/>
            <w:gridSpan w:val="2"/>
            <w:vMerge/>
            <w:vAlign w:val="center"/>
            <w:hideMark/>
          </w:tcPr>
          <w:p w14:paraId="2C7E0579" w14:textId="77777777" w:rsidR="00A27CF2" w:rsidRPr="00047543" w:rsidRDefault="00A27CF2">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vAlign w:val="center"/>
            <w:hideMark/>
          </w:tcPr>
          <w:p w14:paraId="79A4C48D"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4"/>
            <w:tcBorders>
              <w:top w:val="single" w:sz="8" w:space="0" w:color="auto"/>
              <w:left w:val="nil"/>
              <w:bottom w:val="single" w:sz="8" w:space="0" w:color="auto"/>
              <w:right w:val="single" w:sz="8" w:space="0" w:color="auto"/>
            </w:tcBorders>
            <w:vAlign w:val="center"/>
            <w:hideMark/>
          </w:tcPr>
          <w:p w14:paraId="41154E02" w14:textId="77777777" w:rsidR="00A27CF2" w:rsidRPr="00047543" w:rsidRDefault="00A27CF2">
            <w:pPr>
              <w:spacing w:before="0" w:after="0"/>
              <w:jc w:val="center"/>
              <w:rPr>
                <w:noProof/>
                <w:color w:val="000000"/>
                <w:sz w:val="14"/>
                <w:szCs w:val="14"/>
              </w:rPr>
            </w:pPr>
            <w:r w:rsidRPr="00047543">
              <w:rPr>
                <w:noProof/>
                <w:color w:val="000000"/>
                <w:sz w:val="14"/>
              </w:rPr>
              <w:t>(2b)</w:t>
            </w:r>
          </w:p>
        </w:tc>
        <w:tc>
          <w:tcPr>
            <w:tcW w:w="496" w:type="pct"/>
            <w:gridSpan w:val="3"/>
            <w:tcBorders>
              <w:top w:val="nil"/>
              <w:left w:val="nil"/>
              <w:bottom w:val="single" w:sz="8" w:space="0" w:color="auto"/>
              <w:right w:val="single" w:sz="8" w:space="0" w:color="auto"/>
            </w:tcBorders>
            <w:vAlign w:val="center"/>
            <w:hideMark/>
          </w:tcPr>
          <w:p w14:paraId="695E7512"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67BE2547"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04A90AA9"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640A9E27"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0662372E"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68197FD" w14:textId="77777777">
        <w:trPr>
          <w:trHeight w:val="288"/>
        </w:trPr>
        <w:tc>
          <w:tcPr>
            <w:tcW w:w="5000" w:type="pct"/>
            <w:gridSpan w:val="23"/>
            <w:tcBorders>
              <w:top w:val="single" w:sz="8" w:space="0" w:color="auto"/>
              <w:left w:val="single" w:sz="8" w:space="0" w:color="auto"/>
              <w:bottom w:val="single" w:sz="8" w:space="0" w:color="auto"/>
              <w:right w:val="single" w:sz="8" w:space="0" w:color="auto"/>
            </w:tcBorders>
            <w:noWrap/>
            <w:vAlign w:val="bottom"/>
            <w:hideMark/>
          </w:tcPr>
          <w:p w14:paraId="6A7CF2F5" w14:textId="77777777" w:rsidR="00A27CF2" w:rsidRPr="00047543" w:rsidRDefault="00A27CF2">
            <w:pPr>
              <w:spacing w:before="0" w:after="0"/>
              <w:jc w:val="left"/>
              <w:rPr>
                <w:noProof/>
                <w:color w:val="000000"/>
                <w:sz w:val="22"/>
              </w:rPr>
            </w:pPr>
            <w:r w:rsidRPr="00047543">
              <w:rPr>
                <w:noProof/>
                <w:color w:val="000000"/>
                <w:sz w:val="22"/>
              </w:rPr>
              <w:t>Anslag av administrativ natur som finansieras genom ramanslagen för särskilda program</w:t>
            </w:r>
            <w:r w:rsidRPr="00047543">
              <w:rPr>
                <w:noProof/>
              </w:rPr>
              <w:t xml:space="preserve"> </w:t>
            </w:r>
          </w:p>
        </w:tc>
      </w:tr>
      <w:tr w:rsidR="00A27CF2" w:rsidRPr="00047543" w14:paraId="60B373AA" w14:textId="77777777">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44B0BB4C"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3"/>
            <w:tcBorders>
              <w:top w:val="nil"/>
              <w:left w:val="nil"/>
              <w:bottom w:val="single" w:sz="8" w:space="0" w:color="auto"/>
              <w:right w:val="single" w:sz="8" w:space="0" w:color="auto"/>
            </w:tcBorders>
            <w:vAlign w:val="center"/>
            <w:hideMark/>
          </w:tcPr>
          <w:p w14:paraId="4B0E2C26" w14:textId="77777777" w:rsidR="00A27CF2" w:rsidRPr="00047543" w:rsidRDefault="00A27CF2">
            <w:pPr>
              <w:spacing w:before="0" w:after="0"/>
              <w:jc w:val="right"/>
              <w:rPr>
                <w:noProof/>
                <w:color w:val="000000"/>
                <w:sz w:val="18"/>
                <w:szCs w:val="18"/>
              </w:rPr>
            </w:pPr>
            <w:r w:rsidRPr="00047543">
              <w:rPr>
                <w:noProof/>
                <w:color w:val="000000"/>
                <w:sz w:val="18"/>
              </w:rPr>
              <w:t xml:space="preserve"> </w:t>
            </w:r>
          </w:p>
        </w:tc>
        <w:tc>
          <w:tcPr>
            <w:tcW w:w="496" w:type="pct"/>
            <w:gridSpan w:val="4"/>
            <w:tcBorders>
              <w:top w:val="single" w:sz="8" w:space="0" w:color="auto"/>
              <w:left w:val="nil"/>
              <w:bottom w:val="single" w:sz="8" w:space="0" w:color="auto"/>
              <w:right w:val="single" w:sz="8" w:space="0" w:color="auto"/>
            </w:tcBorders>
            <w:vAlign w:val="center"/>
            <w:hideMark/>
          </w:tcPr>
          <w:p w14:paraId="79C089F7" w14:textId="77777777" w:rsidR="00A27CF2" w:rsidRPr="00047543" w:rsidRDefault="00A27CF2">
            <w:pPr>
              <w:spacing w:before="0" w:after="0"/>
              <w:jc w:val="center"/>
              <w:rPr>
                <w:noProof/>
                <w:color w:val="000000"/>
                <w:sz w:val="14"/>
                <w:szCs w:val="14"/>
              </w:rPr>
            </w:pPr>
            <w:r w:rsidRPr="00047543">
              <w:rPr>
                <w:noProof/>
                <w:color w:val="000000"/>
                <w:sz w:val="14"/>
              </w:rPr>
              <w:t>(3)</w:t>
            </w:r>
          </w:p>
        </w:tc>
        <w:tc>
          <w:tcPr>
            <w:tcW w:w="496" w:type="pct"/>
            <w:gridSpan w:val="3"/>
            <w:tcBorders>
              <w:top w:val="nil"/>
              <w:left w:val="nil"/>
              <w:bottom w:val="single" w:sz="8" w:space="0" w:color="auto"/>
              <w:right w:val="single" w:sz="8" w:space="0" w:color="auto"/>
            </w:tcBorders>
            <w:vAlign w:val="center"/>
            <w:hideMark/>
          </w:tcPr>
          <w:p w14:paraId="6A79B29A"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59C5B11C"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10285FFC"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77F6EDBB"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570B1F0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C948BD8" w14:textId="77777777">
        <w:trPr>
          <w:trHeight w:val="288"/>
        </w:trPr>
        <w:tc>
          <w:tcPr>
            <w:tcW w:w="1419" w:type="pct"/>
            <w:gridSpan w:val="2"/>
            <w:vMerge w:val="restart"/>
            <w:tcBorders>
              <w:top w:val="nil"/>
              <w:left w:val="single" w:sz="8" w:space="0" w:color="auto"/>
              <w:right w:val="single" w:sz="8" w:space="0" w:color="auto"/>
            </w:tcBorders>
            <w:vAlign w:val="center"/>
            <w:hideMark/>
          </w:tcPr>
          <w:p w14:paraId="5F692C34" w14:textId="77777777" w:rsidR="00A27CF2" w:rsidRPr="00047543" w:rsidRDefault="00A27CF2">
            <w:pPr>
              <w:spacing w:before="0" w:after="0"/>
              <w:jc w:val="center"/>
              <w:rPr>
                <w:b/>
                <w:bCs/>
                <w:noProof/>
                <w:color w:val="000000"/>
                <w:sz w:val="22"/>
              </w:rPr>
            </w:pPr>
            <w:r w:rsidRPr="00047543">
              <w:rPr>
                <w:b/>
                <w:noProof/>
                <w:color w:val="000000"/>
                <w:sz w:val="22"/>
              </w:rPr>
              <w:t>TOTALA anslag</w:t>
            </w:r>
          </w:p>
          <w:p w14:paraId="60D1B2DC" w14:textId="77777777" w:rsidR="00A27CF2" w:rsidRPr="00047543" w:rsidRDefault="00A27CF2">
            <w:pPr>
              <w:spacing w:before="0" w:after="0"/>
              <w:jc w:val="center"/>
              <w:rPr>
                <w:b/>
                <w:bCs/>
                <w:noProof/>
                <w:color w:val="000000"/>
                <w:sz w:val="22"/>
              </w:rPr>
            </w:pPr>
            <w:r w:rsidRPr="00047543">
              <w:rPr>
                <w:b/>
                <w:noProof/>
                <w:color w:val="000000"/>
                <w:sz w:val="22"/>
              </w:rPr>
              <w:t xml:space="preserve">för GD </w:t>
            </w:r>
            <w:r w:rsidRPr="00047543">
              <w:rPr>
                <w:noProof/>
                <w:color w:val="000000"/>
                <w:sz w:val="22"/>
              </w:rPr>
              <w:t>&lt;…….&gt;</w:t>
            </w:r>
          </w:p>
        </w:tc>
        <w:tc>
          <w:tcPr>
            <w:tcW w:w="529" w:type="pct"/>
            <w:gridSpan w:val="3"/>
            <w:tcBorders>
              <w:top w:val="nil"/>
              <w:left w:val="nil"/>
              <w:bottom w:val="single" w:sz="8" w:space="0" w:color="auto"/>
              <w:right w:val="single" w:sz="8" w:space="0" w:color="auto"/>
            </w:tcBorders>
            <w:vAlign w:val="center"/>
            <w:hideMark/>
          </w:tcPr>
          <w:p w14:paraId="67C7984E"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4"/>
            <w:tcBorders>
              <w:top w:val="single" w:sz="8" w:space="0" w:color="auto"/>
              <w:left w:val="nil"/>
              <w:bottom w:val="single" w:sz="8" w:space="0" w:color="auto"/>
              <w:right w:val="single" w:sz="8" w:space="0" w:color="auto"/>
            </w:tcBorders>
            <w:vAlign w:val="center"/>
            <w:hideMark/>
          </w:tcPr>
          <w:p w14:paraId="6F2AE83C" w14:textId="77777777" w:rsidR="00A27CF2" w:rsidRPr="00047543" w:rsidRDefault="00A27CF2">
            <w:pPr>
              <w:spacing w:before="0" w:after="0"/>
              <w:jc w:val="center"/>
              <w:rPr>
                <w:noProof/>
                <w:color w:val="000000"/>
                <w:sz w:val="14"/>
                <w:szCs w:val="14"/>
              </w:rPr>
            </w:pPr>
            <w:r w:rsidRPr="00047543">
              <w:rPr>
                <w:noProof/>
                <w:color w:val="000000"/>
                <w:sz w:val="14"/>
              </w:rPr>
              <w:t>=1a+1b+3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5C1C485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440F5BD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1C42153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E3523A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7A6298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022F060" w14:textId="77777777">
        <w:trPr>
          <w:trHeight w:val="288"/>
        </w:trPr>
        <w:tc>
          <w:tcPr>
            <w:tcW w:w="1419" w:type="pct"/>
            <w:gridSpan w:val="2"/>
            <w:vMerge/>
            <w:vAlign w:val="center"/>
            <w:hideMark/>
          </w:tcPr>
          <w:p w14:paraId="79C5A8D8" w14:textId="77777777" w:rsidR="00A27CF2" w:rsidRPr="00047543" w:rsidRDefault="00A27CF2">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2EEB5C55"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4"/>
            <w:tcBorders>
              <w:top w:val="single" w:sz="8" w:space="0" w:color="auto"/>
              <w:left w:val="nil"/>
              <w:bottom w:val="single" w:sz="8" w:space="0" w:color="auto"/>
              <w:right w:val="single" w:sz="8" w:space="0" w:color="auto"/>
            </w:tcBorders>
            <w:vAlign w:val="center"/>
            <w:hideMark/>
          </w:tcPr>
          <w:p w14:paraId="1641F815" w14:textId="77777777" w:rsidR="00A27CF2" w:rsidRPr="00047543" w:rsidRDefault="00A27CF2">
            <w:pPr>
              <w:spacing w:before="0" w:after="0"/>
              <w:jc w:val="center"/>
              <w:rPr>
                <w:noProof/>
                <w:color w:val="000000"/>
                <w:sz w:val="14"/>
                <w:szCs w:val="14"/>
              </w:rPr>
            </w:pPr>
            <w:r w:rsidRPr="00047543">
              <w:rPr>
                <w:noProof/>
                <w:color w:val="000000"/>
                <w:sz w:val="14"/>
              </w:rPr>
              <w:t>=2a+2b+3</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BD6F0E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7FE3CAD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60EA8C7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3"/>
            <w:tcBorders>
              <w:top w:val="nil"/>
              <w:left w:val="nil"/>
              <w:bottom w:val="single" w:sz="8" w:space="0" w:color="auto"/>
              <w:right w:val="single" w:sz="8" w:space="0" w:color="auto"/>
            </w:tcBorders>
            <w:shd w:val="clear" w:color="auto" w:fill="D9D9D9" w:themeFill="background1" w:themeFillShade="D9"/>
            <w:vAlign w:val="center"/>
            <w:hideMark/>
          </w:tcPr>
          <w:p w14:paraId="211BF87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gridSpan w:val="2"/>
            <w:tcBorders>
              <w:top w:val="nil"/>
              <w:left w:val="nil"/>
              <w:bottom w:val="single" w:sz="8" w:space="0" w:color="auto"/>
              <w:right w:val="single" w:sz="8" w:space="0" w:color="auto"/>
            </w:tcBorders>
            <w:shd w:val="clear" w:color="auto" w:fill="D9D9D9" w:themeFill="background1" w:themeFillShade="D9"/>
            <w:vAlign w:val="center"/>
            <w:hideMark/>
          </w:tcPr>
          <w:p w14:paraId="4917C665"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7790857" w14:textId="77777777">
        <w:trPr>
          <w:trHeight w:val="420"/>
        </w:trPr>
        <w:tc>
          <w:tcPr>
            <w:tcW w:w="2444" w:type="pct"/>
            <w:gridSpan w:val="9"/>
            <w:vMerge w:val="restart"/>
            <w:tcBorders>
              <w:top w:val="single" w:sz="8" w:space="0" w:color="auto"/>
              <w:left w:val="single" w:sz="8" w:space="0" w:color="auto"/>
              <w:bottom w:val="single" w:sz="8" w:space="0" w:color="auto"/>
              <w:right w:val="single" w:sz="8" w:space="0" w:color="auto"/>
            </w:tcBorders>
            <w:vAlign w:val="center"/>
            <w:hideMark/>
          </w:tcPr>
          <w:p w14:paraId="25515D21" w14:textId="77777777" w:rsidR="00A27CF2" w:rsidRPr="00047543" w:rsidRDefault="00A27CF2">
            <w:pPr>
              <w:spacing w:before="0" w:after="0"/>
              <w:jc w:val="center"/>
              <w:rPr>
                <w:noProof/>
                <w:color w:val="000000"/>
                <w:sz w:val="22"/>
              </w:rPr>
            </w:pPr>
            <w:r w:rsidRPr="00047543">
              <w:rPr>
                <w:noProof/>
                <w:color w:val="000000"/>
                <w:sz w:val="22"/>
              </w:rPr>
              <w:t>GD: &lt;…….&gt;</w:t>
            </w:r>
          </w:p>
        </w:tc>
        <w:tc>
          <w:tcPr>
            <w:tcW w:w="496" w:type="pct"/>
            <w:gridSpan w:val="3"/>
            <w:tcBorders>
              <w:top w:val="single" w:sz="8" w:space="0" w:color="auto"/>
              <w:left w:val="nil"/>
              <w:bottom w:val="single" w:sz="8" w:space="0" w:color="auto"/>
              <w:right w:val="single" w:sz="8" w:space="0" w:color="auto"/>
            </w:tcBorders>
            <w:vAlign w:val="center"/>
            <w:hideMark/>
          </w:tcPr>
          <w:p w14:paraId="3D6E8013"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3"/>
            <w:tcBorders>
              <w:top w:val="single" w:sz="8" w:space="0" w:color="auto"/>
              <w:left w:val="nil"/>
              <w:bottom w:val="single" w:sz="8" w:space="0" w:color="auto"/>
              <w:right w:val="single" w:sz="8" w:space="0" w:color="auto"/>
            </w:tcBorders>
            <w:vAlign w:val="center"/>
            <w:hideMark/>
          </w:tcPr>
          <w:p w14:paraId="53341E83"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6" w:type="pct"/>
            <w:gridSpan w:val="3"/>
            <w:tcBorders>
              <w:top w:val="single" w:sz="8" w:space="0" w:color="auto"/>
              <w:left w:val="nil"/>
              <w:bottom w:val="single" w:sz="8" w:space="0" w:color="auto"/>
              <w:right w:val="single" w:sz="8" w:space="0" w:color="auto"/>
            </w:tcBorders>
            <w:vAlign w:val="center"/>
            <w:hideMark/>
          </w:tcPr>
          <w:p w14:paraId="1183579E"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78" w:type="pct"/>
            <w:gridSpan w:val="3"/>
            <w:tcBorders>
              <w:top w:val="single" w:sz="8" w:space="0" w:color="auto"/>
              <w:left w:val="nil"/>
              <w:bottom w:val="single" w:sz="8" w:space="0" w:color="auto"/>
              <w:right w:val="single" w:sz="8" w:space="0" w:color="auto"/>
            </w:tcBorders>
            <w:vAlign w:val="center"/>
            <w:hideMark/>
          </w:tcPr>
          <w:p w14:paraId="76C4FB92"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90"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7DF41290"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3E3F3926" w14:textId="77777777">
        <w:trPr>
          <w:trHeight w:val="288"/>
        </w:trPr>
        <w:tc>
          <w:tcPr>
            <w:tcW w:w="2444" w:type="pct"/>
            <w:gridSpan w:val="9"/>
            <w:vMerge/>
            <w:tcBorders>
              <w:top w:val="single" w:sz="8" w:space="0" w:color="auto"/>
              <w:left w:val="single" w:sz="8" w:space="0" w:color="auto"/>
              <w:bottom w:val="single" w:sz="8" w:space="0" w:color="auto"/>
              <w:right w:val="single" w:sz="8" w:space="0" w:color="auto"/>
            </w:tcBorders>
            <w:vAlign w:val="center"/>
            <w:hideMark/>
          </w:tcPr>
          <w:p w14:paraId="1941A5FC" w14:textId="77777777" w:rsidR="00A27CF2" w:rsidRPr="00047543" w:rsidRDefault="00A27CF2">
            <w:pPr>
              <w:spacing w:before="0" w:after="0"/>
              <w:jc w:val="left"/>
              <w:rPr>
                <w:noProof/>
                <w:color w:val="000000"/>
                <w:sz w:val="22"/>
                <w:lang w:eastAsia="en-IE"/>
              </w:rPr>
            </w:pPr>
          </w:p>
        </w:tc>
        <w:tc>
          <w:tcPr>
            <w:tcW w:w="496" w:type="pct"/>
            <w:gridSpan w:val="3"/>
            <w:tcBorders>
              <w:top w:val="nil"/>
              <w:left w:val="nil"/>
              <w:bottom w:val="single" w:sz="8" w:space="0" w:color="auto"/>
              <w:right w:val="single" w:sz="8" w:space="0" w:color="auto"/>
            </w:tcBorders>
            <w:vAlign w:val="center"/>
            <w:hideMark/>
          </w:tcPr>
          <w:p w14:paraId="068966C1"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96" w:type="pct"/>
            <w:gridSpan w:val="3"/>
            <w:tcBorders>
              <w:top w:val="nil"/>
              <w:left w:val="nil"/>
              <w:bottom w:val="single" w:sz="8" w:space="0" w:color="auto"/>
              <w:right w:val="single" w:sz="8" w:space="0" w:color="auto"/>
            </w:tcBorders>
            <w:vAlign w:val="center"/>
            <w:hideMark/>
          </w:tcPr>
          <w:p w14:paraId="6037A20C"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96" w:type="pct"/>
            <w:gridSpan w:val="3"/>
            <w:tcBorders>
              <w:top w:val="nil"/>
              <w:left w:val="nil"/>
              <w:bottom w:val="single" w:sz="8" w:space="0" w:color="auto"/>
              <w:right w:val="single" w:sz="8" w:space="0" w:color="auto"/>
            </w:tcBorders>
            <w:vAlign w:val="center"/>
            <w:hideMark/>
          </w:tcPr>
          <w:p w14:paraId="51509F71"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78" w:type="pct"/>
            <w:gridSpan w:val="3"/>
            <w:tcBorders>
              <w:top w:val="nil"/>
              <w:left w:val="nil"/>
              <w:bottom w:val="single" w:sz="8" w:space="0" w:color="auto"/>
              <w:right w:val="single" w:sz="8" w:space="0" w:color="auto"/>
            </w:tcBorders>
            <w:vAlign w:val="center"/>
            <w:hideMark/>
          </w:tcPr>
          <w:p w14:paraId="1D01A046"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90" w:type="pct"/>
            <w:gridSpan w:val="2"/>
            <w:vMerge/>
            <w:tcBorders>
              <w:top w:val="single" w:sz="8" w:space="0" w:color="auto"/>
              <w:left w:val="single" w:sz="8" w:space="0" w:color="auto"/>
              <w:bottom w:val="single" w:sz="8" w:space="0" w:color="auto"/>
              <w:right w:val="single" w:sz="8" w:space="0" w:color="auto"/>
            </w:tcBorders>
            <w:vAlign w:val="center"/>
            <w:hideMark/>
          </w:tcPr>
          <w:p w14:paraId="626E5852" w14:textId="77777777" w:rsidR="00A27CF2" w:rsidRPr="00047543" w:rsidRDefault="00A27CF2">
            <w:pPr>
              <w:spacing w:before="0" w:after="0"/>
              <w:jc w:val="left"/>
              <w:rPr>
                <w:b/>
                <w:bCs/>
                <w:noProof/>
                <w:color w:val="000000"/>
                <w:sz w:val="20"/>
                <w:szCs w:val="20"/>
                <w:lang w:eastAsia="en-IE"/>
              </w:rPr>
            </w:pPr>
          </w:p>
        </w:tc>
      </w:tr>
      <w:tr w:rsidR="00A27CF2" w:rsidRPr="00047543" w14:paraId="47451435" w14:textId="77777777">
        <w:trPr>
          <w:trHeight w:val="300"/>
        </w:trPr>
        <w:tc>
          <w:tcPr>
            <w:tcW w:w="5000" w:type="pct"/>
            <w:gridSpan w:val="23"/>
            <w:tcBorders>
              <w:top w:val="single" w:sz="8" w:space="0" w:color="auto"/>
              <w:left w:val="single" w:sz="8" w:space="0" w:color="auto"/>
              <w:bottom w:val="single" w:sz="8" w:space="0" w:color="auto"/>
              <w:right w:val="single" w:sz="8" w:space="0" w:color="auto"/>
            </w:tcBorders>
            <w:vAlign w:val="center"/>
            <w:hideMark/>
          </w:tcPr>
          <w:p w14:paraId="1A804E35" w14:textId="77777777" w:rsidR="00A27CF2" w:rsidRPr="00047543" w:rsidRDefault="00A27CF2">
            <w:pPr>
              <w:spacing w:before="0" w:after="0"/>
              <w:jc w:val="left"/>
              <w:rPr>
                <w:noProof/>
                <w:color w:val="000000"/>
                <w:sz w:val="21"/>
                <w:szCs w:val="21"/>
              </w:rPr>
            </w:pPr>
            <w:r w:rsidRPr="00047543">
              <w:rPr>
                <w:noProof/>
                <w:color w:val="000000"/>
                <w:sz w:val="21"/>
              </w:rPr>
              <w:t xml:space="preserve">Driftsanslag </w:t>
            </w:r>
          </w:p>
        </w:tc>
      </w:tr>
      <w:tr w:rsidR="00A27CF2" w:rsidRPr="00047543" w14:paraId="0B8412F1" w14:textId="77777777">
        <w:trPr>
          <w:trHeight w:val="288"/>
        </w:trPr>
        <w:tc>
          <w:tcPr>
            <w:tcW w:w="1419" w:type="pct"/>
            <w:gridSpan w:val="2"/>
            <w:vMerge w:val="restart"/>
            <w:tcBorders>
              <w:top w:val="nil"/>
              <w:left w:val="single" w:sz="8" w:space="0" w:color="auto"/>
              <w:bottom w:val="single" w:sz="8" w:space="0" w:color="auto"/>
              <w:right w:val="single" w:sz="8" w:space="0" w:color="auto"/>
            </w:tcBorders>
            <w:noWrap/>
            <w:vAlign w:val="center"/>
            <w:hideMark/>
          </w:tcPr>
          <w:p w14:paraId="4024FDA3" w14:textId="77777777" w:rsidR="00A27CF2" w:rsidRPr="00047543" w:rsidRDefault="00A27CF2">
            <w:pPr>
              <w:spacing w:before="0" w:after="0"/>
              <w:jc w:val="left"/>
              <w:rPr>
                <w:noProof/>
                <w:color w:val="000000"/>
                <w:sz w:val="22"/>
              </w:rPr>
            </w:pPr>
            <w:r w:rsidRPr="00047543">
              <w:rPr>
                <w:noProof/>
                <w:color w:val="000000"/>
                <w:sz w:val="22"/>
              </w:rPr>
              <w:t>Budgetpost</w:t>
            </w:r>
          </w:p>
        </w:tc>
        <w:tc>
          <w:tcPr>
            <w:tcW w:w="529" w:type="pct"/>
            <w:gridSpan w:val="3"/>
            <w:tcBorders>
              <w:top w:val="nil"/>
              <w:left w:val="nil"/>
              <w:bottom w:val="single" w:sz="8" w:space="0" w:color="auto"/>
              <w:right w:val="single" w:sz="8" w:space="0" w:color="auto"/>
            </w:tcBorders>
            <w:vAlign w:val="center"/>
            <w:hideMark/>
          </w:tcPr>
          <w:p w14:paraId="66231B86"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4"/>
            <w:tcBorders>
              <w:top w:val="single" w:sz="8" w:space="0" w:color="auto"/>
              <w:left w:val="nil"/>
              <w:bottom w:val="single" w:sz="8" w:space="0" w:color="auto"/>
              <w:right w:val="single" w:sz="8" w:space="0" w:color="auto"/>
            </w:tcBorders>
            <w:vAlign w:val="center"/>
            <w:hideMark/>
          </w:tcPr>
          <w:p w14:paraId="6BE3BE31" w14:textId="77777777" w:rsidR="00A27CF2" w:rsidRPr="00047543" w:rsidRDefault="00A27CF2">
            <w:pPr>
              <w:spacing w:before="0" w:after="0"/>
              <w:jc w:val="center"/>
              <w:rPr>
                <w:noProof/>
                <w:color w:val="000000"/>
                <w:sz w:val="14"/>
                <w:szCs w:val="14"/>
              </w:rPr>
            </w:pPr>
            <w:r w:rsidRPr="00047543">
              <w:rPr>
                <w:noProof/>
                <w:color w:val="000000"/>
                <w:sz w:val="14"/>
              </w:rPr>
              <w:t>(1a)</w:t>
            </w:r>
          </w:p>
        </w:tc>
        <w:tc>
          <w:tcPr>
            <w:tcW w:w="496" w:type="pct"/>
            <w:gridSpan w:val="3"/>
            <w:tcBorders>
              <w:top w:val="nil"/>
              <w:left w:val="nil"/>
              <w:bottom w:val="single" w:sz="8" w:space="0" w:color="auto"/>
              <w:right w:val="single" w:sz="8" w:space="0" w:color="auto"/>
            </w:tcBorders>
            <w:vAlign w:val="center"/>
            <w:hideMark/>
          </w:tcPr>
          <w:p w14:paraId="1B0447D4"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0E44446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6C0088E4"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6B90877D"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22AABF9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66EE622" w14:textId="77777777">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64D7654A" w14:textId="77777777" w:rsidR="00A27CF2" w:rsidRPr="00047543" w:rsidRDefault="00A27CF2">
            <w:pPr>
              <w:spacing w:before="0" w:after="0"/>
              <w:jc w:val="left"/>
              <w:rPr>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3655BB80"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4"/>
            <w:tcBorders>
              <w:top w:val="single" w:sz="8" w:space="0" w:color="auto"/>
              <w:left w:val="nil"/>
              <w:bottom w:val="single" w:sz="8" w:space="0" w:color="auto"/>
              <w:right w:val="single" w:sz="8" w:space="0" w:color="auto"/>
            </w:tcBorders>
            <w:vAlign w:val="center"/>
            <w:hideMark/>
          </w:tcPr>
          <w:p w14:paraId="1206DB65" w14:textId="77777777" w:rsidR="00A27CF2" w:rsidRPr="00047543" w:rsidRDefault="00A27CF2">
            <w:pPr>
              <w:spacing w:before="0" w:after="0"/>
              <w:jc w:val="center"/>
              <w:rPr>
                <w:noProof/>
                <w:color w:val="000000"/>
                <w:sz w:val="14"/>
                <w:szCs w:val="14"/>
              </w:rPr>
            </w:pPr>
            <w:r w:rsidRPr="00047543">
              <w:rPr>
                <w:noProof/>
                <w:color w:val="000000"/>
                <w:sz w:val="14"/>
              </w:rPr>
              <w:t>(2a)</w:t>
            </w:r>
          </w:p>
        </w:tc>
        <w:tc>
          <w:tcPr>
            <w:tcW w:w="496" w:type="pct"/>
            <w:gridSpan w:val="3"/>
            <w:tcBorders>
              <w:top w:val="nil"/>
              <w:left w:val="nil"/>
              <w:bottom w:val="single" w:sz="8" w:space="0" w:color="auto"/>
              <w:right w:val="single" w:sz="8" w:space="0" w:color="auto"/>
            </w:tcBorders>
            <w:vAlign w:val="center"/>
            <w:hideMark/>
          </w:tcPr>
          <w:p w14:paraId="2C1B6684"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3238B1F7"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44102CA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3B8E7117"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6295587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B3DDC49" w14:textId="77777777">
        <w:trPr>
          <w:trHeight w:val="315"/>
        </w:trPr>
        <w:tc>
          <w:tcPr>
            <w:tcW w:w="1419" w:type="pct"/>
            <w:gridSpan w:val="2"/>
            <w:vMerge w:val="restart"/>
            <w:tcBorders>
              <w:top w:val="nil"/>
              <w:left w:val="single" w:sz="8" w:space="0" w:color="auto"/>
              <w:bottom w:val="single" w:sz="8" w:space="0" w:color="auto"/>
              <w:right w:val="single" w:sz="8" w:space="0" w:color="auto"/>
            </w:tcBorders>
            <w:vAlign w:val="center"/>
            <w:hideMark/>
          </w:tcPr>
          <w:p w14:paraId="377F5C3A"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3"/>
            <w:tcBorders>
              <w:top w:val="nil"/>
              <w:left w:val="nil"/>
              <w:bottom w:val="single" w:sz="8" w:space="0" w:color="auto"/>
              <w:right w:val="single" w:sz="8" w:space="0" w:color="auto"/>
            </w:tcBorders>
            <w:vAlign w:val="center"/>
            <w:hideMark/>
          </w:tcPr>
          <w:p w14:paraId="2C01E78D"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4"/>
            <w:tcBorders>
              <w:top w:val="single" w:sz="8" w:space="0" w:color="auto"/>
              <w:left w:val="nil"/>
              <w:bottom w:val="single" w:sz="8" w:space="0" w:color="auto"/>
              <w:right w:val="single" w:sz="8" w:space="0" w:color="auto"/>
            </w:tcBorders>
            <w:vAlign w:val="center"/>
            <w:hideMark/>
          </w:tcPr>
          <w:p w14:paraId="601CD4D4" w14:textId="77777777" w:rsidR="00A27CF2" w:rsidRPr="00047543" w:rsidRDefault="00A27CF2">
            <w:pPr>
              <w:spacing w:before="0" w:after="0"/>
              <w:jc w:val="center"/>
              <w:rPr>
                <w:noProof/>
                <w:color w:val="000000"/>
                <w:sz w:val="14"/>
                <w:szCs w:val="14"/>
              </w:rPr>
            </w:pPr>
            <w:r w:rsidRPr="00047543">
              <w:rPr>
                <w:noProof/>
                <w:color w:val="000000"/>
                <w:sz w:val="14"/>
              </w:rPr>
              <w:t>(1b)</w:t>
            </w:r>
          </w:p>
        </w:tc>
        <w:tc>
          <w:tcPr>
            <w:tcW w:w="496" w:type="pct"/>
            <w:gridSpan w:val="3"/>
            <w:tcBorders>
              <w:top w:val="nil"/>
              <w:left w:val="nil"/>
              <w:bottom w:val="single" w:sz="8" w:space="0" w:color="auto"/>
              <w:right w:val="single" w:sz="8" w:space="0" w:color="auto"/>
            </w:tcBorders>
            <w:vAlign w:val="center"/>
            <w:hideMark/>
          </w:tcPr>
          <w:p w14:paraId="4D1DA33B"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050BDC96"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331A2B47"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0DFB12E5"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74109555"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A98F751" w14:textId="77777777">
        <w:trPr>
          <w:trHeight w:val="315"/>
        </w:trPr>
        <w:tc>
          <w:tcPr>
            <w:tcW w:w="1419" w:type="pct"/>
            <w:gridSpan w:val="2"/>
            <w:vMerge/>
            <w:tcBorders>
              <w:top w:val="nil"/>
              <w:left w:val="single" w:sz="8" w:space="0" w:color="auto"/>
              <w:bottom w:val="single" w:sz="8" w:space="0" w:color="auto"/>
              <w:right w:val="single" w:sz="8" w:space="0" w:color="auto"/>
            </w:tcBorders>
            <w:vAlign w:val="center"/>
            <w:hideMark/>
          </w:tcPr>
          <w:p w14:paraId="4F38A07B" w14:textId="77777777" w:rsidR="00A27CF2" w:rsidRPr="00047543" w:rsidRDefault="00A27CF2">
            <w:pPr>
              <w:spacing w:before="0" w:after="0"/>
              <w:jc w:val="left"/>
              <w:rPr>
                <w:noProof/>
                <w:color w:val="000000"/>
                <w:sz w:val="20"/>
                <w:szCs w:val="20"/>
                <w:lang w:eastAsia="en-IE"/>
              </w:rPr>
            </w:pPr>
          </w:p>
        </w:tc>
        <w:tc>
          <w:tcPr>
            <w:tcW w:w="529" w:type="pct"/>
            <w:gridSpan w:val="3"/>
            <w:tcBorders>
              <w:top w:val="nil"/>
              <w:left w:val="nil"/>
              <w:bottom w:val="single" w:sz="8" w:space="0" w:color="auto"/>
              <w:right w:val="single" w:sz="8" w:space="0" w:color="auto"/>
            </w:tcBorders>
            <w:vAlign w:val="center"/>
            <w:hideMark/>
          </w:tcPr>
          <w:p w14:paraId="4A715EDB"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4"/>
            <w:tcBorders>
              <w:top w:val="single" w:sz="8" w:space="0" w:color="auto"/>
              <w:left w:val="nil"/>
              <w:bottom w:val="single" w:sz="8" w:space="0" w:color="auto"/>
              <w:right w:val="single" w:sz="8" w:space="0" w:color="auto"/>
            </w:tcBorders>
            <w:vAlign w:val="center"/>
            <w:hideMark/>
          </w:tcPr>
          <w:p w14:paraId="7A50DF08" w14:textId="77777777" w:rsidR="00A27CF2" w:rsidRPr="00047543" w:rsidRDefault="00A27CF2">
            <w:pPr>
              <w:spacing w:before="0" w:after="0"/>
              <w:jc w:val="center"/>
              <w:rPr>
                <w:noProof/>
                <w:color w:val="000000"/>
                <w:sz w:val="14"/>
                <w:szCs w:val="14"/>
              </w:rPr>
            </w:pPr>
            <w:r w:rsidRPr="00047543">
              <w:rPr>
                <w:noProof/>
                <w:color w:val="000000"/>
                <w:sz w:val="14"/>
              </w:rPr>
              <w:t>(2b)</w:t>
            </w:r>
          </w:p>
        </w:tc>
        <w:tc>
          <w:tcPr>
            <w:tcW w:w="496" w:type="pct"/>
            <w:gridSpan w:val="3"/>
            <w:tcBorders>
              <w:top w:val="nil"/>
              <w:left w:val="nil"/>
              <w:bottom w:val="single" w:sz="8" w:space="0" w:color="auto"/>
              <w:right w:val="single" w:sz="8" w:space="0" w:color="auto"/>
            </w:tcBorders>
            <w:vAlign w:val="center"/>
            <w:hideMark/>
          </w:tcPr>
          <w:p w14:paraId="0B89303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290A8C10"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14AC0780"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26A86A21" w14:textId="77777777" w:rsidR="00A27CF2" w:rsidRPr="00047543" w:rsidRDefault="00A27CF2">
            <w:pPr>
              <w:spacing w:before="0" w:after="0"/>
              <w:jc w:val="right"/>
              <w:rPr>
                <w:noProof/>
                <w:color w:val="000000"/>
                <w:sz w:val="20"/>
                <w:szCs w:val="20"/>
              </w:rPr>
            </w:pPr>
            <w:r w:rsidRPr="00047543">
              <w:rPr>
                <w:noProof/>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25FC496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40DE4C8" w14:textId="77777777">
        <w:trPr>
          <w:trHeight w:val="288"/>
        </w:trPr>
        <w:tc>
          <w:tcPr>
            <w:tcW w:w="5000" w:type="pct"/>
            <w:gridSpan w:val="23"/>
            <w:tcBorders>
              <w:top w:val="single" w:sz="8" w:space="0" w:color="auto"/>
              <w:left w:val="single" w:sz="8" w:space="0" w:color="auto"/>
              <w:bottom w:val="single" w:sz="8" w:space="0" w:color="auto"/>
              <w:right w:val="single" w:sz="8" w:space="0" w:color="auto"/>
            </w:tcBorders>
            <w:noWrap/>
            <w:vAlign w:val="bottom"/>
            <w:hideMark/>
          </w:tcPr>
          <w:p w14:paraId="3954C4C7" w14:textId="77777777" w:rsidR="00A27CF2" w:rsidRPr="00047543" w:rsidRDefault="00A27CF2">
            <w:pPr>
              <w:spacing w:before="0" w:after="0"/>
              <w:jc w:val="left"/>
              <w:rPr>
                <w:noProof/>
                <w:color w:val="000000"/>
                <w:sz w:val="22"/>
              </w:rPr>
            </w:pPr>
            <w:r w:rsidRPr="00047543">
              <w:rPr>
                <w:noProof/>
                <w:color w:val="000000"/>
                <w:sz w:val="22"/>
              </w:rPr>
              <w:t>Anslag av administrativ natur som finansieras genom ramanslagen för särskilda program</w:t>
            </w:r>
            <w:r w:rsidRPr="00047543">
              <w:rPr>
                <w:noProof/>
              </w:rPr>
              <w:t xml:space="preserve"> </w:t>
            </w:r>
          </w:p>
        </w:tc>
      </w:tr>
      <w:tr w:rsidR="00A27CF2" w:rsidRPr="00047543" w14:paraId="622A7AC0" w14:textId="77777777">
        <w:trPr>
          <w:trHeight w:val="288"/>
        </w:trPr>
        <w:tc>
          <w:tcPr>
            <w:tcW w:w="1419" w:type="pct"/>
            <w:gridSpan w:val="2"/>
            <w:tcBorders>
              <w:top w:val="nil"/>
              <w:left w:val="single" w:sz="8" w:space="0" w:color="auto"/>
              <w:bottom w:val="single" w:sz="8" w:space="0" w:color="auto"/>
              <w:right w:val="single" w:sz="8" w:space="0" w:color="auto"/>
            </w:tcBorders>
            <w:vAlign w:val="center"/>
            <w:hideMark/>
          </w:tcPr>
          <w:p w14:paraId="240E8202" w14:textId="77777777" w:rsidR="00A27CF2" w:rsidRPr="00047543" w:rsidRDefault="00A27CF2">
            <w:pPr>
              <w:spacing w:before="0" w:after="0"/>
              <w:rPr>
                <w:noProof/>
                <w:color w:val="000000"/>
                <w:sz w:val="20"/>
                <w:szCs w:val="20"/>
              </w:rPr>
            </w:pPr>
            <w:r w:rsidRPr="00047543">
              <w:rPr>
                <w:noProof/>
                <w:color w:val="000000"/>
                <w:sz w:val="20"/>
              </w:rPr>
              <w:t>Budgetpost</w:t>
            </w:r>
          </w:p>
        </w:tc>
        <w:tc>
          <w:tcPr>
            <w:tcW w:w="529" w:type="pct"/>
            <w:gridSpan w:val="3"/>
            <w:tcBorders>
              <w:top w:val="nil"/>
              <w:left w:val="nil"/>
              <w:bottom w:val="single" w:sz="8" w:space="0" w:color="auto"/>
              <w:right w:val="single" w:sz="8" w:space="0" w:color="auto"/>
            </w:tcBorders>
            <w:vAlign w:val="center"/>
            <w:hideMark/>
          </w:tcPr>
          <w:p w14:paraId="5B9E46CA" w14:textId="77777777" w:rsidR="00A27CF2" w:rsidRPr="00047543" w:rsidRDefault="00A27CF2">
            <w:pPr>
              <w:spacing w:before="0" w:after="0"/>
              <w:jc w:val="right"/>
              <w:rPr>
                <w:noProof/>
                <w:color w:val="000000"/>
                <w:sz w:val="18"/>
                <w:szCs w:val="18"/>
              </w:rPr>
            </w:pPr>
            <w:r w:rsidRPr="00047543">
              <w:rPr>
                <w:noProof/>
                <w:color w:val="000000"/>
                <w:sz w:val="18"/>
              </w:rPr>
              <w:t xml:space="preserve"> </w:t>
            </w:r>
          </w:p>
        </w:tc>
        <w:tc>
          <w:tcPr>
            <w:tcW w:w="496" w:type="pct"/>
            <w:gridSpan w:val="4"/>
            <w:tcBorders>
              <w:top w:val="single" w:sz="8" w:space="0" w:color="auto"/>
              <w:left w:val="nil"/>
              <w:bottom w:val="single" w:sz="8" w:space="0" w:color="auto"/>
              <w:right w:val="single" w:sz="8" w:space="0" w:color="auto"/>
            </w:tcBorders>
            <w:vAlign w:val="center"/>
            <w:hideMark/>
          </w:tcPr>
          <w:p w14:paraId="620E98D5" w14:textId="77777777" w:rsidR="00A27CF2" w:rsidRPr="00047543" w:rsidRDefault="00A27CF2">
            <w:pPr>
              <w:spacing w:before="0" w:after="0"/>
              <w:jc w:val="center"/>
              <w:rPr>
                <w:noProof/>
                <w:color w:val="000000"/>
                <w:sz w:val="14"/>
                <w:szCs w:val="14"/>
              </w:rPr>
            </w:pPr>
            <w:r w:rsidRPr="00047543">
              <w:rPr>
                <w:noProof/>
                <w:color w:val="000000"/>
                <w:sz w:val="14"/>
              </w:rPr>
              <w:t>(3)</w:t>
            </w:r>
          </w:p>
        </w:tc>
        <w:tc>
          <w:tcPr>
            <w:tcW w:w="496" w:type="pct"/>
            <w:gridSpan w:val="3"/>
            <w:tcBorders>
              <w:top w:val="nil"/>
              <w:left w:val="nil"/>
              <w:bottom w:val="single" w:sz="8" w:space="0" w:color="auto"/>
              <w:right w:val="single" w:sz="8" w:space="0" w:color="auto"/>
            </w:tcBorders>
            <w:vAlign w:val="center"/>
            <w:hideMark/>
          </w:tcPr>
          <w:p w14:paraId="650A2155"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50ADA0AE"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2FFA1525"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478" w:type="pct"/>
            <w:gridSpan w:val="3"/>
            <w:tcBorders>
              <w:top w:val="nil"/>
              <w:left w:val="nil"/>
              <w:bottom w:val="single" w:sz="8" w:space="0" w:color="auto"/>
              <w:right w:val="single" w:sz="8" w:space="0" w:color="auto"/>
            </w:tcBorders>
            <w:vAlign w:val="center"/>
            <w:hideMark/>
          </w:tcPr>
          <w:p w14:paraId="2809EF6E" w14:textId="77777777" w:rsidR="00A27CF2" w:rsidRPr="00047543" w:rsidRDefault="00A27CF2">
            <w:pPr>
              <w:spacing w:before="0" w:after="0"/>
              <w:jc w:val="right"/>
              <w:rPr>
                <w:b/>
                <w:bCs/>
                <w:noProof/>
                <w:color w:val="000000"/>
                <w:sz w:val="20"/>
                <w:szCs w:val="20"/>
              </w:rPr>
            </w:pPr>
            <w:r w:rsidRPr="00047543">
              <w:rPr>
                <w:b/>
                <w:noProof/>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2033114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A01CC86" w14:textId="77777777">
        <w:trPr>
          <w:trHeight w:val="288"/>
        </w:trPr>
        <w:tc>
          <w:tcPr>
            <w:tcW w:w="1419" w:type="pct"/>
            <w:gridSpan w:val="2"/>
            <w:vMerge w:val="restart"/>
            <w:tcBorders>
              <w:top w:val="nil"/>
              <w:left w:val="single" w:sz="8" w:space="0" w:color="auto"/>
              <w:right w:val="single" w:sz="8" w:space="0" w:color="auto"/>
            </w:tcBorders>
            <w:vAlign w:val="center"/>
            <w:hideMark/>
          </w:tcPr>
          <w:p w14:paraId="12B40D2A" w14:textId="77777777" w:rsidR="00A27CF2" w:rsidRPr="00047543" w:rsidRDefault="00A27CF2">
            <w:pPr>
              <w:spacing w:before="0" w:after="0"/>
              <w:jc w:val="center"/>
              <w:rPr>
                <w:b/>
                <w:bCs/>
                <w:noProof/>
                <w:color w:val="000000"/>
                <w:sz w:val="22"/>
              </w:rPr>
            </w:pPr>
            <w:r w:rsidRPr="00047543">
              <w:rPr>
                <w:b/>
                <w:noProof/>
                <w:color w:val="000000"/>
                <w:sz w:val="22"/>
              </w:rPr>
              <w:t>TOTALA anslag</w:t>
            </w:r>
          </w:p>
          <w:p w14:paraId="2069CFF0" w14:textId="77777777" w:rsidR="00A27CF2" w:rsidRPr="00047543" w:rsidRDefault="00A27CF2">
            <w:pPr>
              <w:spacing w:before="0" w:after="0"/>
              <w:jc w:val="center"/>
              <w:rPr>
                <w:b/>
                <w:bCs/>
                <w:noProof/>
                <w:color w:val="000000"/>
                <w:sz w:val="22"/>
              </w:rPr>
            </w:pPr>
            <w:r w:rsidRPr="00047543">
              <w:rPr>
                <w:b/>
                <w:noProof/>
                <w:color w:val="000000"/>
                <w:sz w:val="22"/>
              </w:rPr>
              <w:t xml:space="preserve">för GD </w:t>
            </w:r>
            <w:r w:rsidRPr="00047543">
              <w:rPr>
                <w:noProof/>
                <w:color w:val="000000"/>
                <w:sz w:val="22"/>
              </w:rPr>
              <w:t>&lt;…….&gt;</w:t>
            </w:r>
          </w:p>
        </w:tc>
        <w:tc>
          <w:tcPr>
            <w:tcW w:w="529" w:type="pct"/>
            <w:gridSpan w:val="3"/>
            <w:tcBorders>
              <w:top w:val="nil"/>
              <w:left w:val="nil"/>
              <w:bottom w:val="single" w:sz="8" w:space="0" w:color="auto"/>
              <w:right w:val="single" w:sz="8" w:space="0" w:color="auto"/>
            </w:tcBorders>
            <w:vAlign w:val="center"/>
            <w:hideMark/>
          </w:tcPr>
          <w:p w14:paraId="165AEF33"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6" w:type="pct"/>
            <w:gridSpan w:val="4"/>
            <w:tcBorders>
              <w:top w:val="single" w:sz="8" w:space="0" w:color="auto"/>
              <w:left w:val="nil"/>
              <w:bottom w:val="single" w:sz="8" w:space="0" w:color="auto"/>
              <w:right w:val="single" w:sz="8" w:space="0" w:color="auto"/>
            </w:tcBorders>
            <w:vAlign w:val="center"/>
            <w:hideMark/>
          </w:tcPr>
          <w:p w14:paraId="3997362B" w14:textId="77777777" w:rsidR="00A27CF2" w:rsidRPr="00047543" w:rsidRDefault="00A27CF2">
            <w:pPr>
              <w:spacing w:before="0" w:after="0"/>
              <w:jc w:val="center"/>
              <w:rPr>
                <w:noProof/>
                <w:color w:val="000000"/>
                <w:sz w:val="14"/>
                <w:szCs w:val="14"/>
              </w:rPr>
            </w:pPr>
            <w:r w:rsidRPr="00047543">
              <w:rPr>
                <w:noProof/>
                <w:color w:val="000000"/>
                <w:sz w:val="14"/>
              </w:rPr>
              <w:t>=1a+1b+3</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7905E3C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71FFAF5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78F788F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3"/>
            <w:tcBorders>
              <w:top w:val="nil"/>
              <w:left w:val="nil"/>
              <w:bottom w:val="single" w:sz="8" w:space="0" w:color="auto"/>
              <w:right w:val="single" w:sz="8" w:space="0" w:color="auto"/>
            </w:tcBorders>
            <w:shd w:val="clear" w:color="000000" w:fill="D9D9D9"/>
            <w:vAlign w:val="center"/>
            <w:hideMark/>
          </w:tcPr>
          <w:p w14:paraId="4B4EEB4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2DA625B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69CE9DC1" w14:textId="77777777">
        <w:trPr>
          <w:trHeight w:val="288"/>
        </w:trPr>
        <w:tc>
          <w:tcPr>
            <w:tcW w:w="1419" w:type="pct"/>
            <w:gridSpan w:val="2"/>
            <w:vMerge/>
            <w:tcBorders>
              <w:left w:val="single" w:sz="8" w:space="0" w:color="auto"/>
              <w:bottom w:val="single" w:sz="8" w:space="0" w:color="auto"/>
              <w:right w:val="single" w:sz="8" w:space="0" w:color="auto"/>
            </w:tcBorders>
            <w:vAlign w:val="center"/>
            <w:hideMark/>
          </w:tcPr>
          <w:p w14:paraId="121011DD" w14:textId="77777777" w:rsidR="00A27CF2" w:rsidRPr="00047543" w:rsidRDefault="00A27CF2">
            <w:pPr>
              <w:spacing w:before="0" w:after="0"/>
              <w:jc w:val="center"/>
              <w:rPr>
                <w:b/>
                <w:bCs/>
                <w:noProof/>
                <w:color w:val="000000"/>
                <w:sz w:val="22"/>
                <w:lang w:eastAsia="en-IE"/>
              </w:rPr>
            </w:pPr>
          </w:p>
        </w:tc>
        <w:tc>
          <w:tcPr>
            <w:tcW w:w="529" w:type="pct"/>
            <w:gridSpan w:val="3"/>
            <w:tcBorders>
              <w:top w:val="nil"/>
              <w:left w:val="nil"/>
              <w:bottom w:val="single" w:sz="8" w:space="0" w:color="auto"/>
              <w:right w:val="single" w:sz="8" w:space="0" w:color="auto"/>
            </w:tcBorders>
            <w:vAlign w:val="center"/>
            <w:hideMark/>
          </w:tcPr>
          <w:p w14:paraId="0D8A1551"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6" w:type="pct"/>
            <w:gridSpan w:val="4"/>
            <w:tcBorders>
              <w:top w:val="single" w:sz="8" w:space="0" w:color="auto"/>
              <w:left w:val="nil"/>
              <w:bottom w:val="single" w:sz="8" w:space="0" w:color="auto"/>
              <w:right w:val="single" w:sz="8" w:space="0" w:color="auto"/>
            </w:tcBorders>
            <w:vAlign w:val="center"/>
            <w:hideMark/>
          </w:tcPr>
          <w:p w14:paraId="05608997" w14:textId="77777777" w:rsidR="00A27CF2" w:rsidRPr="00047543" w:rsidRDefault="00A27CF2">
            <w:pPr>
              <w:spacing w:before="0" w:after="0"/>
              <w:jc w:val="center"/>
              <w:rPr>
                <w:noProof/>
                <w:color w:val="000000"/>
                <w:sz w:val="14"/>
                <w:szCs w:val="14"/>
              </w:rPr>
            </w:pPr>
            <w:r w:rsidRPr="00047543">
              <w:rPr>
                <w:noProof/>
                <w:color w:val="000000"/>
                <w:sz w:val="14"/>
              </w:rPr>
              <w:t>=2a+2b+3</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638B0C1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685ADA7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007AFAF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78" w:type="pct"/>
            <w:gridSpan w:val="3"/>
            <w:tcBorders>
              <w:top w:val="nil"/>
              <w:left w:val="nil"/>
              <w:bottom w:val="single" w:sz="8" w:space="0" w:color="auto"/>
              <w:right w:val="single" w:sz="8" w:space="0" w:color="auto"/>
            </w:tcBorders>
            <w:shd w:val="clear" w:color="000000" w:fill="D9D9D9"/>
            <w:vAlign w:val="center"/>
            <w:hideMark/>
          </w:tcPr>
          <w:p w14:paraId="08FAAE6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140047C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E6194E3" w14:textId="77777777">
        <w:trPr>
          <w:trHeight w:val="300"/>
        </w:trPr>
        <w:tc>
          <w:tcPr>
            <w:tcW w:w="2432" w:type="pct"/>
            <w:gridSpan w:val="8"/>
            <w:vMerge w:val="restart"/>
            <w:tcBorders>
              <w:top w:val="single" w:sz="8" w:space="0" w:color="auto"/>
              <w:left w:val="single" w:sz="8" w:space="0" w:color="auto"/>
              <w:bottom w:val="single" w:sz="8" w:space="0" w:color="000000"/>
              <w:right w:val="single" w:sz="8" w:space="0" w:color="000000"/>
            </w:tcBorders>
            <w:vAlign w:val="center"/>
            <w:hideMark/>
          </w:tcPr>
          <w:p w14:paraId="720C6B2A" w14:textId="77777777" w:rsidR="00A27CF2" w:rsidRPr="00047543" w:rsidRDefault="00A27CF2">
            <w:pPr>
              <w:spacing w:before="0" w:after="0"/>
              <w:jc w:val="center"/>
              <w:rPr>
                <w:b/>
                <w:bCs/>
                <w:noProof/>
                <w:color w:val="000000"/>
                <w:sz w:val="22"/>
              </w:rPr>
            </w:pPr>
            <w:r w:rsidRPr="00047543">
              <w:rPr>
                <w:b/>
                <w:noProof/>
                <w:color w:val="000000"/>
                <w:sz w:val="22"/>
              </w:rPr>
              <w:t xml:space="preserve"> </w:t>
            </w:r>
          </w:p>
        </w:tc>
        <w:tc>
          <w:tcPr>
            <w:tcW w:w="493" w:type="pct"/>
            <w:gridSpan w:val="3"/>
            <w:tcBorders>
              <w:top w:val="single" w:sz="8" w:space="0" w:color="auto"/>
              <w:left w:val="nil"/>
              <w:bottom w:val="single" w:sz="8" w:space="0" w:color="auto"/>
              <w:right w:val="single" w:sz="8" w:space="0" w:color="auto"/>
            </w:tcBorders>
            <w:vAlign w:val="center"/>
            <w:hideMark/>
          </w:tcPr>
          <w:p w14:paraId="61782FDA"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3"/>
            <w:tcBorders>
              <w:top w:val="single" w:sz="8" w:space="0" w:color="auto"/>
              <w:left w:val="nil"/>
              <w:bottom w:val="single" w:sz="8" w:space="0" w:color="auto"/>
              <w:right w:val="single" w:sz="8" w:space="0" w:color="auto"/>
            </w:tcBorders>
            <w:vAlign w:val="center"/>
            <w:hideMark/>
          </w:tcPr>
          <w:p w14:paraId="5AD0B94D"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3"/>
            <w:tcBorders>
              <w:top w:val="single" w:sz="8" w:space="0" w:color="auto"/>
              <w:left w:val="nil"/>
              <w:bottom w:val="single" w:sz="8" w:space="0" w:color="auto"/>
              <w:right w:val="single" w:sz="8" w:space="0" w:color="auto"/>
            </w:tcBorders>
            <w:vAlign w:val="center"/>
            <w:hideMark/>
          </w:tcPr>
          <w:p w14:paraId="1461A986"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93" w:type="pct"/>
            <w:gridSpan w:val="3"/>
            <w:tcBorders>
              <w:top w:val="single" w:sz="8" w:space="0" w:color="auto"/>
              <w:left w:val="nil"/>
              <w:bottom w:val="single" w:sz="8" w:space="0" w:color="auto"/>
              <w:right w:val="single" w:sz="8" w:space="0" w:color="auto"/>
            </w:tcBorders>
            <w:vAlign w:val="center"/>
            <w:hideMark/>
          </w:tcPr>
          <w:p w14:paraId="01B13866"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96"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06CD55CF"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668AA80C" w14:textId="77777777">
        <w:trPr>
          <w:trHeight w:val="300"/>
        </w:trPr>
        <w:tc>
          <w:tcPr>
            <w:tcW w:w="2432" w:type="pct"/>
            <w:gridSpan w:val="8"/>
            <w:vMerge/>
            <w:tcBorders>
              <w:top w:val="single" w:sz="8" w:space="0" w:color="auto"/>
              <w:left w:val="single" w:sz="8" w:space="0" w:color="auto"/>
              <w:bottom w:val="single" w:sz="8" w:space="0" w:color="000000"/>
              <w:right w:val="single" w:sz="8" w:space="0" w:color="000000"/>
            </w:tcBorders>
            <w:vAlign w:val="center"/>
            <w:hideMark/>
          </w:tcPr>
          <w:p w14:paraId="509972CA" w14:textId="77777777" w:rsidR="00A27CF2" w:rsidRPr="00047543" w:rsidRDefault="00A27CF2">
            <w:pPr>
              <w:spacing w:before="0" w:after="0"/>
              <w:jc w:val="left"/>
              <w:rPr>
                <w:b/>
                <w:bCs/>
                <w:noProof/>
                <w:color w:val="000000"/>
                <w:sz w:val="22"/>
                <w:lang w:eastAsia="en-IE"/>
              </w:rPr>
            </w:pPr>
          </w:p>
        </w:tc>
        <w:tc>
          <w:tcPr>
            <w:tcW w:w="493" w:type="pct"/>
            <w:gridSpan w:val="3"/>
            <w:tcBorders>
              <w:top w:val="nil"/>
              <w:left w:val="nil"/>
              <w:bottom w:val="single" w:sz="8" w:space="0" w:color="auto"/>
              <w:right w:val="single" w:sz="8" w:space="0" w:color="auto"/>
            </w:tcBorders>
            <w:vAlign w:val="center"/>
            <w:hideMark/>
          </w:tcPr>
          <w:p w14:paraId="29D59207"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93" w:type="pct"/>
            <w:gridSpan w:val="3"/>
            <w:tcBorders>
              <w:top w:val="nil"/>
              <w:left w:val="nil"/>
              <w:bottom w:val="single" w:sz="8" w:space="0" w:color="auto"/>
              <w:right w:val="single" w:sz="8" w:space="0" w:color="auto"/>
            </w:tcBorders>
            <w:vAlign w:val="center"/>
            <w:hideMark/>
          </w:tcPr>
          <w:p w14:paraId="014FE23A"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93" w:type="pct"/>
            <w:gridSpan w:val="3"/>
            <w:tcBorders>
              <w:top w:val="nil"/>
              <w:left w:val="nil"/>
              <w:bottom w:val="single" w:sz="8" w:space="0" w:color="auto"/>
              <w:right w:val="single" w:sz="8" w:space="0" w:color="auto"/>
            </w:tcBorders>
            <w:vAlign w:val="center"/>
            <w:hideMark/>
          </w:tcPr>
          <w:p w14:paraId="70A669B7"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93" w:type="pct"/>
            <w:gridSpan w:val="3"/>
            <w:tcBorders>
              <w:top w:val="nil"/>
              <w:left w:val="nil"/>
              <w:bottom w:val="single" w:sz="8" w:space="0" w:color="auto"/>
              <w:right w:val="single" w:sz="8" w:space="0" w:color="auto"/>
            </w:tcBorders>
            <w:vAlign w:val="center"/>
            <w:hideMark/>
          </w:tcPr>
          <w:p w14:paraId="3B32767C"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96" w:type="pct"/>
            <w:gridSpan w:val="3"/>
            <w:vMerge/>
            <w:tcBorders>
              <w:top w:val="single" w:sz="8" w:space="0" w:color="auto"/>
              <w:left w:val="single" w:sz="8" w:space="0" w:color="auto"/>
              <w:bottom w:val="single" w:sz="8" w:space="0" w:color="auto"/>
              <w:right w:val="single" w:sz="8" w:space="0" w:color="auto"/>
            </w:tcBorders>
            <w:vAlign w:val="center"/>
            <w:hideMark/>
          </w:tcPr>
          <w:p w14:paraId="19F852BC" w14:textId="77777777" w:rsidR="00A27CF2" w:rsidRPr="00047543" w:rsidRDefault="00A27CF2">
            <w:pPr>
              <w:spacing w:before="0" w:after="0"/>
              <w:jc w:val="left"/>
              <w:rPr>
                <w:b/>
                <w:bCs/>
                <w:noProof/>
                <w:color w:val="000000"/>
                <w:sz w:val="20"/>
                <w:szCs w:val="20"/>
                <w:lang w:eastAsia="en-IE"/>
              </w:rPr>
            </w:pPr>
          </w:p>
        </w:tc>
      </w:tr>
      <w:tr w:rsidR="00A27CF2" w:rsidRPr="00047543" w14:paraId="080CEBE2" w14:textId="77777777">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14:paraId="705DC593" w14:textId="77777777" w:rsidR="00A27CF2" w:rsidRPr="00047543" w:rsidRDefault="00A27CF2">
            <w:pPr>
              <w:spacing w:before="0" w:after="0"/>
              <w:rPr>
                <w:noProof/>
                <w:color w:val="000000"/>
                <w:sz w:val="21"/>
                <w:szCs w:val="21"/>
              </w:rPr>
            </w:pPr>
            <w:r w:rsidRPr="00047543">
              <w:rPr>
                <w:noProof/>
                <w:color w:val="000000"/>
                <w:sz w:val="21"/>
              </w:rPr>
              <w:t xml:space="preserve">TOTALA driftsanslag </w:t>
            </w:r>
            <w:r w:rsidRPr="00047543">
              <w:rPr>
                <w:noProof/>
              </w:rPr>
              <w:t xml:space="preserve"> </w:t>
            </w:r>
            <w:r w:rsidRPr="00047543">
              <w:rPr>
                <w:noProof/>
              </w:rPr>
              <w:cr/>
            </w:r>
            <w:r w:rsidRPr="00047543">
              <w:rPr>
                <w:noProof/>
              </w:rPr>
              <w:br/>
            </w:r>
          </w:p>
        </w:tc>
        <w:tc>
          <w:tcPr>
            <w:tcW w:w="529" w:type="pct"/>
            <w:gridSpan w:val="3"/>
            <w:tcBorders>
              <w:top w:val="nil"/>
              <w:left w:val="nil"/>
              <w:bottom w:val="single" w:sz="8" w:space="0" w:color="auto"/>
              <w:right w:val="single" w:sz="8" w:space="0" w:color="auto"/>
            </w:tcBorders>
            <w:vAlign w:val="center"/>
            <w:hideMark/>
          </w:tcPr>
          <w:p w14:paraId="587183D9"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2" w:type="pct"/>
            <w:gridSpan w:val="4"/>
            <w:tcBorders>
              <w:top w:val="single" w:sz="8" w:space="0" w:color="auto"/>
              <w:left w:val="nil"/>
              <w:bottom w:val="single" w:sz="8" w:space="0" w:color="auto"/>
              <w:right w:val="single" w:sz="8" w:space="0" w:color="auto"/>
            </w:tcBorders>
            <w:vAlign w:val="center"/>
            <w:hideMark/>
          </w:tcPr>
          <w:p w14:paraId="15DC07F5" w14:textId="77777777" w:rsidR="00A27CF2" w:rsidRPr="00047543" w:rsidRDefault="00A27CF2">
            <w:pPr>
              <w:spacing w:before="0" w:after="0"/>
              <w:jc w:val="center"/>
              <w:rPr>
                <w:noProof/>
                <w:color w:val="000000"/>
                <w:sz w:val="14"/>
                <w:szCs w:val="14"/>
              </w:rPr>
            </w:pPr>
            <w:r w:rsidRPr="00047543">
              <w:rPr>
                <w:noProof/>
                <w:color w:val="000000"/>
                <w:sz w:val="14"/>
              </w:rPr>
              <w:t>(4)</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3529F99A"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6595A3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CE7D96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758D5A27"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4AC87A6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AB7839A" w14:textId="77777777">
        <w:trPr>
          <w:trHeight w:val="456"/>
        </w:trPr>
        <w:tc>
          <w:tcPr>
            <w:tcW w:w="1411" w:type="pct"/>
            <w:vMerge/>
            <w:tcBorders>
              <w:top w:val="nil"/>
              <w:left w:val="single" w:sz="8" w:space="0" w:color="auto"/>
              <w:bottom w:val="single" w:sz="8" w:space="0" w:color="auto"/>
              <w:right w:val="single" w:sz="8" w:space="0" w:color="auto"/>
            </w:tcBorders>
            <w:vAlign w:val="center"/>
            <w:hideMark/>
          </w:tcPr>
          <w:p w14:paraId="72C1F97E" w14:textId="77777777" w:rsidR="00A27CF2" w:rsidRPr="00047543" w:rsidRDefault="00A27CF2">
            <w:pPr>
              <w:spacing w:before="0" w:after="0"/>
              <w:jc w:val="left"/>
              <w:rPr>
                <w:noProof/>
                <w:color w:val="000000"/>
                <w:sz w:val="21"/>
                <w:szCs w:val="21"/>
                <w:lang w:eastAsia="en-IE"/>
              </w:rPr>
            </w:pPr>
          </w:p>
        </w:tc>
        <w:tc>
          <w:tcPr>
            <w:tcW w:w="529" w:type="pct"/>
            <w:gridSpan w:val="3"/>
            <w:tcBorders>
              <w:top w:val="nil"/>
              <w:left w:val="nil"/>
              <w:bottom w:val="single" w:sz="8" w:space="0" w:color="auto"/>
              <w:right w:val="single" w:sz="8" w:space="0" w:color="auto"/>
            </w:tcBorders>
            <w:vAlign w:val="center"/>
            <w:hideMark/>
          </w:tcPr>
          <w:p w14:paraId="168D400D"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2" w:type="pct"/>
            <w:gridSpan w:val="4"/>
            <w:tcBorders>
              <w:top w:val="single" w:sz="8" w:space="0" w:color="auto"/>
              <w:left w:val="nil"/>
              <w:bottom w:val="single" w:sz="8" w:space="0" w:color="auto"/>
              <w:right w:val="single" w:sz="8" w:space="0" w:color="auto"/>
            </w:tcBorders>
            <w:vAlign w:val="center"/>
            <w:hideMark/>
          </w:tcPr>
          <w:p w14:paraId="43DEEE24" w14:textId="77777777" w:rsidR="00A27CF2" w:rsidRPr="00047543" w:rsidRDefault="00A27CF2">
            <w:pPr>
              <w:spacing w:before="0" w:after="0"/>
              <w:jc w:val="center"/>
              <w:rPr>
                <w:noProof/>
                <w:color w:val="000000"/>
                <w:sz w:val="14"/>
                <w:szCs w:val="14"/>
              </w:rPr>
            </w:pPr>
            <w:r w:rsidRPr="00047543">
              <w:rPr>
                <w:noProof/>
                <w:color w:val="000000"/>
                <w:sz w:val="14"/>
              </w:rPr>
              <w:t>(5)</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5A62B67D"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7FFCA54"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B01C817"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E65F073"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47C63A4D"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2EE8870A" w14:textId="77777777">
        <w:trPr>
          <w:trHeight w:val="924"/>
        </w:trPr>
        <w:tc>
          <w:tcPr>
            <w:tcW w:w="1939" w:type="pct"/>
            <w:gridSpan w:val="4"/>
            <w:tcBorders>
              <w:top w:val="single" w:sz="8" w:space="0" w:color="auto"/>
              <w:left w:val="single" w:sz="8" w:space="0" w:color="auto"/>
              <w:bottom w:val="single" w:sz="8" w:space="0" w:color="auto"/>
              <w:right w:val="single" w:sz="8" w:space="0" w:color="auto"/>
            </w:tcBorders>
            <w:vAlign w:val="center"/>
            <w:hideMark/>
          </w:tcPr>
          <w:p w14:paraId="0D406671" w14:textId="77777777" w:rsidR="00A27CF2" w:rsidRPr="00047543" w:rsidRDefault="00A27CF2">
            <w:pPr>
              <w:spacing w:before="0" w:after="0"/>
              <w:rPr>
                <w:noProof/>
                <w:color w:val="000000"/>
                <w:sz w:val="21"/>
                <w:szCs w:val="21"/>
              </w:rPr>
            </w:pPr>
            <w:r w:rsidRPr="00047543">
              <w:rPr>
                <w:noProof/>
                <w:color w:val="000000"/>
                <w:sz w:val="21"/>
              </w:rPr>
              <w:t xml:space="preserve">TOTALA anslag av administrativ natur som finansieras genom ramanslagen för särskilda program </w:t>
            </w:r>
          </w:p>
        </w:tc>
        <w:tc>
          <w:tcPr>
            <w:tcW w:w="492" w:type="pct"/>
            <w:gridSpan w:val="4"/>
            <w:tcBorders>
              <w:top w:val="single" w:sz="8" w:space="0" w:color="auto"/>
              <w:left w:val="nil"/>
              <w:bottom w:val="single" w:sz="8" w:space="0" w:color="auto"/>
              <w:right w:val="single" w:sz="8" w:space="0" w:color="auto"/>
            </w:tcBorders>
            <w:vAlign w:val="center"/>
            <w:hideMark/>
          </w:tcPr>
          <w:p w14:paraId="7AA6B911" w14:textId="77777777" w:rsidR="00A27CF2" w:rsidRPr="00047543" w:rsidRDefault="00A27CF2">
            <w:pPr>
              <w:spacing w:before="0" w:after="0"/>
              <w:jc w:val="center"/>
              <w:rPr>
                <w:noProof/>
                <w:color w:val="000000"/>
                <w:sz w:val="14"/>
                <w:szCs w:val="14"/>
              </w:rPr>
            </w:pPr>
            <w:r w:rsidRPr="00047543">
              <w:rPr>
                <w:noProof/>
                <w:color w:val="000000"/>
                <w:sz w:val="14"/>
              </w:rPr>
              <w:t>(6)</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6916ADF8"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61CF968"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098DD5A"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370A5FA"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539C515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6514E70" w14:textId="77777777">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299152B7" w14:textId="77777777" w:rsidR="00A27CF2" w:rsidRPr="00047543" w:rsidRDefault="00A27CF2">
            <w:pPr>
              <w:spacing w:before="0" w:after="0"/>
              <w:jc w:val="center"/>
              <w:rPr>
                <w:b/>
                <w:bCs/>
                <w:noProof/>
                <w:color w:val="000000"/>
                <w:sz w:val="22"/>
              </w:rPr>
            </w:pPr>
            <w:r w:rsidRPr="00047543">
              <w:rPr>
                <w:b/>
                <w:noProof/>
                <w:color w:val="000000"/>
                <w:sz w:val="22"/>
              </w:rPr>
              <w:t>TOTALA anslag för RUBRIK &lt;….&gt;</w:t>
            </w:r>
          </w:p>
        </w:tc>
        <w:tc>
          <w:tcPr>
            <w:tcW w:w="529" w:type="pct"/>
            <w:gridSpan w:val="3"/>
            <w:tcBorders>
              <w:top w:val="nil"/>
              <w:left w:val="nil"/>
              <w:bottom w:val="single" w:sz="8" w:space="0" w:color="auto"/>
              <w:right w:val="single" w:sz="8" w:space="0" w:color="auto"/>
            </w:tcBorders>
            <w:vAlign w:val="center"/>
            <w:hideMark/>
          </w:tcPr>
          <w:p w14:paraId="471F0647"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492" w:type="pct"/>
            <w:gridSpan w:val="4"/>
            <w:tcBorders>
              <w:top w:val="single" w:sz="8" w:space="0" w:color="auto"/>
              <w:left w:val="nil"/>
              <w:bottom w:val="single" w:sz="8" w:space="0" w:color="auto"/>
              <w:right w:val="single" w:sz="8" w:space="0" w:color="auto"/>
            </w:tcBorders>
            <w:vAlign w:val="center"/>
            <w:hideMark/>
          </w:tcPr>
          <w:p w14:paraId="0C40BCCB" w14:textId="77777777" w:rsidR="00A27CF2" w:rsidRPr="00047543" w:rsidRDefault="00A27CF2">
            <w:pPr>
              <w:spacing w:before="0" w:after="0"/>
              <w:jc w:val="center"/>
              <w:rPr>
                <w:noProof/>
                <w:color w:val="000000"/>
                <w:sz w:val="14"/>
                <w:szCs w:val="14"/>
              </w:rPr>
            </w:pPr>
            <w:r w:rsidRPr="00047543">
              <w:rPr>
                <w:noProof/>
                <w:color w:val="000000"/>
                <w:sz w:val="14"/>
              </w:rPr>
              <w:t>=4+6</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A9779E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02CA209"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B50E43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094F437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40DBAB8E"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F08DECD" w14:textId="77777777">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383AEF16" w14:textId="77777777" w:rsidR="00A27CF2" w:rsidRPr="00047543" w:rsidRDefault="00A27CF2">
            <w:pPr>
              <w:spacing w:before="0" w:after="0"/>
              <w:jc w:val="center"/>
              <w:rPr>
                <w:noProof/>
                <w:color w:val="000000"/>
                <w:sz w:val="22"/>
              </w:rPr>
            </w:pPr>
            <w:r w:rsidRPr="00047543">
              <w:rPr>
                <w:noProof/>
                <w:color w:val="000000"/>
                <w:sz w:val="22"/>
              </w:rPr>
              <w:t>i den fleråriga budgetramen</w:t>
            </w:r>
          </w:p>
        </w:tc>
        <w:tc>
          <w:tcPr>
            <w:tcW w:w="529" w:type="pct"/>
            <w:gridSpan w:val="3"/>
            <w:tcBorders>
              <w:top w:val="nil"/>
              <w:left w:val="nil"/>
              <w:bottom w:val="single" w:sz="8" w:space="0" w:color="auto"/>
              <w:right w:val="single" w:sz="8" w:space="0" w:color="auto"/>
            </w:tcBorders>
            <w:vAlign w:val="center"/>
            <w:hideMark/>
          </w:tcPr>
          <w:p w14:paraId="47F2F502"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492" w:type="pct"/>
            <w:gridSpan w:val="4"/>
            <w:tcBorders>
              <w:top w:val="single" w:sz="8" w:space="0" w:color="auto"/>
              <w:left w:val="nil"/>
              <w:bottom w:val="single" w:sz="8" w:space="0" w:color="auto"/>
              <w:right w:val="single" w:sz="8" w:space="0" w:color="auto"/>
            </w:tcBorders>
            <w:vAlign w:val="center"/>
            <w:hideMark/>
          </w:tcPr>
          <w:p w14:paraId="4EAE3BA5" w14:textId="77777777" w:rsidR="00A27CF2" w:rsidRPr="00047543" w:rsidRDefault="00A27CF2">
            <w:pPr>
              <w:spacing w:before="0" w:after="0"/>
              <w:jc w:val="center"/>
              <w:rPr>
                <w:noProof/>
                <w:color w:val="000000"/>
                <w:sz w:val="14"/>
                <w:szCs w:val="14"/>
              </w:rPr>
            </w:pPr>
            <w:r w:rsidRPr="00047543">
              <w:rPr>
                <w:noProof/>
                <w:color w:val="000000"/>
                <w:sz w:val="14"/>
              </w:rPr>
              <w:t>=5+6</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0D3314B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7BAD856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AE43FC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316F69F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96" w:type="pct"/>
            <w:gridSpan w:val="3"/>
            <w:tcBorders>
              <w:top w:val="nil"/>
              <w:left w:val="nil"/>
              <w:bottom w:val="single" w:sz="8" w:space="0" w:color="auto"/>
              <w:right w:val="single" w:sz="8" w:space="0" w:color="auto"/>
            </w:tcBorders>
            <w:shd w:val="clear" w:color="000000" w:fill="D9D9D9"/>
            <w:vAlign w:val="center"/>
            <w:hideMark/>
          </w:tcPr>
          <w:p w14:paraId="1A411D2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3BB4030" w14:textId="77777777">
        <w:trPr>
          <w:trHeight w:val="288"/>
        </w:trPr>
        <w:tc>
          <w:tcPr>
            <w:tcW w:w="1522" w:type="pct"/>
            <w:gridSpan w:val="3"/>
            <w:tcBorders>
              <w:top w:val="nil"/>
              <w:left w:val="nil"/>
              <w:bottom w:val="nil"/>
              <w:right w:val="nil"/>
            </w:tcBorders>
            <w:noWrap/>
            <w:vAlign w:val="bottom"/>
            <w:hideMark/>
          </w:tcPr>
          <w:p w14:paraId="2C9D906F" w14:textId="77777777" w:rsidR="00A27CF2" w:rsidRPr="00047543" w:rsidRDefault="00A27CF2">
            <w:pPr>
              <w:spacing w:before="0" w:after="0"/>
              <w:jc w:val="left"/>
              <w:rPr>
                <w:noProof/>
                <w:sz w:val="20"/>
                <w:szCs w:val="24"/>
                <w:lang w:eastAsia="en-IE"/>
              </w:rPr>
            </w:pPr>
          </w:p>
        </w:tc>
        <w:tc>
          <w:tcPr>
            <w:tcW w:w="471" w:type="pct"/>
            <w:gridSpan w:val="3"/>
            <w:tcBorders>
              <w:top w:val="nil"/>
              <w:left w:val="nil"/>
              <w:bottom w:val="nil"/>
              <w:right w:val="nil"/>
            </w:tcBorders>
            <w:noWrap/>
            <w:vAlign w:val="bottom"/>
            <w:hideMark/>
          </w:tcPr>
          <w:p w14:paraId="33BACDE3" w14:textId="77777777" w:rsidR="00A27CF2" w:rsidRPr="00047543" w:rsidRDefault="00A27CF2">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207955F5" w14:textId="77777777" w:rsidR="00A27CF2" w:rsidRPr="00047543" w:rsidRDefault="00A27CF2">
            <w:pPr>
              <w:spacing w:before="0" w:after="0"/>
              <w:jc w:val="left"/>
              <w:rPr>
                <w:noProof/>
                <w:sz w:val="20"/>
                <w:szCs w:val="20"/>
                <w:lang w:eastAsia="en-IE"/>
              </w:rPr>
            </w:pPr>
          </w:p>
        </w:tc>
        <w:tc>
          <w:tcPr>
            <w:tcW w:w="366" w:type="pct"/>
            <w:gridSpan w:val="3"/>
            <w:tcBorders>
              <w:top w:val="nil"/>
              <w:left w:val="nil"/>
              <w:bottom w:val="nil"/>
              <w:right w:val="single" w:sz="4" w:space="0" w:color="auto"/>
            </w:tcBorders>
            <w:noWrap/>
            <w:vAlign w:val="bottom"/>
            <w:hideMark/>
          </w:tcPr>
          <w:p w14:paraId="69E35F55" w14:textId="77777777" w:rsidR="00A27CF2" w:rsidRPr="00047543" w:rsidRDefault="00A27CF2">
            <w:pPr>
              <w:spacing w:before="0" w:after="0"/>
              <w:jc w:val="left"/>
              <w:rPr>
                <w:noProof/>
                <w:sz w:val="20"/>
                <w:szCs w:val="20"/>
                <w:lang w:eastAsia="en-IE"/>
              </w:rPr>
            </w:pPr>
          </w:p>
        </w:tc>
        <w:tc>
          <w:tcPr>
            <w:tcW w:w="437" w:type="pct"/>
            <w:gridSpan w:val="3"/>
            <w:tcBorders>
              <w:top w:val="single" w:sz="8" w:space="0" w:color="auto"/>
              <w:left w:val="single" w:sz="4" w:space="0" w:color="auto"/>
              <w:bottom w:val="nil"/>
              <w:right w:val="single" w:sz="8" w:space="0" w:color="auto"/>
            </w:tcBorders>
            <w:vAlign w:val="center"/>
            <w:hideMark/>
          </w:tcPr>
          <w:p w14:paraId="52CD3D15"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37" w:type="pct"/>
            <w:gridSpan w:val="3"/>
            <w:tcBorders>
              <w:top w:val="single" w:sz="8" w:space="0" w:color="auto"/>
              <w:left w:val="nil"/>
              <w:bottom w:val="nil"/>
              <w:right w:val="single" w:sz="8" w:space="0" w:color="auto"/>
            </w:tcBorders>
            <w:vAlign w:val="center"/>
            <w:hideMark/>
          </w:tcPr>
          <w:p w14:paraId="26AD3C7A"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37" w:type="pct"/>
            <w:gridSpan w:val="3"/>
            <w:tcBorders>
              <w:top w:val="single" w:sz="8" w:space="0" w:color="auto"/>
              <w:left w:val="nil"/>
              <w:bottom w:val="nil"/>
              <w:right w:val="single" w:sz="8" w:space="0" w:color="auto"/>
            </w:tcBorders>
            <w:vAlign w:val="center"/>
            <w:hideMark/>
          </w:tcPr>
          <w:p w14:paraId="5EF5D2BC"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437" w:type="pct"/>
            <w:gridSpan w:val="3"/>
            <w:tcBorders>
              <w:top w:val="single" w:sz="8" w:space="0" w:color="auto"/>
              <w:left w:val="nil"/>
              <w:bottom w:val="nil"/>
              <w:right w:val="single" w:sz="8" w:space="0" w:color="auto"/>
            </w:tcBorders>
            <w:vAlign w:val="center"/>
            <w:hideMark/>
          </w:tcPr>
          <w:p w14:paraId="17A25BE7"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28" w:type="pct"/>
            <w:vMerge w:val="restart"/>
            <w:tcBorders>
              <w:top w:val="single" w:sz="8" w:space="0" w:color="auto"/>
              <w:left w:val="single" w:sz="8" w:space="0" w:color="auto"/>
              <w:bottom w:val="single" w:sz="8" w:space="0" w:color="000000"/>
              <w:right w:val="single" w:sz="8" w:space="0" w:color="auto"/>
            </w:tcBorders>
            <w:vAlign w:val="center"/>
            <w:hideMark/>
          </w:tcPr>
          <w:p w14:paraId="4AAC6C15"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2ACA3E2F" w14:textId="77777777">
        <w:trPr>
          <w:trHeight w:val="300"/>
        </w:trPr>
        <w:tc>
          <w:tcPr>
            <w:tcW w:w="1522" w:type="pct"/>
            <w:gridSpan w:val="3"/>
            <w:tcBorders>
              <w:top w:val="nil"/>
              <w:left w:val="nil"/>
              <w:bottom w:val="nil"/>
              <w:right w:val="nil"/>
            </w:tcBorders>
            <w:noWrap/>
            <w:vAlign w:val="bottom"/>
            <w:hideMark/>
          </w:tcPr>
          <w:p w14:paraId="519A541E" w14:textId="77777777" w:rsidR="00A27CF2" w:rsidRPr="00047543" w:rsidRDefault="00A27CF2">
            <w:pPr>
              <w:spacing w:before="0" w:after="0"/>
              <w:jc w:val="center"/>
              <w:rPr>
                <w:b/>
                <w:bCs/>
                <w:noProof/>
                <w:color w:val="000000"/>
                <w:sz w:val="20"/>
                <w:szCs w:val="20"/>
                <w:lang w:eastAsia="en-IE"/>
              </w:rPr>
            </w:pPr>
          </w:p>
        </w:tc>
        <w:tc>
          <w:tcPr>
            <w:tcW w:w="471" w:type="pct"/>
            <w:gridSpan w:val="3"/>
            <w:tcBorders>
              <w:top w:val="nil"/>
              <w:left w:val="nil"/>
              <w:bottom w:val="nil"/>
              <w:right w:val="nil"/>
            </w:tcBorders>
            <w:noWrap/>
            <w:vAlign w:val="bottom"/>
            <w:hideMark/>
          </w:tcPr>
          <w:p w14:paraId="2899E535" w14:textId="77777777" w:rsidR="00A27CF2" w:rsidRPr="00047543" w:rsidRDefault="00A27CF2">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32FAE1B8" w14:textId="77777777" w:rsidR="00A27CF2" w:rsidRPr="00047543" w:rsidRDefault="00A27CF2">
            <w:pPr>
              <w:spacing w:before="0" w:after="0"/>
              <w:jc w:val="left"/>
              <w:rPr>
                <w:noProof/>
                <w:sz w:val="20"/>
                <w:szCs w:val="20"/>
                <w:lang w:eastAsia="en-IE"/>
              </w:rPr>
            </w:pPr>
          </w:p>
        </w:tc>
        <w:tc>
          <w:tcPr>
            <w:tcW w:w="366" w:type="pct"/>
            <w:gridSpan w:val="3"/>
            <w:tcBorders>
              <w:top w:val="nil"/>
              <w:left w:val="nil"/>
              <w:bottom w:val="nil"/>
              <w:right w:val="single" w:sz="4" w:space="0" w:color="auto"/>
            </w:tcBorders>
            <w:noWrap/>
            <w:vAlign w:val="bottom"/>
            <w:hideMark/>
          </w:tcPr>
          <w:p w14:paraId="5DB223E9" w14:textId="77777777" w:rsidR="00A27CF2" w:rsidRPr="00047543" w:rsidRDefault="00A27CF2">
            <w:pPr>
              <w:spacing w:before="0" w:after="0"/>
              <w:jc w:val="left"/>
              <w:rPr>
                <w:noProof/>
                <w:sz w:val="20"/>
                <w:szCs w:val="20"/>
                <w:lang w:eastAsia="en-IE"/>
              </w:rPr>
            </w:pPr>
          </w:p>
        </w:tc>
        <w:tc>
          <w:tcPr>
            <w:tcW w:w="437" w:type="pct"/>
            <w:gridSpan w:val="3"/>
            <w:tcBorders>
              <w:top w:val="nil"/>
              <w:left w:val="single" w:sz="4" w:space="0" w:color="auto"/>
              <w:bottom w:val="single" w:sz="8" w:space="0" w:color="auto"/>
              <w:right w:val="single" w:sz="8" w:space="0" w:color="auto"/>
            </w:tcBorders>
            <w:vAlign w:val="center"/>
            <w:hideMark/>
          </w:tcPr>
          <w:p w14:paraId="16189A35"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437" w:type="pct"/>
            <w:gridSpan w:val="3"/>
            <w:tcBorders>
              <w:top w:val="nil"/>
              <w:left w:val="nil"/>
              <w:bottom w:val="single" w:sz="8" w:space="0" w:color="auto"/>
              <w:right w:val="single" w:sz="8" w:space="0" w:color="auto"/>
            </w:tcBorders>
            <w:vAlign w:val="center"/>
            <w:hideMark/>
          </w:tcPr>
          <w:p w14:paraId="48E0A0B2"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437" w:type="pct"/>
            <w:gridSpan w:val="3"/>
            <w:tcBorders>
              <w:top w:val="nil"/>
              <w:left w:val="nil"/>
              <w:bottom w:val="single" w:sz="8" w:space="0" w:color="auto"/>
              <w:right w:val="single" w:sz="8" w:space="0" w:color="auto"/>
            </w:tcBorders>
            <w:vAlign w:val="center"/>
            <w:hideMark/>
          </w:tcPr>
          <w:p w14:paraId="6C81A467"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437" w:type="pct"/>
            <w:gridSpan w:val="3"/>
            <w:tcBorders>
              <w:top w:val="nil"/>
              <w:left w:val="nil"/>
              <w:bottom w:val="single" w:sz="8" w:space="0" w:color="auto"/>
              <w:right w:val="single" w:sz="8" w:space="0" w:color="auto"/>
            </w:tcBorders>
            <w:vAlign w:val="center"/>
            <w:hideMark/>
          </w:tcPr>
          <w:p w14:paraId="448CF828"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14:paraId="6F18F05E" w14:textId="77777777" w:rsidR="00A27CF2" w:rsidRPr="00047543" w:rsidRDefault="00A27CF2">
            <w:pPr>
              <w:spacing w:before="0" w:after="0"/>
              <w:jc w:val="left"/>
              <w:rPr>
                <w:b/>
                <w:bCs/>
                <w:noProof/>
                <w:color w:val="000000"/>
                <w:sz w:val="20"/>
                <w:szCs w:val="20"/>
                <w:lang w:eastAsia="en-IE"/>
              </w:rPr>
            </w:pPr>
          </w:p>
        </w:tc>
      </w:tr>
      <w:tr w:rsidR="00A27CF2" w:rsidRPr="00047543" w14:paraId="48B6AE2E" w14:textId="77777777">
        <w:trPr>
          <w:trHeight w:val="300"/>
        </w:trPr>
        <w:tc>
          <w:tcPr>
            <w:tcW w:w="1522" w:type="pct"/>
            <w:gridSpan w:val="3"/>
            <w:vMerge w:val="restart"/>
            <w:tcBorders>
              <w:top w:val="single" w:sz="8" w:space="0" w:color="auto"/>
              <w:left w:val="single" w:sz="8" w:space="0" w:color="auto"/>
              <w:bottom w:val="single" w:sz="8" w:space="0" w:color="auto"/>
              <w:right w:val="single" w:sz="8" w:space="0" w:color="auto"/>
            </w:tcBorders>
            <w:vAlign w:val="center"/>
            <w:hideMark/>
          </w:tcPr>
          <w:p w14:paraId="2BC06A9D" w14:textId="77777777" w:rsidR="00A27CF2" w:rsidRPr="00047543" w:rsidRDefault="00A27CF2">
            <w:pPr>
              <w:spacing w:before="0" w:after="0"/>
              <w:rPr>
                <w:noProof/>
                <w:color w:val="000000"/>
                <w:sz w:val="21"/>
                <w:szCs w:val="21"/>
              </w:rPr>
            </w:pPr>
            <w:r w:rsidRPr="00047543">
              <w:rPr>
                <w:rFonts w:ascii="Calibri" w:hAnsi="Calibri"/>
                <w:noProof/>
                <w:color w:val="000000"/>
                <w:sz w:val="21"/>
              </w:rPr>
              <w:t xml:space="preserve">• </w:t>
            </w:r>
            <w:r w:rsidRPr="00047543">
              <w:rPr>
                <w:noProof/>
                <w:color w:val="000000"/>
                <w:sz w:val="21"/>
              </w:rPr>
              <w:t>TOTALA driftsanslag (alla driftsposter)</w:t>
            </w:r>
          </w:p>
        </w:tc>
        <w:tc>
          <w:tcPr>
            <w:tcW w:w="471" w:type="pct"/>
            <w:gridSpan w:val="3"/>
            <w:tcBorders>
              <w:top w:val="single" w:sz="8" w:space="0" w:color="auto"/>
              <w:left w:val="nil"/>
              <w:bottom w:val="single" w:sz="8" w:space="0" w:color="auto"/>
              <w:right w:val="single" w:sz="8" w:space="0" w:color="auto"/>
            </w:tcBorders>
            <w:vAlign w:val="center"/>
            <w:hideMark/>
          </w:tcPr>
          <w:p w14:paraId="0FC6E533"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731" w:type="pct"/>
            <w:gridSpan w:val="4"/>
            <w:tcBorders>
              <w:top w:val="single" w:sz="8" w:space="0" w:color="auto"/>
              <w:left w:val="nil"/>
              <w:bottom w:val="single" w:sz="8" w:space="0" w:color="auto"/>
              <w:right w:val="single" w:sz="8" w:space="0" w:color="000000"/>
            </w:tcBorders>
            <w:vAlign w:val="center"/>
            <w:hideMark/>
          </w:tcPr>
          <w:p w14:paraId="5C539909" w14:textId="77777777" w:rsidR="00A27CF2" w:rsidRPr="00047543" w:rsidRDefault="00A27CF2">
            <w:pPr>
              <w:spacing w:before="0" w:after="0"/>
              <w:jc w:val="center"/>
              <w:rPr>
                <w:noProof/>
                <w:color w:val="000000"/>
                <w:sz w:val="14"/>
                <w:szCs w:val="14"/>
              </w:rPr>
            </w:pPr>
            <w:r w:rsidRPr="00047543">
              <w:rPr>
                <w:noProof/>
                <w:color w:val="000000"/>
                <w:sz w:val="14"/>
              </w:rPr>
              <w:t>(4)</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0E22E15D"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B2C6042"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075BC04"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5FBA98A1"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147E34A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B43727B" w14:textId="77777777">
        <w:trPr>
          <w:trHeight w:val="300"/>
        </w:trPr>
        <w:tc>
          <w:tcPr>
            <w:tcW w:w="1522" w:type="pct"/>
            <w:gridSpan w:val="3"/>
            <w:vMerge/>
            <w:tcBorders>
              <w:top w:val="single" w:sz="8" w:space="0" w:color="auto"/>
              <w:left w:val="single" w:sz="8" w:space="0" w:color="auto"/>
              <w:bottom w:val="single" w:sz="8" w:space="0" w:color="auto"/>
              <w:right w:val="single" w:sz="8" w:space="0" w:color="auto"/>
            </w:tcBorders>
            <w:vAlign w:val="center"/>
            <w:hideMark/>
          </w:tcPr>
          <w:p w14:paraId="2344E771" w14:textId="77777777" w:rsidR="00A27CF2" w:rsidRPr="00047543" w:rsidRDefault="00A27CF2">
            <w:pPr>
              <w:spacing w:before="0" w:after="0"/>
              <w:jc w:val="left"/>
              <w:rPr>
                <w:noProof/>
                <w:color w:val="000000"/>
                <w:sz w:val="21"/>
                <w:szCs w:val="21"/>
                <w:lang w:eastAsia="en-IE"/>
              </w:rPr>
            </w:pPr>
          </w:p>
        </w:tc>
        <w:tc>
          <w:tcPr>
            <w:tcW w:w="471" w:type="pct"/>
            <w:gridSpan w:val="3"/>
            <w:tcBorders>
              <w:top w:val="nil"/>
              <w:left w:val="nil"/>
              <w:bottom w:val="single" w:sz="8" w:space="0" w:color="auto"/>
              <w:right w:val="single" w:sz="8" w:space="0" w:color="auto"/>
            </w:tcBorders>
            <w:vAlign w:val="center"/>
            <w:hideMark/>
          </w:tcPr>
          <w:p w14:paraId="256F8D87"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731" w:type="pct"/>
            <w:gridSpan w:val="4"/>
            <w:tcBorders>
              <w:top w:val="single" w:sz="8" w:space="0" w:color="auto"/>
              <w:left w:val="nil"/>
              <w:bottom w:val="single" w:sz="8" w:space="0" w:color="auto"/>
              <w:right w:val="single" w:sz="8" w:space="0" w:color="000000"/>
            </w:tcBorders>
            <w:vAlign w:val="center"/>
            <w:hideMark/>
          </w:tcPr>
          <w:p w14:paraId="439545B7" w14:textId="77777777" w:rsidR="00A27CF2" w:rsidRPr="00047543" w:rsidRDefault="00A27CF2">
            <w:pPr>
              <w:spacing w:before="0" w:after="0"/>
              <w:jc w:val="center"/>
              <w:rPr>
                <w:noProof/>
                <w:color w:val="000000"/>
                <w:sz w:val="14"/>
                <w:szCs w:val="14"/>
              </w:rPr>
            </w:pPr>
            <w:r w:rsidRPr="00047543">
              <w:rPr>
                <w:noProof/>
                <w:color w:val="000000"/>
                <w:sz w:val="14"/>
              </w:rPr>
              <w:t>(5)</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50A056D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3231773D"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EB82AEA"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A531EFC"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11D88A6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5EB03012" w14:textId="77777777">
        <w:trPr>
          <w:trHeight w:val="990"/>
        </w:trPr>
        <w:tc>
          <w:tcPr>
            <w:tcW w:w="1993" w:type="pct"/>
            <w:gridSpan w:val="6"/>
            <w:tcBorders>
              <w:top w:val="single" w:sz="8" w:space="0" w:color="auto"/>
              <w:left w:val="single" w:sz="8" w:space="0" w:color="auto"/>
              <w:bottom w:val="single" w:sz="8" w:space="0" w:color="auto"/>
              <w:right w:val="single" w:sz="8" w:space="0" w:color="000000"/>
            </w:tcBorders>
            <w:vAlign w:val="center"/>
            <w:hideMark/>
          </w:tcPr>
          <w:p w14:paraId="258BAE54" w14:textId="77777777" w:rsidR="00A27CF2" w:rsidRPr="00047543" w:rsidRDefault="00A27CF2">
            <w:pPr>
              <w:spacing w:before="0" w:after="0"/>
              <w:rPr>
                <w:noProof/>
                <w:color w:val="000000"/>
                <w:sz w:val="21"/>
                <w:szCs w:val="21"/>
              </w:rPr>
            </w:pPr>
            <w:r w:rsidRPr="00047543">
              <w:rPr>
                <w:rFonts w:ascii="Calibri" w:hAnsi="Calibri"/>
                <w:noProof/>
                <w:color w:val="000000"/>
                <w:sz w:val="21"/>
              </w:rPr>
              <w:t>•</w:t>
            </w:r>
            <w:r w:rsidRPr="00047543">
              <w:rPr>
                <w:noProof/>
                <w:color w:val="000000"/>
                <w:sz w:val="21"/>
              </w:rPr>
              <w:t xml:space="preserve"> TOTALA anslag av administrativ natur som finansieras genom ramanslagen för särskilda program (alla driftsrelaterade rubriker)</w:t>
            </w:r>
          </w:p>
        </w:tc>
        <w:tc>
          <w:tcPr>
            <w:tcW w:w="731" w:type="pct"/>
            <w:gridSpan w:val="4"/>
            <w:tcBorders>
              <w:top w:val="single" w:sz="8" w:space="0" w:color="auto"/>
              <w:left w:val="nil"/>
              <w:bottom w:val="single" w:sz="8" w:space="0" w:color="auto"/>
              <w:right w:val="single" w:sz="8" w:space="0" w:color="000000"/>
            </w:tcBorders>
            <w:vAlign w:val="center"/>
            <w:hideMark/>
          </w:tcPr>
          <w:p w14:paraId="7AAB9797" w14:textId="77777777" w:rsidR="00A27CF2" w:rsidRPr="00047543" w:rsidRDefault="00A27CF2">
            <w:pPr>
              <w:spacing w:before="0" w:after="0"/>
              <w:jc w:val="center"/>
              <w:rPr>
                <w:noProof/>
                <w:color w:val="000000"/>
                <w:sz w:val="14"/>
                <w:szCs w:val="14"/>
              </w:rPr>
            </w:pPr>
            <w:r w:rsidRPr="00047543">
              <w:rPr>
                <w:noProof/>
                <w:color w:val="000000"/>
                <w:sz w:val="14"/>
              </w:rPr>
              <w:t>(6)</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3E37C36"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920DCE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CC8BB4E"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BC66A31"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75E49EE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29897F2F" w14:textId="77777777">
        <w:trPr>
          <w:trHeight w:val="564"/>
        </w:trPr>
        <w:tc>
          <w:tcPr>
            <w:tcW w:w="1522" w:type="pct"/>
            <w:gridSpan w:val="3"/>
            <w:tcBorders>
              <w:top w:val="nil"/>
              <w:left w:val="single" w:sz="8" w:space="0" w:color="auto"/>
              <w:bottom w:val="nil"/>
              <w:right w:val="single" w:sz="8" w:space="0" w:color="auto"/>
            </w:tcBorders>
            <w:shd w:val="thinDiagStripe" w:color="C0C0C0" w:fill="F1F1F1"/>
            <w:vAlign w:val="center"/>
            <w:hideMark/>
          </w:tcPr>
          <w:p w14:paraId="28311901" w14:textId="77777777" w:rsidR="00A27CF2" w:rsidRPr="00047543" w:rsidRDefault="00A27CF2">
            <w:pPr>
              <w:spacing w:before="0" w:after="0"/>
              <w:jc w:val="center"/>
              <w:rPr>
                <w:b/>
                <w:bCs/>
                <w:noProof/>
                <w:color w:val="000000"/>
                <w:sz w:val="22"/>
              </w:rPr>
            </w:pPr>
            <w:r w:rsidRPr="00047543">
              <w:rPr>
                <w:b/>
                <w:noProof/>
                <w:color w:val="000000"/>
                <w:sz w:val="22"/>
              </w:rPr>
              <w:t>TOTALA anslag för rubrikerna 1–6</w:t>
            </w:r>
          </w:p>
        </w:tc>
        <w:tc>
          <w:tcPr>
            <w:tcW w:w="471" w:type="pct"/>
            <w:gridSpan w:val="3"/>
            <w:tcBorders>
              <w:top w:val="nil"/>
              <w:left w:val="nil"/>
              <w:bottom w:val="nil"/>
              <w:right w:val="single" w:sz="8" w:space="0" w:color="auto"/>
            </w:tcBorders>
            <w:vAlign w:val="center"/>
            <w:hideMark/>
          </w:tcPr>
          <w:p w14:paraId="7E98F581"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731" w:type="pct"/>
            <w:gridSpan w:val="4"/>
            <w:tcBorders>
              <w:top w:val="single" w:sz="8" w:space="0" w:color="auto"/>
              <w:left w:val="nil"/>
              <w:bottom w:val="nil"/>
              <w:right w:val="single" w:sz="8" w:space="0" w:color="000000"/>
            </w:tcBorders>
            <w:vAlign w:val="center"/>
            <w:hideMark/>
          </w:tcPr>
          <w:p w14:paraId="4D0F5444" w14:textId="77777777" w:rsidR="00A27CF2" w:rsidRPr="00047543" w:rsidRDefault="00A27CF2">
            <w:pPr>
              <w:spacing w:before="0" w:after="0"/>
              <w:jc w:val="center"/>
              <w:rPr>
                <w:noProof/>
                <w:color w:val="000000"/>
                <w:sz w:val="14"/>
                <w:szCs w:val="14"/>
              </w:rPr>
            </w:pPr>
            <w:r w:rsidRPr="00047543">
              <w:rPr>
                <w:noProof/>
                <w:color w:val="000000"/>
                <w:sz w:val="14"/>
              </w:rPr>
              <w:t>=4+6</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60209F0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5E819FB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DD916F5"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7C5288E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055BB05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4CC1F50E" w14:textId="77777777">
        <w:trPr>
          <w:trHeight w:val="588"/>
        </w:trPr>
        <w:tc>
          <w:tcPr>
            <w:tcW w:w="1522" w:type="pct"/>
            <w:gridSpan w:val="3"/>
            <w:tcBorders>
              <w:top w:val="nil"/>
              <w:left w:val="single" w:sz="8" w:space="0" w:color="auto"/>
              <w:bottom w:val="single" w:sz="8" w:space="0" w:color="auto"/>
              <w:right w:val="single" w:sz="8" w:space="0" w:color="auto"/>
            </w:tcBorders>
            <w:shd w:val="thinDiagStripe" w:color="C0C0C0" w:fill="F1F1F1"/>
            <w:vAlign w:val="center"/>
            <w:hideMark/>
          </w:tcPr>
          <w:p w14:paraId="1AE0E5AC" w14:textId="77777777" w:rsidR="00A27CF2" w:rsidRPr="00047543" w:rsidRDefault="00A27CF2">
            <w:pPr>
              <w:spacing w:before="0" w:after="0"/>
              <w:jc w:val="center"/>
              <w:rPr>
                <w:noProof/>
                <w:color w:val="000000"/>
                <w:sz w:val="20"/>
                <w:szCs w:val="20"/>
              </w:rPr>
            </w:pPr>
            <w:r w:rsidRPr="00047543">
              <w:rPr>
                <w:noProof/>
                <w:color w:val="000000"/>
                <w:sz w:val="20"/>
              </w:rPr>
              <w:t>i den fleråriga budgetramen (referensbelopp)</w:t>
            </w:r>
          </w:p>
        </w:tc>
        <w:tc>
          <w:tcPr>
            <w:tcW w:w="471" w:type="pct"/>
            <w:gridSpan w:val="3"/>
            <w:tcBorders>
              <w:top w:val="nil"/>
              <w:left w:val="nil"/>
              <w:bottom w:val="single" w:sz="8" w:space="0" w:color="auto"/>
              <w:right w:val="single" w:sz="8" w:space="0" w:color="auto"/>
            </w:tcBorders>
            <w:vAlign w:val="center"/>
            <w:hideMark/>
          </w:tcPr>
          <w:p w14:paraId="40D7C8C8"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731" w:type="pct"/>
            <w:gridSpan w:val="4"/>
            <w:tcBorders>
              <w:top w:val="single" w:sz="8" w:space="0" w:color="auto"/>
              <w:left w:val="nil"/>
              <w:bottom w:val="single" w:sz="8" w:space="0" w:color="auto"/>
              <w:right w:val="single" w:sz="8" w:space="0" w:color="000000"/>
            </w:tcBorders>
            <w:vAlign w:val="center"/>
            <w:hideMark/>
          </w:tcPr>
          <w:p w14:paraId="313E7D92" w14:textId="77777777" w:rsidR="00A27CF2" w:rsidRPr="00047543" w:rsidRDefault="00A27CF2">
            <w:pPr>
              <w:spacing w:before="0" w:after="0"/>
              <w:jc w:val="center"/>
              <w:rPr>
                <w:noProof/>
                <w:color w:val="000000"/>
                <w:sz w:val="14"/>
                <w:szCs w:val="14"/>
              </w:rPr>
            </w:pPr>
            <w:r w:rsidRPr="00047543">
              <w:rPr>
                <w:noProof/>
                <w:color w:val="000000"/>
                <w:sz w:val="14"/>
              </w:rPr>
              <w:t>=5+6</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4564068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95A731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0DFEB066"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7EC1E78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6FDB57BE"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bl>
    <w:p w14:paraId="47E2FC9E" w14:textId="77777777" w:rsidR="00A27CF2" w:rsidRPr="00047543" w:rsidRDefault="00A27CF2" w:rsidP="00A27CF2">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A27CF2" w:rsidRPr="00047543" w14:paraId="4DC364FD" w14:textId="77777777">
        <w:trPr>
          <w:jc w:val="center"/>
        </w:trPr>
        <w:tc>
          <w:tcPr>
            <w:tcW w:w="1668" w:type="pct"/>
            <w:shd w:val="thinDiagStripe" w:color="C0C0C0" w:fill="auto"/>
            <w:vAlign w:val="center"/>
          </w:tcPr>
          <w:p w14:paraId="6A020DC4" w14:textId="77777777" w:rsidR="00A27CF2" w:rsidRPr="00047543" w:rsidRDefault="00A27CF2">
            <w:pPr>
              <w:spacing w:before="60" w:after="60"/>
              <w:jc w:val="center"/>
              <w:rPr>
                <w:b/>
                <w:noProof/>
              </w:rPr>
            </w:pPr>
            <w:r w:rsidRPr="00047543">
              <w:rPr>
                <w:noProof/>
              </w:rPr>
              <w:br w:type="page"/>
            </w:r>
            <w:r w:rsidRPr="00047543">
              <w:rPr>
                <w:b/>
                <w:noProof/>
                <w:sz w:val="22"/>
              </w:rPr>
              <w:t xml:space="preserve">Rubrik i den fleråriga budgetramen </w:t>
            </w:r>
          </w:p>
        </w:tc>
        <w:tc>
          <w:tcPr>
            <w:tcW w:w="380" w:type="pct"/>
            <w:shd w:val="thinDiagStripe" w:color="C0C0C0" w:fill="auto"/>
            <w:vAlign w:val="center"/>
          </w:tcPr>
          <w:p w14:paraId="6BD70645" w14:textId="77777777" w:rsidR="00A27CF2" w:rsidRPr="00047543" w:rsidRDefault="00A27CF2">
            <w:pPr>
              <w:spacing w:before="60" w:after="60"/>
              <w:jc w:val="center"/>
              <w:rPr>
                <w:noProof/>
              </w:rPr>
            </w:pPr>
            <w:r w:rsidRPr="00047543">
              <w:rPr>
                <w:b/>
                <w:noProof/>
                <w:sz w:val="22"/>
              </w:rPr>
              <w:t>7</w:t>
            </w:r>
          </w:p>
        </w:tc>
        <w:tc>
          <w:tcPr>
            <w:tcW w:w="2749" w:type="pct"/>
            <w:vAlign w:val="center"/>
          </w:tcPr>
          <w:p w14:paraId="33187EC0" w14:textId="77777777" w:rsidR="00A27CF2" w:rsidRPr="00047543" w:rsidRDefault="00A27CF2">
            <w:pPr>
              <w:spacing w:before="60" w:after="60"/>
              <w:rPr>
                <w:noProof/>
              </w:rPr>
            </w:pPr>
            <w:r w:rsidRPr="00047543">
              <w:rPr>
                <w:noProof/>
                <w:sz w:val="22"/>
              </w:rPr>
              <w:t>”Administrativa utgifter”</w:t>
            </w:r>
            <w:r w:rsidRPr="00047543">
              <w:rPr>
                <w:noProof/>
              </w:rPr>
              <w:t xml:space="preserve"> </w:t>
            </w:r>
          </w:p>
        </w:tc>
      </w:tr>
    </w:tbl>
    <w:p w14:paraId="5C06248F" w14:textId="77777777" w:rsidR="00A27CF2" w:rsidRPr="00047543" w:rsidRDefault="00A27CF2" w:rsidP="00A27CF2">
      <w:pPr>
        <w:jc w:val="right"/>
        <w:rPr>
          <w:noProof/>
          <w:sz w:val="20"/>
        </w:rPr>
      </w:pPr>
      <w:r w:rsidRPr="00047543">
        <w:rPr>
          <w:noProof/>
          <w:sz w:val="20"/>
        </w:rPr>
        <w:t>Miljoner EUR (avrundat till tre decimaler)</w:t>
      </w:r>
    </w:p>
    <w:tbl>
      <w:tblPr>
        <w:tblW w:w="13140" w:type="dxa"/>
        <w:tblInd w:w="118" w:type="dxa"/>
        <w:tblLook w:val="04A0" w:firstRow="1" w:lastRow="0" w:firstColumn="1" w:lastColumn="0" w:noHBand="0" w:noVBand="1"/>
      </w:tblPr>
      <w:tblGrid>
        <w:gridCol w:w="4405"/>
        <w:gridCol w:w="2477"/>
        <w:gridCol w:w="543"/>
        <w:gridCol w:w="543"/>
        <w:gridCol w:w="1001"/>
        <w:gridCol w:w="1001"/>
        <w:gridCol w:w="1001"/>
        <w:gridCol w:w="1001"/>
        <w:gridCol w:w="1244"/>
      </w:tblGrid>
      <w:tr w:rsidR="00A27CF2" w:rsidRPr="00047543" w14:paraId="0B3FC1E1" w14:textId="77777777">
        <w:trPr>
          <w:trHeight w:val="288"/>
        </w:trPr>
        <w:tc>
          <w:tcPr>
            <w:tcW w:w="7892" w:type="dxa"/>
            <w:gridSpan w:val="4"/>
            <w:vMerge w:val="restart"/>
            <w:tcBorders>
              <w:top w:val="single" w:sz="8" w:space="0" w:color="auto"/>
              <w:left w:val="single" w:sz="8" w:space="0" w:color="auto"/>
              <w:bottom w:val="single" w:sz="8" w:space="0" w:color="auto"/>
              <w:right w:val="single" w:sz="8" w:space="0" w:color="auto"/>
            </w:tcBorders>
            <w:vAlign w:val="center"/>
            <w:hideMark/>
          </w:tcPr>
          <w:p w14:paraId="72B57C4E" w14:textId="77777777" w:rsidR="00A27CF2" w:rsidRPr="00047543" w:rsidRDefault="00A27CF2">
            <w:pPr>
              <w:spacing w:before="0" w:after="0"/>
              <w:jc w:val="center"/>
              <w:rPr>
                <w:noProof/>
                <w:color w:val="000000"/>
                <w:szCs w:val="24"/>
              </w:rPr>
            </w:pPr>
            <w:r w:rsidRPr="00047543">
              <w:rPr>
                <w:noProof/>
                <w:color w:val="000000"/>
              </w:rPr>
              <w:t>GD: &lt;…….&gt;</w:t>
            </w:r>
          </w:p>
        </w:tc>
        <w:tc>
          <w:tcPr>
            <w:tcW w:w="1001" w:type="dxa"/>
            <w:tcBorders>
              <w:top w:val="single" w:sz="8" w:space="0" w:color="auto"/>
              <w:left w:val="nil"/>
              <w:bottom w:val="nil"/>
              <w:right w:val="single" w:sz="8" w:space="0" w:color="auto"/>
            </w:tcBorders>
            <w:vAlign w:val="center"/>
            <w:hideMark/>
          </w:tcPr>
          <w:p w14:paraId="376EADEE"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001" w:type="dxa"/>
            <w:tcBorders>
              <w:top w:val="single" w:sz="8" w:space="0" w:color="auto"/>
              <w:left w:val="nil"/>
              <w:bottom w:val="nil"/>
              <w:right w:val="single" w:sz="8" w:space="0" w:color="auto"/>
            </w:tcBorders>
            <w:vAlign w:val="center"/>
            <w:hideMark/>
          </w:tcPr>
          <w:p w14:paraId="2C134506"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001" w:type="dxa"/>
            <w:tcBorders>
              <w:top w:val="single" w:sz="8" w:space="0" w:color="auto"/>
              <w:left w:val="nil"/>
              <w:bottom w:val="nil"/>
              <w:right w:val="single" w:sz="8" w:space="0" w:color="auto"/>
            </w:tcBorders>
            <w:vAlign w:val="center"/>
            <w:hideMark/>
          </w:tcPr>
          <w:p w14:paraId="7A4BCE8B"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001" w:type="dxa"/>
            <w:tcBorders>
              <w:top w:val="single" w:sz="8" w:space="0" w:color="auto"/>
              <w:left w:val="nil"/>
              <w:bottom w:val="nil"/>
              <w:right w:val="single" w:sz="8" w:space="0" w:color="auto"/>
            </w:tcBorders>
            <w:vAlign w:val="center"/>
            <w:hideMark/>
          </w:tcPr>
          <w:p w14:paraId="493FA2C1"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244" w:type="dxa"/>
            <w:vMerge w:val="restart"/>
            <w:tcBorders>
              <w:top w:val="single" w:sz="8" w:space="0" w:color="auto"/>
              <w:left w:val="single" w:sz="8" w:space="0" w:color="auto"/>
              <w:bottom w:val="single" w:sz="8" w:space="0" w:color="000000"/>
              <w:right w:val="single" w:sz="8" w:space="0" w:color="auto"/>
            </w:tcBorders>
            <w:vAlign w:val="center"/>
            <w:hideMark/>
          </w:tcPr>
          <w:p w14:paraId="2953B47C"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35DA31A2" w14:textId="77777777">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27FD9D7F" w14:textId="77777777" w:rsidR="00A27CF2" w:rsidRPr="00047543" w:rsidRDefault="00A27CF2">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vAlign w:val="center"/>
            <w:hideMark/>
          </w:tcPr>
          <w:p w14:paraId="478FD2EC"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1001" w:type="dxa"/>
            <w:tcBorders>
              <w:top w:val="nil"/>
              <w:left w:val="nil"/>
              <w:bottom w:val="single" w:sz="8" w:space="0" w:color="auto"/>
              <w:right w:val="single" w:sz="8" w:space="0" w:color="auto"/>
            </w:tcBorders>
            <w:vAlign w:val="center"/>
            <w:hideMark/>
          </w:tcPr>
          <w:p w14:paraId="739B9401"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1001" w:type="dxa"/>
            <w:tcBorders>
              <w:top w:val="nil"/>
              <w:left w:val="nil"/>
              <w:bottom w:val="single" w:sz="8" w:space="0" w:color="auto"/>
              <w:right w:val="single" w:sz="8" w:space="0" w:color="auto"/>
            </w:tcBorders>
            <w:vAlign w:val="center"/>
            <w:hideMark/>
          </w:tcPr>
          <w:p w14:paraId="3289D643"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1001" w:type="dxa"/>
            <w:tcBorders>
              <w:top w:val="nil"/>
              <w:left w:val="nil"/>
              <w:bottom w:val="single" w:sz="8" w:space="0" w:color="auto"/>
              <w:right w:val="single" w:sz="8" w:space="0" w:color="auto"/>
            </w:tcBorders>
            <w:vAlign w:val="center"/>
            <w:hideMark/>
          </w:tcPr>
          <w:p w14:paraId="6CED9164"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70EFAD59" w14:textId="77777777" w:rsidR="00A27CF2" w:rsidRPr="00047543" w:rsidRDefault="00A27CF2">
            <w:pPr>
              <w:spacing w:before="0" w:after="0"/>
              <w:jc w:val="left"/>
              <w:rPr>
                <w:b/>
                <w:bCs/>
                <w:noProof/>
                <w:color w:val="000000"/>
                <w:sz w:val="20"/>
                <w:szCs w:val="20"/>
                <w:lang w:eastAsia="en-IE"/>
              </w:rPr>
            </w:pPr>
          </w:p>
        </w:tc>
      </w:tr>
      <w:tr w:rsidR="00A27CF2" w:rsidRPr="00047543" w14:paraId="7FCD04CB"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0EAEE8E6" w14:textId="77777777" w:rsidR="00A27CF2" w:rsidRPr="00047543" w:rsidRDefault="00A27CF2">
            <w:pPr>
              <w:spacing w:before="0" w:after="0"/>
              <w:jc w:val="left"/>
              <w:rPr>
                <w:rFonts w:ascii="Wingdings" w:hAnsi="Wingdings" w:cs="Calibri"/>
                <w:noProof/>
                <w:color w:val="000000"/>
                <w:sz w:val="22"/>
              </w:rPr>
            </w:pPr>
            <w:r w:rsidRPr="00047543">
              <w:rPr>
                <w:rFonts w:ascii="Wingdings" w:hAnsi="Wingdings"/>
                <w:noProof/>
                <w:color w:val="000000"/>
                <w:sz w:val="22"/>
              </w:rPr>
              <w:t></w:t>
            </w:r>
            <w:r w:rsidRPr="00047543">
              <w:rPr>
                <w:noProof/>
                <w:color w:val="000000"/>
                <w:sz w:val="22"/>
              </w:rPr>
              <w:t xml:space="preserve"> Personalresurser </w:t>
            </w:r>
          </w:p>
        </w:tc>
        <w:tc>
          <w:tcPr>
            <w:tcW w:w="1001" w:type="dxa"/>
            <w:tcBorders>
              <w:top w:val="nil"/>
              <w:left w:val="nil"/>
              <w:bottom w:val="single" w:sz="8" w:space="0" w:color="auto"/>
              <w:right w:val="single" w:sz="8" w:space="0" w:color="auto"/>
            </w:tcBorders>
            <w:shd w:val="clear" w:color="000000" w:fill="D9D9D9"/>
            <w:vAlign w:val="center"/>
            <w:hideMark/>
          </w:tcPr>
          <w:p w14:paraId="6729793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D1D60D8"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B191B15"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D30BB95"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519943DB"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BE1D47F"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773DD096" w14:textId="77777777" w:rsidR="00A27CF2" w:rsidRPr="00047543" w:rsidRDefault="00A27CF2">
            <w:pPr>
              <w:spacing w:before="0" w:after="0"/>
              <w:jc w:val="left"/>
              <w:rPr>
                <w:rFonts w:ascii="Wingdings" w:hAnsi="Wingdings" w:cs="Calibri"/>
                <w:noProof/>
                <w:color w:val="000000"/>
                <w:sz w:val="22"/>
              </w:rPr>
            </w:pPr>
            <w:r w:rsidRPr="00047543">
              <w:rPr>
                <w:rFonts w:ascii="Wingdings" w:hAnsi="Wingdings"/>
                <w:noProof/>
                <w:color w:val="000000"/>
                <w:sz w:val="22"/>
              </w:rPr>
              <w:t></w:t>
            </w:r>
            <w:r w:rsidRPr="00047543">
              <w:rPr>
                <w:noProof/>
                <w:color w:val="000000"/>
                <w:sz w:val="22"/>
              </w:rPr>
              <w:t xml:space="preserve"> Övriga administrativa utgifter </w:t>
            </w:r>
          </w:p>
        </w:tc>
        <w:tc>
          <w:tcPr>
            <w:tcW w:w="1001" w:type="dxa"/>
            <w:tcBorders>
              <w:top w:val="nil"/>
              <w:left w:val="nil"/>
              <w:bottom w:val="single" w:sz="8" w:space="0" w:color="auto"/>
              <w:right w:val="single" w:sz="8" w:space="0" w:color="auto"/>
            </w:tcBorders>
            <w:shd w:val="clear" w:color="000000" w:fill="D9D9D9"/>
            <w:vAlign w:val="center"/>
            <w:hideMark/>
          </w:tcPr>
          <w:p w14:paraId="1977F99D"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AAFBDE6"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314ED6F"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44E57CBD"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32EF281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6F0FF10" w14:textId="77777777">
        <w:trPr>
          <w:trHeight w:val="300"/>
        </w:trPr>
        <w:tc>
          <w:tcPr>
            <w:tcW w:w="4405" w:type="dxa"/>
            <w:tcBorders>
              <w:top w:val="nil"/>
              <w:left w:val="single" w:sz="8" w:space="0" w:color="auto"/>
              <w:bottom w:val="single" w:sz="8" w:space="0" w:color="auto"/>
              <w:right w:val="single" w:sz="8" w:space="0" w:color="auto"/>
            </w:tcBorders>
            <w:vAlign w:val="center"/>
            <w:hideMark/>
          </w:tcPr>
          <w:p w14:paraId="41A1D352" w14:textId="77777777" w:rsidR="00A27CF2" w:rsidRPr="00047543" w:rsidRDefault="00A27CF2">
            <w:pPr>
              <w:spacing w:before="0" w:after="0"/>
              <w:jc w:val="center"/>
              <w:rPr>
                <w:b/>
                <w:bCs/>
                <w:noProof/>
                <w:color w:val="000000"/>
                <w:sz w:val="22"/>
              </w:rPr>
            </w:pPr>
            <w:r w:rsidRPr="00047543">
              <w:rPr>
                <w:b/>
                <w:noProof/>
                <w:color w:val="000000"/>
                <w:sz w:val="22"/>
              </w:rPr>
              <w:t xml:space="preserve">TOTALT GD </w:t>
            </w:r>
            <w:r w:rsidRPr="00047543">
              <w:rPr>
                <w:noProof/>
                <w:color w:val="000000"/>
                <w:sz w:val="22"/>
              </w:rPr>
              <w:t>&lt;…….&gt;</w:t>
            </w:r>
          </w:p>
        </w:tc>
        <w:tc>
          <w:tcPr>
            <w:tcW w:w="3487" w:type="dxa"/>
            <w:gridSpan w:val="3"/>
            <w:tcBorders>
              <w:top w:val="single" w:sz="8" w:space="0" w:color="auto"/>
              <w:left w:val="nil"/>
              <w:bottom w:val="single" w:sz="8" w:space="0" w:color="auto"/>
              <w:right w:val="single" w:sz="8" w:space="0" w:color="auto"/>
            </w:tcBorders>
            <w:vAlign w:val="center"/>
            <w:hideMark/>
          </w:tcPr>
          <w:p w14:paraId="7834B9B1" w14:textId="77777777" w:rsidR="00A27CF2" w:rsidRPr="00047543" w:rsidRDefault="00A27CF2">
            <w:pPr>
              <w:spacing w:before="0" w:after="0"/>
              <w:jc w:val="left"/>
              <w:rPr>
                <w:noProof/>
                <w:color w:val="000000"/>
                <w:sz w:val="18"/>
                <w:szCs w:val="18"/>
              </w:rPr>
            </w:pPr>
            <w:r w:rsidRPr="00047543">
              <w:rPr>
                <w:noProof/>
                <w:color w:val="000000"/>
                <w:sz w:val="18"/>
              </w:rPr>
              <w:t xml:space="preserve">Anslag </w:t>
            </w:r>
          </w:p>
        </w:tc>
        <w:tc>
          <w:tcPr>
            <w:tcW w:w="1001" w:type="dxa"/>
            <w:tcBorders>
              <w:top w:val="nil"/>
              <w:left w:val="nil"/>
              <w:bottom w:val="single" w:sz="8" w:space="0" w:color="auto"/>
              <w:right w:val="single" w:sz="8" w:space="0" w:color="auto"/>
            </w:tcBorders>
            <w:shd w:val="clear" w:color="000000" w:fill="D9D9D9"/>
            <w:vAlign w:val="center"/>
            <w:hideMark/>
          </w:tcPr>
          <w:p w14:paraId="19C4B164"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9D606F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2D72AEC"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639661B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1B30B734"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396A220D" w14:textId="77777777">
        <w:trPr>
          <w:trHeight w:val="300"/>
        </w:trPr>
        <w:tc>
          <w:tcPr>
            <w:tcW w:w="4405" w:type="dxa"/>
            <w:tcBorders>
              <w:top w:val="nil"/>
              <w:left w:val="nil"/>
              <w:bottom w:val="nil"/>
              <w:right w:val="nil"/>
            </w:tcBorders>
            <w:noWrap/>
            <w:vAlign w:val="bottom"/>
            <w:hideMark/>
          </w:tcPr>
          <w:p w14:paraId="5675D2FE" w14:textId="77777777" w:rsidR="00A27CF2" w:rsidRPr="00047543" w:rsidRDefault="00A27CF2">
            <w:pPr>
              <w:spacing w:before="0" w:after="0"/>
              <w:jc w:val="right"/>
              <w:rPr>
                <w:b/>
                <w:bCs/>
                <w:noProof/>
                <w:color w:val="000000"/>
                <w:sz w:val="20"/>
                <w:szCs w:val="20"/>
                <w:lang w:eastAsia="en-IE"/>
              </w:rPr>
            </w:pPr>
          </w:p>
        </w:tc>
        <w:tc>
          <w:tcPr>
            <w:tcW w:w="2477" w:type="dxa"/>
            <w:tcBorders>
              <w:top w:val="nil"/>
              <w:left w:val="nil"/>
              <w:bottom w:val="nil"/>
              <w:right w:val="nil"/>
            </w:tcBorders>
            <w:noWrap/>
            <w:vAlign w:val="bottom"/>
            <w:hideMark/>
          </w:tcPr>
          <w:p w14:paraId="012C2D60" w14:textId="77777777" w:rsidR="00A27CF2" w:rsidRPr="00047543" w:rsidRDefault="00A27CF2">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16D559D9" w14:textId="77777777" w:rsidR="00A27CF2" w:rsidRPr="00047543" w:rsidRDefault="00A27CF2">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11E4A67D" w14:textId="77777777" w:rsidR="00A27CF2" w:rsidRPr="00047543" w:rsidRDefault="00A27CF2">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0BD3C16C" w14:textId="77777777" w:rsidR="00A27CF2" w:rsidRPr="00047543" w:rsidRDefault="00A27CF2">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55B00A50" w14:textId="77777777" w:rsidR="00A27CF2" w:rsidRPr="00047543" w:rsidRDefault="00A27CF2">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5D88787D" w14:textId="77777777" w:rsidR="00A27CF2" w:rsidRPr="00047543" w:rsidRDefault="00A27CF2">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57833843" w14:textId="77777777" w:rsidR="00A27CF2" w:rsidRPr="00047543" w:rsidRDefault="00A27CF2">
            <w:pPr>
              <w:spacing w:before="0" w:after="0"/>
              <w:jc w:val="left"/>
              <w:rPr>
                <w:noProof/>
                <w:sz w:val="20"/>
                <w:szCs w:val="20"/>
                <w:lang w:eastAsia="en-IE"/>
              </w:rPr>
            </w:pPr>
          </w:p>
        </w:tc>
        <w:tc>
          <w:tcPr>
            <w:tcW w:w="1244" w:type="dxa"/>
            <w:tcBorders>
              <w:top w:val="nil"/>
              <w:left w:val="nil"/>
              <w:bottom w:val="nil"/>
              <w:right w:val="nil"/>
            </w:tcBorders>
            <w:noWrap/>
            <w:vAlign w:val="bottom"/>
            <w:hideMark/>
          </w:tcPr>
          <w:p w14:paraId="60124EE9" w14:textId="77777777" w:rsidR="00A27CF2" w:rsidRPr="00047543" w:rsidRDefault="00A27CF2">
            <w:pPr>
              <w:spacing w:before="0" w:after="0"/>
              <w:jc w:val="left"/>
              <w:rPr>
                <w:noProof/>
                <w:sz w:val="20"/>
                <w:szCs w:val="20"/>
                <w:lang w:eastAsia="en-IE"/>
              </w:rPr>
            </w:pPr>
          </w:p>
        </w:tc>
      </w:tr>
      <w:tr w:rsidR="00A27CF2" w:rsidRPr="00047543" w14:paraId="084C2718" w14:textId="77777777">
        <w:trPr>
          <w:trHeight w:val="315"/>
        </w:trPr>
        <w:tc>
          <w:tcPr>
            <w:tcW w:w="7892" w:type="dxa"/>
            <w:gridSpan w:val="4"/>
            <w:vMerge w:val="restart"/>
            <w:tcBorders>
              <w:top w:val="single" w:sz="8" w:space="0" w:color="auto"/>
              <w:left w:val="single" w:sz="8" w:space="0" w:color="auto"/>
              <w:bottom w:val="single" w:sz="8" w:space="0" w:color="auto"/>
              <w:right w:val="single" w:sz="8" w:space="0" w:color="auto"/>
            </w:tcBorders>
            <w:vAlign w:val="center"/>
            <w:hideMark/>
          </w:tcPr>
          <w:p w14:paraId="37A92BA8" w14:textId="77777777" w:rsidR="00A27CF2" w:rsidRPr="00047543" w:rsidRDefault="00A27CF2">
            <w:pPr>
              <w:spacing w:before="0" w:after="0"/>
              <w:jc w:val="center"/>
              <w:rPr>
                <w:noProof/>
                <w:color w:val="000000"/>
                <w:szCs w:val="24"/>
              </w:rPr>
            </w:pPr>
            <w:r w:rsidRPr="00047543">
              <w:rPr>
                <w:noProof/>
                <w:color w:val="000000"/>
              </w:rPr>
              <w:t>GD: &lt;…….&gt;</w:t>
            </w:r>
          </w:p>
        </w:tc>
        <w:tc>
          <w:tcPr>
            <w:tcW w:w="1001" w:type="dxa"/>
            <w:tcBorders>
              <w:top w:val="single" w:sz="8" w:space="0" w:color="auto"/>
              <w:left w:val="nil"/>
              <w:bottom w:val="nil"/>
              <w:right w:val="single" w:sz="8" w:space="0" w:color="auto"/>
            </w:tcBorders>
            <w:vAlign w:val="center"/>
            <w:hideMark/>
          </w:tcPr>
          <w:p w14:paraId="6FFCAB30"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001" w:type="dxa"/>
            <w:tcBorders>
              <w:top w:val="single" w:sz="8" w:space="0" w:color="auto"/>
              <w:left w:val="nil"/>
              <w:bottom w:val="nil"/>
              <w:right w:val="single" w:sz="8" w:space="0" w:color="auto"/>
            </w:tcBorders>
            <w:vAlign w:val="center"/>
            <w:hideMark/>
          </w:tcPr>
          <w:p w14:paraId="4B404480"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001" w:type="dxa"/>
            <w:tcBorders>
              <w:top w:val="single" w:sz="8" w:space="0" w:color="auto"/>
              <w:left w:val="nil"/>
              <w:bottom w:val="nil"/>
              <w:right w:val="single" w:sz="8" w:space="0" w:color="auto"/>
            </w:tcBorders>
            <w:vAlign w:val="center"/>
            <w:hideMark/>
          </w:tcPr>
          <w:p w14:paraId="7B90CA46"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001" w:type="dxa"/>
            <w:tcBorders>
              <w:top w:val="single" w:sz="8" w:space="0" w:color="auto"/>
              <w:left w:val="nil"/>
              <w:bottom w:val="nil"/>
              <w:right w:val="single" w:sz="8" w:space="0" w:color="auto"/>
            </w:tcBorders>
            <w:vAlign w:val="center"/>
            <w:hideMark/>
          </w:tcPr>
          <w:p w14:paraId="7CACCF38"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244" w:type="dxa"/>
            <w:vMerge w:val="restart"/>
            <w:tcBorders>
              <w:top w:val="single" w:sz="8" w:space="0" w:color="auto"/>
              <w:left w:val="single" w:sz="8" w:space="0" w:color="auto"/>
              <w:bottom w:val="single" w:sz="8" w:space="0" w:color="000000"/>
              <w:right w:val="single" w:sz="8" w:space="0" w:color="auto"/>
            </w:tcBorders>
            <w:vAlign w:val="center"/>
            <w:hideMark/>
          </w:tcPr>
          <w:p w14:paraId="0C9697D9"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3F6E4EF4" w14:textId="77777777">
        <w:trPr>
          <w:trHeight w:val="300"/>
        </w:trPr>
        <w:tc>
          <w:tcPr>
            <w:tcW w:w="7892" w:type="dxa"/>
            <w:gridSpan w:val="4"/>
            <w:vMerge/>
            <w:tcBorders>
              <w:top w:val="single" w:sz="8" w:space="0" w:color="auto"/>
              <w:left w:val="single" w:sz="8" w:space="0" w:color="auto"/>
              <w:bottom w:val="single" w:sz="8" w:space="0" w:color="auto"/>
              <w:right w:val="single" w:sz="8" w:space="0" w:color="auto"/>
            </w:tcBorders>
            <w:vAlign w:val="center"/>
            <w:hideMark/>
          </w:tcPr>
          <w:p w14:paraId="6C846D3A" w14:textId="77777777" w:rsidR="00A27CF2" w:rsidRPr="00047543" w:rsidRDefault="00A27CF2">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vAlign w:val="center"/>
            <w:hideMark/>
          </w:tcPr>
          <w:p w14:paraId="2F5F3C0A"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1001" w:type="dxa"/>
            <w:tcBorders>
              <w:top w:val="nil"/>
              <w:left w:val="nil"/>
              <w:bottom w:val="single" w:sz="8" w:space="0" w:color="auto"/>
              <w:right w:val="single" w:sz="8" w:space="0" w:color="auto"/>
            </w:tcBorders>
            <w:vAlign w:val="center"/>
            <w:hideMark/>
          </w:tcPr>
          <w:p w14:paraId="738F09BF"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1001" w:type="dxa"/>
            <w:tcBorders>
              <w:top w:val="nil"/>
              <w:left w:val="nil"/>
              <w:bottom w:val="single" w:sz="8" w:space="0" w:color="auto"/>
              <w:right w:val="single" w:sz="8" w:space="0" w:color="auto"/>
            </w:tcBorders>
            <w:vAlign w:val="center"/>
            <w:hideMark/>
          </w:tcPr>
          <w:p w14:paraId="5175D47B"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1001" w:type="dxa"/>
            <w:tcBorders>
              <w:top w:val="nil"/>
              <w:left w:val="nil"/>
              <w:bottom w:val="single" w:sz="8" w:space="0" w:color="auto"/>
              <w:right w:val="single" w:sz="8" w:space="0" w:color="auto"/>
            </w:tcBorders>
            <w:vAlign w:val="center"/>
            <w:hideMark/>
          </w:tcPr>
          <w:p w14:paraId="30654255"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37AE93F1" w14:textId="77777777" w:rsidR="00A27CF2" w:rsidRPr="00047543" w:rsidRDefault="00A27CF2">
            <w:pPr>
              <w:spacing w:before="0" w:after="0"/>
              <w:jc w:val="left"/>
              <w:rPr>
                <w:b/>
                <w:bCs/>
                <w:noProof/>
                <w:color w:val="000000"/>
                <w:sz w:val="20"/>
                <w:szCs w:val="20"/>
                <w:lang w:eastAsia="en-IE"/>
              </w:rPr>
            </w:pPr>
          </w:p>
        </w:tc>
      </w:tr>
      <w:tr w:rsidR="00A27CF2" w:rsidRPr="00047543" w14:paraId="6C81A186"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05D7CEA5" w14:textId="77777777" w:rsidR="00A27CF2" w:rsidRPr="00047543" w:rsidRDefault="00A27CF2">
            <w:pPr>
              <w:spacing w:before="0" w:after="0"/>
              <w:jc w:val="left"/>
              <w:rPr>
                <w:rFonts w:ascii="Wingdings" w:hAnsi="Wingdings" w:cs="Calibri"/>
                <w:noProof/>
                <w:color w:val="000000"/>
                <w:sz w:val="22"/>
              </w:rPr>
            </w:pPr>
            <w:r w:rsidRPr="00047543">
              <w:rPr>
                <w:rFonts w:ascii="Wingdings" w:hAnsi="Wingdings"/>
                <w:noProof/>
                <w:color w:val="000000"/>
                <w:sz w:val="22"/>
              </w:rPr>
              <w:t></w:t>
            </w:r>
            <w:r w:rsidRPr="00047543">
              <w:rPr>
                <w:noProof/>
                <w:color w:val="000000"/>
                <w:sz w:val="22"/>
              </w:rPr>
              <w:t xml:space="preserve"> Personalresurser </w:t>
            </w:r>
          </w:p>
        </w:tc>
        <w:tc>
          <w:tcPr>
            <w:tcW w:w="1001" w:type="dxa"/>
            <w:tcBorders>
              <w:top w:val="nil"/>
              <w:left w:val="nil"/>
              <w:bottom w:val="single" w:sz="8" w:space="0" w:color="auto"/>
              <w:right w:val="single" w:sz="8" w:space="0" w:color="auto"/>
            </w:tcBorders>
            <w:shd w:val="clear" w:color="000000" w:fill="D9D9D9"/>
            <w:vAlign w:val="center"/>
            <w:hideMark/>
          </w:tcPr>
          <w:p w14:paraId="431F47EA"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216A9C9"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A7C4C53"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6D88F0DA"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398CE032"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0C4A7560" w14:textId="77777777">
        <w:trPr>
          <w:trHeight w:val="300"/>
        </w:trPr>
        <w:tc>
          <w:tcPr>
            <w:tcW w:w="7892" w:type="dxa"/>
            <w:gridSpan w:val="4"/>
            <w:tcBorders>
              <w:top w:val="single" w:sz="8" w:space="0" w:color="auto"/>
              <w:left w:val="single" w:sz="8" w:space="0" w:color="auto"/>
              <w:bottom w:val="single" w:sz="8" w:space="0" w:color="auto"/>
              <w:right w:val="single" w:sz="8" w:space="0" w:color="auto"/>
            </w:tcBorders>
            <w:vAlign w:val="center"/>
            <w:hideMark/>
          </w:tcPr>
          <w:p w14:paraId="441E76D5" w14:textId="77777777" w:rsidR="00A27CF2" w:rsidRPr="00047543" w:rsidRDefault="00A27CF2">
            <w:pPr>
              <w:spacing w:before="0" w:after="0"/>
              <w:jc w:val="left"/>
              <w:rPr>
                <w:rFonts w:ascii="Wingdings" w:hAnsi="Wingdings" w:cs="Calibri"/>
                <w:noProof/>
                <w:color w:val="000000"/>
                <w:sz w:val="22"/>
              </w:rPr>
            </w:pPr>
            <w:r w:rsidRPr="00047543">
              <w:rPr>
                <w:rFonts w:ascii="Wingdings" w:hAnsi="Wingdings"/>
                <w:noProof/>
                <w:color w:val="000000"/>
                <w:sz w:val="22"/>
              </w:rPr>
              <w:t></w:t>
            </w:r>
            <w:r w:rsidRPr="00047543">
              <w:rPr>
                <w:noProof/>
                <w:color w:val="000000"/>
                <w:sz w:val="22"/>
              </w:rPr>
              <w:t xml:space="preserve"> Övriga administrativa utgifter </w:t>
            </w:r>
          </w:p>
        </w:tc>
        <w:tc>
          <w:tcPr>
            <w:tcW w:w="1001" w:type="dxa"/>
            <w:tcBorders>
              <w:top w:val="nil"/>
              <w:left w:val="nil"/>
              <w:bottom w:val="single" w:sz="8" w:space="0" w:color="auto"/>
              <w:right w:val="single" w:sz="8" w:space="0" w:color="auto"/>
            </w:tcBorders>
            <w:shd w:val="clear" w:color="000000" w:fill="D9D9D9"/>
            <w:vAlign w:val="center"/>
            <w:hideMark/>
          </w:tcPr>
          <w:p w14:paraId="5FC1AB9C"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23E15E88"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7F45F9A"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5044268" w14:textId="77777777" w:rsidR="00A27CF2" w:rsidRPr="00047543" w:rsidRDefault="00A27CF2">
            <w:pPr>
              <w:spacing w:before="0" w:after="0"/>
              <w:jc w:val="right"/>
              <w:rPr>
                <w:noProof/>
                <w:color w:val="000000"/>
                <w:sz w:val="20"/>
                <w:szCs w:val="20"/>
              </w:rPr>
            </w:pPr>
            <w:r w:rsidRPr="00047543">
              <w:rPr>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5F7450BE"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7DFA8B5D" w14:textId="77777777">
        <w:trPr>
          <w:trHeight w:val="300"/>
        </w:trPr>
        <w:tc>
          <w:tcPr>
            <w:tcW w:w="4405" w:type="dxa"/>
            <w:tcBorders>
              <w:top w:val="nil"/>
              <w:left w:val="single" w:sz="8" w:space="0" w:color="auto"/>
              <w:bottom w:val="single" w:sz="8" w:space="0" w:color="auto"/>
              <w:right w:val="single" w:sz="8" w:space="0" w:color="auto"/>
            </w:tcBorders>
            <w:vAlign w:val="center"/>
            <w:hideMark/>
          </w:tcPr>
          <w:p w14:paraId="1F858A04" w14:textId="77777777" w:rsidR="00A27CF2" w:rsidRPr="00047543" w:rsidRDefault="00A27CF2">
            <w:pPr>
              <w:spacing w:before="0" w:after="0"/>
              <w:jc w:val="center"/>
              <w:rPr>
                <w:b/>
                <w:bCs/>
                <w:noProof/>
                <w:color w:val="000000"/>
                <w:sz w:val="22"/>
              </w:rPr>
            </w:pPr>
            <w:r w:rsidRPr="00047543">
              <w:rPr>
                <w:b/>
                <w:noProof/>
                <w:color w:val="000000"/>
                <w:sz w:val="22"/>
              </w:rPr>
              <w:t xml:space="preserve">TOTALT GD </w:t>
            </w:r>
            <w:r w:rsidRPr="00047543">
              <w:rPr>
                <w:noProof/>
                <w:color w:val="000000"/>
                <w:sz w:val="22"/>
              </w:rPr>
              <w:t>&lt;…….&gt;</w:t>
            </w:r>
          </w:p>
        </w:tc>
        <w:tc>
          <w:tcPr>
            <w:tcW w:w="3487" w:type="dxa"/>
            <w:gridSpan w:val="3"/>
            <w:tcBorders>
              <w:top w:val="single" w:sz="8" w:space="0" w:color="auto"/>
              <w:left w:val="nil"/>
              <w:bottom w:val="single" w:sz="8" w:space="0" w:color="auto"/>
              <w:right w:val="single" w:sz="8" w:space="0" w:color="auto"/>
            </w:tcBorders>
            <w:vAlign w:val="center"/>
            <w:hideMark/>
          </w:tcPr>
          <w:p w14:paraId="610C8063" w14:textId="77777777" w:rsidR="00A27CF2" w:rsidRPr="00047543" w:rsidRDefault="00A27CF2">
            <w:pPr>
              <w:spacing w:before="0" w:after="0"/>
              <w:jc w:val="left"/>
              <w:rPr>
                <w:noProof/>
                <w:color w:val="000000"/>
                <w:sz w:val="18"/>
                <w:szCs w:val="18"/>
              </w:rPr>
            </w:pPr>
            <w:r w:rsidRPr="00047543">
              <w:rPr>
                <w:noProof/>
                <w:color w:val="000000"/>
                <w:sz w:val="18"/>
              </w:rPr>
              <w:t xml:space="preserve">Anslag </w:t>
            </w:r>
          </w:p>
        </w:tc>
        <w:tc>
          <w:tcPr>
            <w:tcW w:w="1001" w:type="dxa"/>
            <w:tcBorders>
              <w:top w:val="nil"/>
              <w:left w:val="nil"/>
              <w:bottom w:val="single" w:sz="8" w:space="0" w:color="auto"/>
              <w:right w:val="single" w:sz="8" w:space="0" w:color="auto"/>
            </w:tcBorders>
            <w:shd w:val="clear" w:color="000000" w:fill="D9D9D9"/>
            <w:vAlign w:val="center"/>
            <w:hideMark/>
          </w:tcPr>
          <w:p w14:paraId="37A63400"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E25BC43"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8B4557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940A60F"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102F346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r w:rsidR="00A27CF2" w:rsidRPr="00047543" w14:paraId="165E0C3D" w14:textId="77777777">
        <w:trPr>
          <w:trHeight w:val="300"/>
        </w:trPr>
        <w:tc>
          <w:tcPr>
            <w:tcW w:w="4405" w:type="dxa"/>
            <w:tcBorders>
              <w:top w:val="nil"/>
              <w:left w:val="nil"/>
              <w:bottom w:val="nil"/>
              <w:right w:val="nil"/>
            </w:tcBorders>
            <w:noWrap/>
            <w:vAlign w:val="bottom"/>
            <w:hideMark/>
          </w:tcPr>
          <w:p w14:paraId="0FC16C38" w14:textId="77777777" w:rsidR="00A27CF2" w:rsidRPr="00047543" w:rsidRDefault="00A27CF2">
            <w:pPr>
              <w:spacing w:before="0" w:after="0"/>
              <w:jc w:val="right"/>
              <w:rPr>
                <w:b/>
                <w:bCs/>
                <w:noProof/>
                <w:color w:val="000000"/>
                <w:sz w:val="20"/>
                <w:szCs w:val="20"/>
                <w:lang w:eastAsia="en-IE"/>
              </w:rPr>
            </w:pPr>
          </w:p>
        </w:tc>
        <w:tc>
          <w:tcPr>
            <w:tcW w:w="2477" w:type="dxa"/>
            <w:tcBorders>
              <w:top w:val="nil"/>
              <w:left w:val="nil"/>
              <w:bottom w:val="nil"/>
              <w:right w:val="nil"/>
            </w:tcBorders>
            <w:noWrap/>
            <w:vAlign w:val="bottom"/>
            <w:hideMark/>
          </w:tcPr>
          <w:p w14:paraId="0A615685" w14:textId="77777777" w:rsidR="00A27CF2" w:rsidRPr="00047543" w:rsidRDefault="00A27CF2">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5340EC4E" w14:textId="77777777" w:rsidR="00A27CF2" w:rsidRPr="00047543" w:rsidRDefault="00A27CF2">
            <w:pPr>
              <w:spacing w:before="0" w:after="0"/>
              <w:jc w:val="left"/>
              <w:rPr>
                <w:noProof/>
                <w:sz w:val="20"/>
                <w:szCs w:val="20"/>
                <w:lang w:eastAsia="en-IE"/>
              </w:rPr>
            </w:pPr>
          </w:p>
        </w:tc>
        <w:tc>
          <w:tcPr>
            <w:tcW w:w="505" w:type="dxa"/>
            <w:tcBorders>
              <w:top w:val="nil"/>
              <w:left w:val="nil"/>
              <w:bottom w:val="nil"/>
              <w:right w:val="nil"/>
            </w:tcBorders>
            <w:noWrap/>
            <w:vAlign w:val="bottom"/>
            <w:hideMark/>
          </w:tcPr>
          <w:p w14:paraId="7CB64AD1" w14:textId="77777777" w:rsidR="00A27CF2" w:rsidRPr="00047543" w:rsidRDefault="00A27CF2">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78613600" w14:textId="77777777" w:rsidR="00A27CF2" w:rsidRPr="00047543" w:rsidRDefault="00A27CF2">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4461846D" w14:textId="77777777" w:rsidR="00A27CF2" w:rsidRPr="00047543" w:rsidRDefault="00A27CF2">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6C222F20" w14:textId="77777777" w:rsidR="00A27CF2" w:rsidRPr="00047543" w:rsidRDefault="00A27CF2">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7676BD2E" w14:textId="77777777" w:rsidR="00A27CF2" w:rsidRPr="00047543" w:rsidRDefault="00A27CF2">
            <w:pPr>
              <w:spacing w:before="0" w:after="0"/>
              <w:jc w:val="left"/>
              <w:rPr>
                <w:noProof/>
                <w:sz w:val="20"/>
                <w:szCs w:val="20"/>
                <w:lang w:eastAsia="en-IE"/>
              </w:rPr>
            </w:pPr>
          </w:p>
        </w:tc>
        <w:tc>
          <w:tcPr>
            <w:tcW w:w="1244" w:type="dxa"/>
            <w:tcBorders>
              <w:top w:val="nil"/>
              <w:left w:val="nil"/>
              <w:bottom w:val="nil"/>
              <w:right w:val="nil"/>
            </w:tcBorders>
            <w:noWrap/>
            <w:vAlign w:val="bottom"/>
            <w:hideMark/>
          </w:tcPr>
          <w:p w14:paraId="444496E8" w14:textId="77777777" w:rsidR="00A27CF2" w:rsidRPr="00047543" w:rsidRDefault="00A27CF2">
            <w:pPr>
              <w:spacing w:before="0" w:after="0"/>
              <w:jc w:val="left"/>
              <w:rPr>
                <w:noProof/>
                <w:sz w:val="20"/>
                <w:szCs w:val="20"/>
                <w:lang w:eastAsia="en-IE"/>
              </w:rPr>
            </w:pPr>
          </w:p>
        </w:tc>
      </w:tr>
      <w:tr w:rsidR="00A27CF2" w:rsidRPr="00047543" w14:paraId="41CD4EC8" w14:textId="77777777">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31083E5A" w14:textId="77777777" w:rsidR="00A27CF2" w:rsidRPr="00047543" w:rsidRDefault="00A27CF2">
            <w:pPr>
              <w:spacing w:before="0" w:after="0"/>
              <w:jc w:val="center"/>
              <w:rPr>
                <w:b/>
                <w:bCs/>
                <w:noProof/>
                <w:color w:val="000000"/>
                <w:sz w:val="22"/>
              </w:rPr>
            </w:pPr>
            <w:r w:rsidRPr="00047543">
              <w:rPr>
                <w:b/>
                <w:noProof/>
                <w:color w:val="000000"/>
                <w:sz w:val="22"/>
              </w:rPr>
              <w:t xml:space="preserve">TOTALA anslag för RUBRIK 7 i den fleråriga budgetramen </w:t>
            </w:r>
          </w:p>
        </w:tc>
        <w:tc>
          <w:tcPr>
            <w:tcW w:w="1010" w:type="dxa"/>
            <w:gridSpan w:val="2"/>
            <w:tcBorders>
              <w:top w:val="single" w:sz="8" w:space="0" w:color="auto"/>
              <w:left w:val="nil"/>
              <w:bottom w:val="single" w:sz="8" w:space="0" w:color="auto"/>
              <w:right w:val="single" w:sz="8" w:space="0" w:color="auto"/>
            </w:tcBorders>
            <w:vAlign w:val="center"/>
            <w:hideMark/>
          </w:tcPr>
          <w:p w14:paraId="244CD365" w14:textId="77777777" w:rsidR="00A27CF2" w:rsidRPr="00047543" w:rsidRDefault="00A27CF2">
            <w:pPr>
              <w:spacing w:before="0" w:after="0"/>
              <w:jc w:val="center"/>
              <w:rPr>
                <w:noProof/>
                <w:color w:val="000000"/>
                <w:sz w:val="18"/>
                <w:szCs w:val="18"/>
              </w:rPr>
            </w:pPr>
            <w:r w:rsidRPr="00047543">
              <w:rPr>
                <w:noProof/>
                <w:color w:val="000000"/>
                <w:sz w:val="18"/>
              </w:rPr>
              <w:t>(summa åtaganden = summa betalningar)</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3256953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3EA762C8"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3685598A"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34C8D687"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14:paraId="17DAD941" w14:textId="77777777" w:rsidR="00A27CF2" w:rsidRPr="00047543" w:rsidRDefault="00A27CF2">
            <w:pPr>
              <w:spacing w:before="0" w:after="0"/>
              <w:jc w:val="right"/>
              <w:rPr>
                <w:b/>
                <w:bCs/>
                <w:noProof/>
                <w:color w:val="000000"/>
                <w:sz w:val="20"/>
                <w:szCs w:val="20"/>
              </w:rPr>
            </w:pPr>
            <w:r w:rsidRPr="00047543">
              <w:rPr>
                <w:b/>
                <w:noProof/>
                <w:color w:val="000000"/>
                <w:sz w:val="20"/>
              </w:rPr>
              <w:t>0,000</w:t>
            </w:r>
          </w:p>
        </w:tc>
      </w:tr>
    </w:tbl>
    <w:p w14:paraId="7C542306" w14:textId="77777777" w:rsidR="00A27CF2" w:rsidRPr="00047543" w:rsidRDefault="00A27CF2" w:rsidP="00A27CF2">
      <w:pPr>
        <w:jc w:val="right"/>
        <w:rPr>
          <w:noProof/>
          <w:sz w:val="20"/>
        </w:rPr>
      </w:pPr>
      <w:r w:rsidRPr="00047543">
        <w:rPr>
          <w:noProof/>
          <w:sz w:val="20"/>
        </w:rPr>
        <w:t>Miljoner EUR (avrundat till tre decimaler)</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A27CF2" w:rsidRPr="00047543" w14:paraId="7CC4A457" w14:textId="77777777">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42D08B40" w14:textId="77777777" w:rsidR="00A27CF2" w:rsidRPr="00047543" w:rsidRDefault="00A27CF2">
            <w:pPr>
              <w:spacing w:before="0" w:after="0"/>
              <w:jc w:val="center"/>
              <w:rPr>
                <w:noProof/>
                <w:color w:val="000000"/>
                <w:szCs w:val="24"/>
              </w:rPr>
            </w:pPr>
            <w:r w:rsidRPr="00047543">
              <w:rPr>
                <w:noProof/>
                <w:color w:val="000000"/>
              </w:rPr>
              <w:t xml:space="preserve"> </w:t>
            </w:r>
          </w:p>
        </w:tc>
        <w:tc>
          <w:tcPr>
            <w:tcW w:w="1160" w:type="dxa"/>
            <w:tcBorders>
              <w:top w:val="single" w:sz="8" w:space="0" w:color="auto"/>
              <w:left w:val="nil"/>
              <w:bottom w:val="nil"/>
              <w:right w:val="single" w:sz="8" w:space="0" w:color="auto"/>
            </w:tcBorders>
            <w:vAlign w:val="center"/>
            <w:hideMark/>
          </w:tcPr>
          <w:p w14:paraId="557AE9A5"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160" w:type="dxa"/>
            <w:tcBorders>
              <w:top w:val="single" w:sz="8" w:space="0" w:color="auto"/>
              <w:left w:val="nil"/>
              <w:bottom w:val="nil"/>
              <w:right w:val="single" w:sz="8" w:space="0" w:color="auto"/>
            </w:tcBorders>
            <w:vAlign w:val="center"/>
            <w:hideMark/>
          </w:tcPr>
          <w:p w14:paraId="67623F26"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160" w:type="dxa"/>
            <w:tcBorders>
              <w:top w:val="single" w:sz="8" w:space="0" w:color="auto"/>
              <w:left w:val="nil"/>
              <w:bottom w:val="nil"/>
              <w:right w:val="single" w:sz="8" w:space="0" w:color="auto"/>
            </w:tcBorders>
            <w:vAlign w:val="center"/>
            <w:hideMark/>
          </w:tcPr>
          <w:p w14:paraId="3F1D7756"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160" w:type="dxa"/>
            <w:tcBorders>
              <w:top w:val="single" w:sz="8" w:space="0" w:color="auto"/>
              <w:left w:val="nil"/>
              <w:bottom w:val="nil"/>
              <w:right w:val="single" w:sz="8" w:space="0" w:color="auto"/>
            </w:tcBorders>
            <w:vAlign w:val="center"/>
            <w:hideMark/>
          </w:tcPr>
          <w:p w14:paraId="6877F29C"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1400" w:type="dxa"/>
            <w:vMerge w:val="restart"/>
            <w:tcBorders>
              <w:top w:val="single" w:sz="8" w:space="0" w:color="auto"/>
              <w:left w:val="single" w:sz="8" w:space="0" w:color="auto"/>
              <w:bottom w:val="single" w:sz="8" w:space="0" w:color="000000"/>
              <w:right w:val="single" w:sz="8" w:space="0" w:color="auto"/>
            </w:tcBorders>
            <w:vAlign w:val="center"/>
            <w:hideMark/>
          </w:tcPr>
          <w:p w14:paraId="5CA338BD" w14:textId="77777777" w:rsidR="00A27CF2" w:rsidRPr="00047543" w:rsidRDefault="00A27CF2">
            <w:pPr>
              <w:spacing w:before="0" w:after="0"/>
              <w:jc w:val="center"/>
              <w:rPr>
                <w:b/>
                <w:bCs/>
                <w:noProof/>
                <w:color w:val="000000"/>
                <w:sz w:val="20"/>
                <w:szCs w:val="20"/>
              </w:rPr>
            </w:pPr>
            <w:r w:rsidRPr="00047543">
              <w:rPr>
                <w:b/>
                <w:noProof/>
                <w:color w:val="000000"/>
                <w:sz w:val="20"/>
              </w:rPr>
              <w:t>TOTALT Budgetram 2021–2027</w:t>
            </w:r>
          </w:p>
        </w:tc>
      </w:tr>
      <w:tr w:rsidR="00A27CF2" w:rsidRPr="00047543" w14:paraId="4EA54D05" w14:textId="77777777">
        <w:trPr>
          <w:trHeight w:val="300"/>
        </w:trPr>
        <w:tc>
          <w:tcPr>
            <w:tcW w:w="7100" w:type="dxa"/>
            <w:gridSpan w:val="2"/>
            <w:vMerge/>
            <w:tcBorders>
              <w:top w:val="single" w:sz="8" w:space="0" w:color="auto"/>
              <w:left w:val="single" w:sz="8" w:space="0" w:color="auto"/>
              <w:bottom w:val="single" w:sz="8" w:space="0" w:color="auto"/>
              <w:right w:val="single" w:sz="8" w:space="0" w:color="auto"/>
            </w:tcBorders>
            <w:vAlign w:val="center"/>
            <w:hideMark/>
          </w:tcPr>
          <w:p w14:paraId="1EE19D36" w14:textId="77777777" w:rsidR="00A27CF2" w:rsidRPr="00047543" w:rsidRDefault="00A27CF2">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vAlign w:val="center"/>
            <w:hideMark/>
          </w:tcPr>
          <w:p w14:paraId="5058E0FB"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1160" w:type="dxa"/>
            <w:tcBorders>
              <w:top w:val="nil"/>
              <w:left w:val="nil"/>
              <w:bottom w:val="single" w:sz="8" w:space="0" w:color="auto"/>
              <w:right w:val="single" w:sz="8" w:space="0" w:color="auto"/>
            </w:tcBorders>
            <w:vAlign w:val="center"/>
            <w:hideMark/>
          </w:tcPr>
          <w:p w14:paraId="7CBBD825"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1160" w:type="dxa"/>
            <w:tcBorders>
              <w:top w:val="nil"/>
              <w:left w:val="nil"/>
              <w:bottom w:val="single" w:sz="8" w:space="0" w:color="auto"/>
              <w:right w:val="single" w:sz="8" w:space="0" w:color="auto"/>
            </w:tcBorders>
            <w:vAlign w:val="center"/>
            <w:hideMark/>
          </w:tcPr>
          <w:p w14:paraId="4D5FF0E9"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1160" w:type="dxa"/>
            <w:tcBorders>
              <w:top w:val="nil"/>
              <w:left w:val="nil"/>
              <w:bottom w:val="single" w:sz="8" w:space="0" w:color="auto"/>
              <w:right w:val="single" w:sz="8" w:space="0" w:color="auto"/>
            </w:tcBorders>
            <w:vAlign w:val="center"/>
            <w:hideMark/>
          </w:tcPr>
          <w:p w14:paraId="74AA0304"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14:paraId="3942B1A1" w14:textId="77777777" w:rsidR="00A27CF2" w:rsidRPr="00047543" w:rsidRDefault="00A27CF2">
            <w:pPr>
              <w:spacing w:before="0" w:after="0"/>
              <w:jc w:val="left"/>
              <w:rPr>
                <w:b/>
                <w:bCs/>
                <w:noProof/>
                <w:color w:val="000000"/>
                <w:sz w:val="20"/>
                <w:szCs w:val="20"/>
                <w:lang w:eastAsia="en-IE"/>
              </w:rPr>
            </w:pPr>
          </w:p>
        </w:tc>
      </w:tr>
      <w:tr w:rsidR="00A27CF2" w:rsidRPr="00047543" w14:paraId="0BF3B8E4" w14:textId="77777777">
        <w:trPr>
          <w:trHeight w:val="564"/>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3688A95C" w14:textId="77777777" w:rsidR="00A27CF2" w:rsidRPr="00047543" w:rsidRDefault="00A27CF2">
            <w:pPr>
              <w:spacing w:before="0" w:after="0"/>
              <w:jc w:val="center"/>
              <w:rPr>
                <w:b/>
                <w:bCs/>
                <w:noProof/>
                <w:color w:val="000000"/>
                <w:sz w:val="22"/>
              </w:rPr>
            </w:pPr>
            <w:r w:rsidRPr="00047543">
              <w:rPr>
                <w:b/>
                <w:noProof/>
                <w:color w:val="000000"/>
                <w:sz w:val="22"/>
              </w:rPr>
              <w:t>TOTALA anslag för RUBRIKERNA 1–7</w:t>
            </w:r>
          </w:p>
        </w:tc>
        <w:tc>
          <w:tcPr>
            <w:tcW w:w="1920" w:type="dxa"/>
            <w:tcBorders>
              <w:top w:val="single" w:sz="8" w:space="0" w:color="auto"/>
              <w:left w:val="nil"/>
              <w:bottom w:val="single" w:sz="8" w:space="0" w:color="auto"/>
              <w:right w:val="single" w:sz="8" w:space="0" w:color="auto"/>
            </w:tcBorders>
            <w:vAlign w:val="center"/>
            <w:hideMark/>
          </w:tcPr>
          <w:p w14:paraId="33D60185" w14:textId="77777777" w:rsidR="00A27CF2" w:rsidRPr="00047543" w:rsidRDefault="00A27CF2">
            <w:pPr>
              <w:spacing w:before="0" w:after="0"/>
              <w:rPr>
                <w:noProof/>
                <w:color w:val="000000"/>
                <w:sz w:val="18"/>
                <w:szCs w:val="18"/>
              </w:rPr>
            </w:pPr>
            <w:r w:rsidRPr="00047543">
              <w:rPr>
                <w:noProof/>
                <w:color w:val="000000"/>
                <w:sz w:val="18"/>
              </w:rPr>
              <w:t>Åtaganden</w:t>
            </w:r>
          </w:p>
        </w:tc>
        <w:tc>
          <w:tcPr>
            <w:tcW w:w="1160" w:type="dxa"/>
            <w:tcBorders>
              <w:top w:val="nil"/>
              <w:left w:val="nil"/>
              <w:bottom w:val="single" w:sz="8" w:space="0" w:color="auto"/>
              <w:right w:val="single" w:sz="8" w:space="0" w:color="auto"/>
            </w:tcBorders>
            <w:shd w:val="clear" w:color="000000" w:fill="D9D9D9"/>
            <w:vAlign w:val="center"/>
            <w:hideMark/>
          </w:tcPr>
          <w:p w14:paraId="34050FA7" w14:textId="77777777" w:rsidR="00A27CF2" w:rsidRPr="00047543" w:rsidRDefault="00A27CF2">
            <w:pPr>
              <w:spacing w:before="0" w:after="0"/>
              <w:jc w:val="right"/>
              <w:rPr>
                <w:b/>
                <w:bCs/>
                <w:noProof/>
                <w:color w:val="000000"/>
                <w:szCs w:val="24"/>
              </w:rPr>
            </w:pPr>
            <w:r w:rsidRPr="0004754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41364652" w14:textId="77777777" w:rsidR="00A27CF2" w:rsidRPr="00047543" w:rsidRDefault="00A27CF2">
            <w:pPr>
              <w:spacing w:before="0" w:after="0"/>
              <w:jc w:val="right"/>
              <w:rPr>
                <w:b/>
                <w:bCs/>
                <w:noProof/>
                <w:color w:val="000000"/>
                <w:szCs w:val="24"/>
              </w:rPr>
            </w:pPr>
            <w:r w:rsidRPr="0004754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5A348AA9" w14:textId="77777777" w:rsidR="00A27CF2" w:rsidRPr="00047543" w:rsidRDefault="00A27CF2">
            <w:pPr>
              <w:spacing w:before="0" w:after="0"/>
              <w:jc w:val="right"/>
              <w:rPr>
                <w:b/>
                <w:bCs/>
                <w:noProof/>
                <w:color w:val="000000"/>
                <w:szCs w:val="24"/>
              </w:rPr>
            </w:pPr>
            <w:r w:rsidRPr="0004754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2CB84B30" w14:textId="77777777" w:rsidR="00A27CF2" w:rsidRPr="00047543" w:rsidRDefault="00A27CF2">
            <w:pPr>
              <w:spacing w:before="0" w:after="0"/>
              <w:jc w:val="right"/>
              <w:rPr>
                <w:b/>
                <w:bCs/>
                <w:noProof/>
                <w:color w:val="000000"/>
                <w:szCs w:val="24"/>
              </w:rPr>
            </w:pPr>
            <w:r w:rsidRPr="00047543">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35294974" w14:textId="77777777" w:rsidR="00A27CF2" w:rsidRPr="00047543" w:rsidRDefault="00A27CF2">
            <w:pPr>
              <w:spacing w:before="0" w:after="0"/>
              <w:jc w:val="right"/>
              <w:rPr>
                <w:b/>
                <w:bCs/>
                <w:noProof/>
                <w:color w:val="000000"/>
                <w:szCs w:val="24"/>
              </w:rPr>
            </w:pPr>
            <w:r w:rsidRPr="00047543">
              <w:rPr>
                <w:b/>
                <w:noProof/>
                <w:color w:val="000000"/>
              </w:rPr>
              <w:t>0,000</w:t>
            </w:r>
          </w:p>
        </w:tc>
      </w:tr>
      <w:tr w:rsidR="00A27CF2" w:rsidRPr="00047543" w14:paraId="55894851" w14:textId="77777777">
        <w:trPr>
          <w:trHeight w:val="540"/>
        </w:trPr>
        <w:tc>
          <w:tcPr>
            <w:tcW w:w="5180" w:type="dxa"/>
            <w:tcBorders>
              <w:top w:val="single" w:sz="8" w:space="0" w:color="auto"/>
              <w:left w:val="single" w:sz="8" w:space="0" w:color="auto"/>
              <w:bottom w:val="single" w:sz="8" w:space="0" w:color="auto"/>
              <w:right w:val="single" w:sz="8" w:space="0" w:color="000000"/>
            </w:tcBorders>
            <w:shd w:val="clear" w:color="000000" w:fill="C0C0C0"/>
            <w:vAlign w:val="center"/>
            <w:hideMark/>
          </w:tcPr>
          <w:p w14:paraId="2008BCD3" w14:textId="77777777" w:rsidR="00A27CF2" w:rsidRPr="00047543" w:rsidRDefault="00A27CF2">
            <w:pPr>
              <w:spacing w:before="0" w:after="0"/>
              <w:jc w:val="center"/>
              <w:rPr>
                <w:noProof/>
                <w:color w:val="000000"/>
                <w:sz w:val="22"/>
              </w:rPr>
            </w:pPr>
            <w:r w:rsidRPr="00047543">
              <w:rPr>
                <w:noProof/>
                <w:color w:val="000000"/>
                <w:sz w:val="22"/>
              </w:rPr>
              <w:t>i den fleråriga budgetramen</w:t>
            </w:r>
            <w:r w:rsidRPr="00047543">
              <w:rPr>
                <w:b/>
                <w:noProof/>
                <w:color w:val="000000"/>
                <w:sz w:val="22"/>
              </w:rPr>
              <w:t xml:space="preserve"> </w:t>
            </w:r>
          </w:p>
        </w:tc>
        <w:tc>
          <w:tcPr>
            <w:tcW w:w="1920" w:type="dxa"/>
            <w:tcBorders>
              <w:top w:val="single" w:sz="8" w:space="0" w:color="auto"/>
              <w:left w:val="nil"/>
              <w:bottom w:val="single" w:sz="8" w:space="0" w:color="auto"/>
              <w:right w:val="single" w:sz="8" w:space="0" w:color="auto"/>
            </w:tcBorders>
            <w:vAlign w:val="center"/>
            <w:hideMark/>
          </w:tcPr>
          <w:p w14:paraId="0A40B4C3" w14:textId="77777777" w:rsidR="00A27CF2" w:rsidRPr="00047543" w:rsidRDefault="00A27CF2">
            <w:pPr>
              <w:spacing w:before="0" w:after="0"/>
              <w:rPr>
                <w:noProof/>
                <w:color w:val="000000"/>
                <w:sz w:val="18"/>
                <w:szCs w:val="18"/>
              </w:rPr>
            </w:pPr>
            <w:r w:rsidRPr="00047543">
              <w:rPr>
                <w:noProof/>
                <w:color w:val="000000"/>
                <w:sz w:val="18"/>
              </w:rPr>
              <w:t>Betalningar</w:t>
            </w:r>
          </w:p>
        </w:tc>
        <w:tc>
          <w:tcPr>
            <w:tcW w:w="1160" w:type="dxa"/>
            <w:tcBorders>
              <w:top w:val="nil"/>
              <w:left w:val="nil"/>
              <w:bottom w:val="single" w:sz="8" w:space="0" w:color="auto"/>
              <w:right w:val="single" w:sz="8" w:space="0" w:color="auto"/>
            </w:tcBorders>
            <w:shd w:val="clear" w:color="000000" w:fill="D9D9D9"/>
            <w:vAlign w:val="center"/>
            <w:hideMark/>
          </w:tcPr>
          <w:p w14:paraId="6F63429A" w14:textId="77777777" w:rsidR="00A27CF2" w:rsidRPr="00047543" w:rsidRDefault="00A27CF2">
            <w:pPr>
              <w:spacing w:before="0" w:after="0"/>
              <w:jc w:val="right"/>
              <w:rPr>
                <w:b/>
                <w:bCs/>
                <w:noProof/>
                <w:color w:val="000000"/>
                <w:szCs w:val="24"/>
              </w:rPr>
            </w:pPr>
            <w:r w:rsidRPr="0004754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4DFEFCC4" w14:textId="77777777" w:rsidR="00A27CF2" w:rsidRPr="00047543" w:rsidRDefault="00A27CF2">
            <w:pPr>
              <w:spacing w:before="0" w:after="0"/>
              <w:jc w:val="right"/>
              <w:rPr>
                <w:b/>
                <w:bCs/>
                <w:noProof/>
                <w:color w:val="000000"/>
                <w:szCs w:val="24"/>
              </w:rPr>
            </w:pPr>
            <w:r w:rsidRPr="0004754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4A33B78E" w14:textId="77777777" w:rsidR="00A27CF2" w:rsidRPr="00047543" w:rsidRDefault="00A27CF2">
            <w:pPr>
              <w:spacing w:before="0" w:after="0"/>
              <w:jc w:val="right"/>
              <w:rPr>
                <w:b/>
                <w:bCs/>
                <w:noProof/>
                <w:color w:val="000000"/>
                <w:szCs w:val="24"/>
              </w:rPr>
            </w:pPr>
            <w:r w:rsidRPr="00047543">
              <w:rPr>
                <w:b/>
                <w:noProof/>
                <w:color w:val="000000"/>
              </w:rPr>
              <w:t>0,000</w:t>
            </w:r>
          </w:p>
        </w:tc>
        <w:tc>
          <w:tcPr>
            <w:tcW w:w="1160" w:type="dxa"/>
            <w:tcBorders>
              <w:top w:val="nil"/>
              <w:left w:val="nil"/>
              <w:bottom w:val="single" w:sz="8" w:space="0" w:color="auto"/>
              <w:right w:val="single" w:sz="8" w:space="0" w:color="auto"/>
            </w:tcBorders>
            <w:shd w:val="clear" w:color="000000" w:fill="D9D9D9"/>
            <w:vAlign w:val="center"/>
            <w:hideMark/>
          </w:tcPr>
          <w:p w14:paraId="3D159FF2" w14:textId="77777777" w:rsidR="00A27CF2" w:rsidRPr="00047543" w:rsidRDefault="00A27CF2">
            <w:pPr>
              <w:spacing w:before="0" w:after="0"/>
              <w:jc w:val="right"/>
              <w:rPr>
                <w:b/>
                <w:bCs/>
                <w:noProof/>
                <w:color w:val="000000"/>
                <w:szCs w:val="24"/>
              </w:rPr>
            </w:pPr>
            <w:r w:rsidRPr="00047543">
              <w:rPr>
                <w:b/>
                <w:noProof/>
                <w:color w:val="000000"/>
              </w:rPr>
              <w:t>0,000</w:t>
            </w:r>
          </w:p>
        </w:tc>
        <w:tc>
          <w:tcPr>
            <w:tcW w:w="1400" w:type="dxa"/>
            <w:tcBorders>
              <w:top w:val="nil"/>
              <w:left w:val="nil"/>
              <w:bottom w:val="single" w:sz="8" w:space="0" w:color="auto"/>
              <w:right w:val="single" w:sz="8" w:space="0" w:color="auto"/>
            </w:tcBorders>
            <w:shd w:val="clear" w:color="000000" w:fill="D9D9D9"/>
            <w:vAlign w:val="center"/>
            <w:hideMark/>
          </w:tcPr>
          <w:p w14:paraId="01A5ED32" w14:textId="77777777" w:rsidR="00A27CF2" w:rsidRPr="00047543" w:rsidRDefault="00A27CF2">
            <w:pPr>
              <w:spacing w:before="0" w:after="0"/>
              <w:jc w:val="right"/>
              <w:rPr>
                <w:b/>
                <w:bCs/>
                <w:noProof/>
                <w:color w:val="000000"/>
                <w:szCs w:val="24"/>
              </w:rPr>
            </w:pPr>
            <w:r w:rsidRPr="00047543">
              <w:rPr>
                <w:b/>
                <w:noProof/>
                <w:color w:val="000000"/>
              </w:rPr>
              <w:t>0,000</w:t>
            </w:r>
          </w:p>
        </w:tc>
      </w:tr>
    </w:tbl>
    <w:p w14:paraId="0EA82B43" w14:textId="77777777" w:rsidR="00A27CF2" w:rsidRPr="00047543" w:rsidRDefault="00A27CF2" w:rsidP="00A27CF2">
      <w:pPr>
        <w:pStyle w:val="ManualHeading3"/>
        <w:rPr>
          <w:bCs/>
          <w:noProof/>
          <w:szCs w:val="24"/>
        </w:rPr>
      </w:pPr>
      <w:r w:rsidRPr="00047543">
        <w:rPr>
          <w:noProof/>
        </w:rPr>
        <w:t>3.2.2</w:t>
      </w:r>
      <w:r w:rsidRPr="00047543">
        <w:rPr>
          <w:noProof/>
        </w:rPr>
        <w:tab/>
        <w:t>Beräknad output som finansierats med driftsanslag (ska inte fyllas i för decentraliserade byråer)</w:t>
      </w:r>
    </w:p>
    <w:p w14:paraId="6490747E" w14:textId="77777777" w:rsidR="00A27CF2" w:rsidRPr="00047543" w:rsidRDefault="00A27CF2" w:rsidP="00A27CF2">
      <w:pPr>
        <w:jc w:val="right"/>
        <w:rPr>
          <w:noProof/>
          <w:sz w:val="20"/>
        </w:rPr>
      </w:pPr>
      <w:r w:rsidRPr="00047543">
        <w:rPr>
          <w:noProof/>
          <w:sz w:val="20"/>
        </w:rPr>
        <w:t>Åtagandebemyndiganden i miljoner EUR (avrundat till tre decimaler)</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A27CF2" w:rsidRPr="00047543" w14:paraId="4546DC2C" w14:textId="77777777">
        <w:trPr>
          <w:jc w:val="center"/>
        </w:trPr>
        <w:tc>
          <w:tcPr>
            <w:tcW w:w="1423" w:type="dxa"/>
            <w:vMerge w:val="restart"/>
            <w:vAlign w:val="center"/>
          </w:tcPr>
          <w:p w14:paraId="14D1E6BC" w14:textId="77777777" w:rsidR="00A27CF2" w:rsidRPr="00047543" w:rsidRDefault="00A27CF2">
            <w:pPr>
              <w:ind w:right="-29"/>
              <w:jc w:val="center"/>
              <w:rPr>
                <w:b/>
                <w:noProof/>
                <w:sz w:val="18"/>
                <w:szCs w:val="18"/>
              </w:rPr>
            </w:pPr>
            <w:r w:rsidRPr="00047543">
              <w:rPr>
                <w:b/>
                <w:noProof/>
                <w:sz w:val="18"/>
              </w:rPr>
              <w:t xml:space="preserve">Ange mål och output </w:t>
            </w:r>
          </w:p>
          <w:p w14:paraId="538D6F6C" w14:textId="77777777" w:rsidR="00A27CF2" w:rsidRPr="00047543" w:rsidRDefault="00A27CF2">
            <w:pPr>
              <w:ind w:right="-29"/>
              <w:jc w:val="center"/>
              <w:rPr>
                <w:b/>
                <w:noProof/>
                <w:sz w:val="18"/>
                <w:szCs w:val="18"/>
              </w:rPr>
            </w:pPr>
          </w:p>
          <w:p w14:paraId="73F853C1" w14:textId="77777777" w:rsidR="00A27CF2" w:rsidRPr="00047543" w:rsidRDefault="00A27CF2">
            <w:pPr>
              <w:ind w:right="-29"/>
              <w:jc w:val="center"/>
              <w:rPr>
                <w:noProof/>
                <w:sz w:val="18"/>
                <w:szCs w:val="18"/>
              </w:rPr>
            </w:pPr>
            <w:r w:rsidRPr="00047543">
              <w:rPr>
                <w:rFonts w:ascii="Wingdings" w:hAnsi="Wingdings"/>
                <w:noProof/>
                <w:sz w:val="18"/>
              </w:rPr>
              <w:t></w:t>
            </w:r>
          </w:p>
        </w:tc>
        <w:tc>
          <w:tcPr>
            <w:tcW w:w="720" w:type="dxa"/>
            <w:vAlign w:val="center"/>
          </w:tcPr>
          <w:p w14:paraId="18B204EF" w14:textId="77777777" w:rsidR="00A27CF2" w:rsidRPr="00047543" w:rsidRDefault="00A27CF2">
            <w:pPr>
              <w:ind w:right="-29"/>
              <w:jc w:val="center"/>
              <w:rPr>
                <w:noProof/>
                <w:sz w:val="18"/>
                <w:szCs w:val="18"/>
              </w:rPr>
            </w:pPr>
          </w:p>
        </w:tc>
        <w:tc>
          <w:tcPr>
            <w:tcW w:w="701" w:type="dxa"/>
            <w:vAlign w:val="center"/>
          </w:tcPr>
          <w:p w14:paraId="0073F502" w14:textId="77777777" w:rsidR="00A27CF2" w:rsidRPr="00047543" w:rsidRDefault="00A27CF2">
            <w:pPr>
              <w:ind w:right="-29"/>
              <w:jc w:val="center"/>
              <w:rPr>
                <w:noProof/>
                <w:sz w:val="18"/>
                <w:szCs w:val="18"/>
              </w:rPr>
            </w:pPr>
          </w:p>
        </w:tc>
        <w:tc>
          <w:tcPr>
            <w:tcW w:w="1224" w:type="dxa"/>
            <w:gridSpan w:val="2"/>
            <w:tcBorders>
              <w:left w:val="nil"/>
            </w:tcBorders>
            <w:vAlign w:val="center"/>
          </w:tcPr>
          <w:p w14:paraId="7B8AF955" w14:textId="77777777" w:rsidR="00A27CF2" w:rsidRPr="00047543" w:rsidRDefault="00A27CF2">
            <w:pPr>
              <w:ind w:right="-29"/>
              <w:jc w:val="center"/>
              <w:rPr>
                <w:noProof/>
                <w:sz w:val="18"/>
                <w:szCs w:val="18"/>
              </w:rPr>
            </w:pPr>
            <w:r w:rsidRPr="00047543">
              <w:rPr>
                <w:noProof/>
                <w:sz w:val="18"/>
              </w:rPr>
              <w:t>År</w:t>
            </w:r>
            <w:r w:rsidRPr="00047543">
              <w:rPr>
                <w:noProof/>
              </w:rPr>
              <w:cr/>
            </w:r>
            <w:r w:rsidRPr="00047543">
              <w:rPr>
                <w:noProof/>
              </w:rPr>
              <w:br/>
            </w:r>
            <w:r w:rsidRPr="00047543">
              <w:rPr>
                <w:b/>
                <w:noProof/>
                <w:sz w:val="18"/>
              </w:rPr>
              <w:t>2024</w:t>
            </w:r>
          </w:p>
        </w:tc>
        <w:tc>
          <w:tcPr>
            <w:tcW w:w="1260" w:type="dxa"/>
            <w:gridSpan w:val="2"/>
            <w:vAlign w:val="center"/>
          </w:tcPr>
          <w:p w14:paraId="1D8C2725" w14:textId="77777777" w:rsidR="00A27CF2" w:rsidRPr="00047543" w:rsidRDefault="00A27CF2">
            <w:pPr>
              <w:ind w:right="-29"/>
              <w:jc w:val="center"/>
              <w:rPr>
                <w:noProof/>
                <w:sz w:val="18"/>
                <w:szCs w:val="18"/>
              </w:rPr>
            </w:pPr>
            <w:r w:rsidRPr="00047543">
              <w:rPr>
                <w:noProof/>
                <w:sz w:val="18"/>
              </w:rPr>
              <w:t>År</w:t>
            </w:r>
            <w:r w:rsidRPr="00047543">
              <w:rPr>
                <w:noProof/>
              </w:rPr>
              <w:cr/>
            </w:r>
            <w:r w:rsidRPr="00047543">
              <w:rPr>
                <w:noProof/>
              </w:rPr>
              <w:br/>
            </w:r>
            <w:r w:rsidRPr="00047543">
              <w:rPr>
                <w:b/>
                <w:noProof/>
                <w:sz w:val="18"/>
              </w:rPr>
              <w:t>2025</w:t>
            </w:r>
          </w:p>
        </w:tc>
        <w:tc>
          <w:tcPr>
            <w:tcW w:w="1440" w:type="dxa"/>
            <w:gridSpan w:val="2"/>
            <w:vAlign w:val="center"/>
          </w:tcPr>
          <w:p w14:paraId="24C67FCC" w14:textId="77777777" w:rsidR="00A27CF2" w:rsidRPr="00047543" w:rsidRDefault="00A27CF2">
            <w:pPr>
              <w:ind w:right="-29"/>
              <w:jc w:val="center"/>
              <w:rPr>
                <w:noProof/>
                <w:sz w:val="18"/>
                <w:szCs w:val="18"/>
              </w:rPr>
            </w:pPr>
            <w:r w:rsidRPr="00047543">
              <w:rPr>
                <w:noProof/>
                <w:sz w:val="18"/>
              </w:rPr>
              <w:t>År</w:t>
            </w:r>
            <w:r w:rsidRPr="00047543">
              <w:rPr>
                <w:noProof/>
              </w:rPr>
              <w:cr/>
            </w:r>
            <w:r w:rsidRPr="00047543">
              <w:rPr>
                <w:noProof/>
              </w:rPr>
              <w:br/>
            </w:r>
            <w:r w:rsidRPr="00047543">
              <w:rPr>
                <w:b/>
                <w:noProof/>
                <w:sz w:val="18"/>
              </w:rPr>
              <w:t>2026</w:t>
            </w:r>
          </w:p>
        </w:tc>
        <w:tc>
          <w:tcPr>
            <w:tcW w:w="1620" w:type="dxa"/>
            <w:gridSpan w:val="3"/>
            <w:vAlign w:val="center"/>
          </w:tcPr>
          <w:p w14:paraId="6E218847" w14:textId="77777777" w:rsidR="00A27CF2" w:rsidRPr="00047543" w:rsidRDefault="00A27CF2">
            <w:pPr>
              <w:ind w:right="-29"/>
              <w:jc w:val="center"/>
              <w:rPr>
                <w:noProof/>
                <w:sz w:val="18"/>
                <w:szCs w:val="18"/>
              </w:rPr>
            </w:pPr>
            <w:r w:rsidRPr="00047543">
              <w:rPr>
                <w:noProof/>
                <w:sz w:val="18"/>
              </w:rPr>
              <w:t>År</w:t>
            </w:r>
            <w:r w:rsidRPr="00047543">
              <w:rPr>
                <w:noProof/>
              </w:rPr>
              <w:cr/>
            </w:r>
            <w:r w:rsidRPr="00047543">
              <w:rPr>
                <w:noProof/>
              </w:rPr>
              <w:br/>
            </w:r>
            <w:r w:rsidRPr="00047543">
              <w:rPr>
                <w:b/>
                <w:noProof/>
                <w:sz w:val="18"/>
              </w:rPr>
              <w:t>2027</w:t>
            </w:r>
          </w:p>
        </w:tc>
        <w:tc>
          <w:tcPr>
            <w:tcW w:w="3600" w:type="dxa"/>
            <w:gridSpan w:val="6"/>
            <w:vAlign w:val="center"/>
          </w:tcPr>
          <w:p w14:paraId="1775FD76" w14:textId="77777777" w:rsidR="00A27CF2" w:rsidRPr="00047543" w:rsidRDefault="00A27CF2">
            <w:pPr>
              <w:jc w:val="center"/>
              <w:rPr>
                <w:noProof/>
                <w:sz w:val="18"/>
                <w:szCs w:val="18"/>
              </w:rPr>
            </w:pPr>
            <w:r w:rsidRPr="00047543">
              <w:rPr>
                <w:noProof/>
                <w:sz w:val="18"/>
              </w:rPr>
              <w:t>För in så många år som behövs för att redovisa hur länge resursanvändningen påverkas (jfr avsnitt 1.6)</w:t>
            </w:r>
          </w:p>
        </w:tc>
        <w:tc>
          <w:tcPr>
            <w:tcW w:w="1620" w:type="dxa"/>
            <w:gridSpan w:val="2"/>
            <w:tcBorders>
              <w:left w:val="nil"/>
              <w:bottom w:val="nil"/>
            </w:tcBorders>
            <w:vAlign w:val="center"/>
          </w:tcPr>
          <w:p w14:paraId="2489607A" w14:textId="77777777" w:rsidR="00A27CF2" w:rsidRPr="00047543" w:rsidRDefault="00A27CF2">
            <w:pPr>
              <w:ind w:right="-29"/>
              <w:jc w:val="center"/>
              <w:rPr>
                <w:noProof/>
                <w:sz w:val="18"/>
                <w:szCs w:val="18"/>
              </w:rPr>
            </w:pPr>
            <w:r w:rsidRPr="00047543">
              <w:rPr>
                <w:b/>
                <w:noProof/>
                <w:sz w:val="18"/>
              </w:rPr>
              <w:t>TOTALT</w:t>
            </w:r>
          </w:p>
        </w:tc>
      </w:tr>
      <w:tr w:rsidR="00A27CF2" w:rsidRPr="00047543" w14:paraId="55E87799" w14:textId="77777777">
        <w:trPr>
          <w:jc w:val="center"/>
        </w:trPr>
        <w:tc>
          <w:tcPr>
            <w:tcW w:w="1423" w:type="dxa"/>
            <w:vMerge/>
            <w:vAlign w:val="center"/>
          </w:tcPr>
          <w:p w14:paraId="4A795222" w14:textId="77777777" w:rsidR="00A27CF2" w:rsidRPr="00047543" w:rsidRDefault="00A27CF2">
            <w:pPr>
              <w:ind w:right="-29"/>
              <w:jc w:val="center"/>
              <w:rPr>
                <w:noProof/>
                <w:sz w:val="18"/>
                <w:szCs w:val="18"/>
              </w:rPr>
            </w:pPr>
          </w:p>
        </w:tc>
        <w:tc>
          <w:tcPr>
            <w:tcW w:w="12185" w:type="dxa"/>
            <w:gridSpan w:val="19"/>
            <w:vAlign w:val="center"/>
          </w:tcPr>
          <w:p w14:paraId="2B50CD80" w14:textId="77777777" w:rsidR="00A27CF2" w:rsidRPr="00047543" w:rsidRDefault="00A27CF2">
            <w:pPr>
              <w:spacing w:before="60" w:after="60"/>
              <w:ind w:right="-29"/>
              <w:jc w:val="center"/>
              <w:rPr>
                <w:noProof/>
                <w:sz w:val="18"/>
                <w:szCs w:val="18"/>
              </w:rPr>
            </w:pPr>
            <w:r w:rsidRPr="00047543">
              <w:rPr>
                <w:b/>
                <w:noProof/>
                <w:sz w:val="18"/>
              </w:rPr>
              <w:t>OUTPUT</w:t>
            </w:r>
          </w:p>
        </w:tc>
      </w:tr>
      <w:tr w:rsidR="00A27CF2" w:rsidRPr="00047543" w14:paraId="6218B3F5" w14:textId="77777777">
        <w:trPr>
          <w:cantSplit/>
          <w:trHeight w:val="1134"/>
          <w:jc w:val="center"/>
        </w:trPr>
        <w:tc>
          <w:tcPr>
            <w:tcW w:w="1423" w:type="dxa"/>
            <w:vMerge/>
            <w:vAlign w:val="center"/>
          </w:tcPr>
          <w:p w14:paraId="52410917" w14:textId="77777777" w:rsidR="00A27CF2" w:rsidRPr="00047543" w:rsidRDefault="00A27CF2">
            <w:pPr>
              <w:rPr>
                <w:noProof/>
                <w:sz w:val="18"/>
                <w:szCs w:val="18"/>
              </w:rPr>
            </w:pPr>
          </w:p>
        </w:tc>
        <w:tc>
          <w:tcPr>
            <w:tcW w:w="720" w:type="dxa"/>
            <w:vAlign w:val="center"/>
          </w:tcPr>
          <w:p w14:paraId="24068F66" w14:textId="77777777" w:rsidR="00A27CF2" w:rsidRPr="00047543" w:rsidRDefault="00A27CF2">
            <w:pPr>
              <w:jc w:val="center"/>
              <w:rPr>
                <w:noProof/>
                <w:sz w:val="18"/>
                <w:szCs w:val="18"/>
              </w:rPr>
            </w:pPr>
            <w:r w:rsidRPr="00047543">
              <w:rPr>
                <w:noProof/>
                <w:sz w:val="18"/>
              </w:rPr>
              <w:t>Typ</w:t>
            </w:r>
            <w:r w:rsidRPr="00047543">
              <w:rPr>
                <w:rStyle w:val="FootnoteReference"/>
                <w:noProof/>
                <w:sz w:val="18"/>
              </w:rPr>
              <w:footnoteReference w:id="38"/>
            </w:r>
          </w:p>
          <w:p w14:paraId="2AB7FFF1" w14:textId="77777777" w:rsidR="00A27CF2" w:rsidRPr="00047543" w:rsidRDefault="00A27CF2">
            <w:pPr>
              <w:spacing w:before="0" w:after="0"/>
              <w:jc w:val="center"/>
              <w:rPr>
                <w:noProof/>
                <w:sz w:val="18"/>
                <w:szCs w:val="18"/>
              </w:rPr>
            </w:pPr>
          </w:p>
        </w:tc>
        <w:tc>
          <w:tcPr>
            <w:tcW w:w="701" w:type="dxa"/>
            <w:vAlign w:val="center"/>
          </w:tcPr>
          <w:p w14:paraId="6FE289C1" w14:textId="77777777" w:rsidR="00A27CF2" w:rsidRPr="00047543" w:rsidRDefault="00A27CF2">
            <w:pPr>
              <w:jc w:val="center"/>
              <w:rPr>
                <w:noProof/>
                <w:sz w:val="18"/>
                <w:szCs w:val="18"/>
              </w:rPr>
            </w:pPr>
            <w:r w:rsidRPr="00047543">
              <w:rPr>
                <w:noProof/>
                <w:sz w:val="18"/>
              </w:rPr>
              <w:t>Genomsnittliga kostnader</w:t>
            </w:r>
          </w:p>
        </w:tc>
        <w:tc>
          <w:tcPr>
            <w:tcW w:w="504" w:type="dxa"/>
            <w:tcBorders>
              <w:left w:val="nil"/>
              <w:right w:val="dashSmallGap" w:sz="4" w:space="0" w:color="auto"/>
            </w:tcBorders>
            <w:shd w:val="pct10" w:color="auto" w:fill="auto"/>
            <w:textDirection w:val="btLr"/>
            <w:vAlign w:val="center"/>
          </w:tcPr>
          <w:p w14:paraId="60CB9CB5" w14:textId="77777777" w:rsidR="00A27CF2" w:rsidRPr="00047543" w:rsidRDefault="00A27CF2">
            <w:pPr>
              <w:ind w:left="113" w:right="113"/>
              <w:jc w:val="center"/>
              <w:rPr>
                <w:noProof/>
                <w:sz w:val="18"/>
                <w:szCs w:val="18"/>
              </w:rPr>
            </w:pPr>
            <w:r w:rsidRPr="00047543">
              <w:rPr>
                <w:noProof/>
                <w:sz w:val="18"/>
              </w:rPr>
              <w:t>Antal</w:t>
            </w:r>
          </w:p>
        </w:tc>
        <w:tc>
          <w:tcPr>
            <w:tcW w:w="720" w:type="dxa"/>
            <w:tcBorders>
              <w:left w:val="dashSmallGap" w:sz="4" w:space="0" w:color="auto"/>
            </w:tcBorders>
            <w:shd w:val="pct10" w:color="auto" w:fill="auto"/>
            <w:vAlign w:val="center"/>
          </w:tcPr>
          <w:p w14:paraId="7E47C5A9" w14:textId="77777777" w:rsidR="00A27CF2" w:rsidRPr="00047543" w:rsidRDefault="00A27CF2">
            <w:pPr>
              <w:jc w:val="center"/>
              <w:rPr>
                <w:noProof/>
                <w:sz w:val="18"/>
                <w:szCs w:val="18"/>
              </w:rPr>
            </w:pPr>
            <w:r w:rsidRPr="00047543">
              <w:rPr>
                <w:noProof/>
                <w:sz w:val="18"/>
              </w:rPr>
              <w:t>Kostn.</w:t>
            </w:r>
          </w:p>
        </w:tc>
        <w:tc>
          <w:tcPr>
            <w:tcW w:w="540" w:type="dxa"/>
            <w:tcBorders>
              <w:right w:val="dashSmallGap" w:sz="4" w:space="0" w:color="auto"/>
            </w:tcBorders>
            <w:shd w:val="pct10" w:color="auto" w:fill="auto"/>
            <w:textDirection w:val="btLr"/>
            <w:vAlign w:val="center"/>
          </w:tcPr>
          <w:p w14:paraId="2276D28B" w14:textId="77777777" w:rsidR="00A27CF2" w:rsidRPr="00047543" w:rsidRDefault="00A27CF2">
            <w:pPr>
              <w:ind w:left="113" w:right="113"/>
              <w:jc w:val="center"/>
              <w:rPr>
                <w:noProof/>
                <w:sz w:val="18"/>
                <w:szCs w:val="18"/>
              </w:rPr>
            </w:pPr>
            <w:r w:rsidRPr="00047543">
              <w:rPr>
                <w:noProof/>
                <w:sz w:val="18"/>
              </w:rPr>
              <w:t>Antal</w:t>
            </w:r>
          </w:p>
        </w:tc>
        <w:tc>
          <w:tcPr>
            <w:tcW w:w="720" w:type="dxa"/>
            <w:tcBorders>
              <w:left w:val="dashSmallGap" w:sz="4" w:space="0" w:color="auto"/>
            </w:tcBorders>
            <w:shd w:val="pct10" w:color="auto" w:fill="auto"/>
            <w:vAlign w:val="center"/>
          </w:tcPr>
          <w:p w14:paraId="4377D292" w14:textId="77777777" w:rsidR="00A27CF2" w:rsidRPr="00047543" w:rsidRDefault="00A27CF2">
            <w:pPr>
              <w:jc w:val="center"/>
              <w:rPr>
                <w:noProof/>
                <w:sz w:val="18"/>
                <w:szCs w:val="18"/>
              </w:rPr>
            </w:pPr>
            <w:r w:rsidRPr="00047543">
              <w:rPr>
                <w:noProof/>
                <w:sz w:val="18"/>
              </w:rPr>
              <w:t>Kostn.</w:t>
            </w:r>
          </w:p>
        </w:tc>
        <w:tc>
          <w:tcPr>
            <w:tcW w:w="720" w:type="dxa"/>
            <w:tcBorders>
              <w:right w:val="dashSmallGap" w:sz="4" w:space="0" w:color="auto"/>
            </w:tcBorders>
            <w:shd w:val="pct10" w:color="auto" w:fill="auto"/>
            <w:textDirection w:val="btLr"/>
            <w:vAlign w:val="center"/>
          </w:tcPr>
          <w:p w14:paraId="66D60E18" w14:textId="77777777" w:rsidR="00A27CF2" w:rsidRPr="00047543" w:rsidRDefault="00A27CF2">
            <w:pPr>
              <w:ind w:left="113" w:right="113"/>
              <w:jc w:val="center"/>
              <w:rPr>
                <w:noProof/>
                <w:sz w:val="18"/>
                <w:szCs w:val="18"/>
              </w:rPr>
            </w:pPr>
            <w:r w:rsidRPr="00047543">
              <w:rPr>
                <w:noProof/>
                <w:sz w:val="18"/>
              </w:rPr>
              <w:t>Antal</w:t>
            </w:r>
          </w:p>
        </w:tc>
        <w:tc>
          <w:tcPr>
            <w:tcW w:w="720" w:type="dxa"/>
            <w:tcBorders>
              <w:left w:val="dashSmallGap" w:sz="4" w:space="0" w:color="auto"/>
            </w:tcBorders>
            <w:shd w:val="pct10" w:color="auto" w:fill="auto"/>
            <w:vAlign w:val="center"/>
          </w:tcPr>
          <w:p w14:paraId="3CE78D81" w14:textId="77777777" w:rsidR="00A27CF2" w:rsidRPr="00047543" w:rsidRDefault="00A27CF2">
            <w:pPr>
              <w:jc w:val="center"/>
              <w:rPr>
                <w:noProof/>
                <w:sz w:val="18"/>
                <w:szCs w:val="18"/>
              </w:rPr>
            </w:pPr>
            <w:r w:rsidRPr="00047543">
              <w:rPr>
                <w:noProof/>
                <w:sz w:val="18"/>
              </w:rPr>
              <w:t>Kostn.</w:t>
            </w:r>
          </w:p>
        </w:tc>
        <w:tc>
          <w:tcPr>
            <w:tcW w:w="900" w:type="dxa"/>
            <w:tcBorders>
              <w:right w:val="dashSmallGap" w:sz="4" w:space="0" w:color="auto"/>
            </w:tcBorders>
            <w:shd w:val="pct10" w:color="auto" w:fill="auto"/>
            <w:textDirection w:val="btLr"/>
            <w:vAlign w:val="center"/>
          </w:tcPr>
          <w:p w14:paraId="1A2C5F17" w14:textId="77777777" w:rsidR="00A27CF2" w:rsidRPr="00047543" w:rsidRDefault="00A27CF2">
            <w:pPr>
              <w:ind w:left="113" w:right="113"/>
              <w:jc w:val="center"/>
              <w:rPr>
                <w:noProof/>
                <w:sz w:val="18"/>
                <w:szCs w:val="18"/>
              </w:rPr>
            </w:pPr>
            <w:r w:rsidRPr="00047543">
              <w:rPr>
                <w:noProof/>
                <w:sz w:val="18"/>
              </w:rPr>
              <w:t>Antal</w:t>
            </w:r>
          </w:p>
        </w:tc>
        <w:tc>
          <w:tcPr>
            <w:tcW w:w="720" w:type="dxa"/>
            <w:gridSpan w:val="2"/>
            <w:tcBorders>
              <w:left w:val="dashSmallGap" w:sz="4" w:space="0" w:color="auto"/>
            </w:tcBorders>
            <w:shd w:val="pct10" w:color="auto" w:fill="auto"/>
            <w:vAlign w:val="center"/>
          </w:tcPr>
          <w:p w14:paraId="3348A4F0" w14:textId="77777777" w:rsidR="00A27CF2" w:rsidRPr="00047543" w:rsidRDefault="00A27CF2">
            <w:pPr>
              <w:jc w:val="center"/>
              <w:rPr>
                <w:noProof/>
                <w:sz w:val="18"/>
                <w:szCs w:val="18"/>
              </w:rPr>
            </w:pPr>
            <w:r w:rsidRPr="00047543">
              <w:rPr>
                <w:noProof/>
                <w:sz w:val="18"/>
              </w:rPr>
              <w:t>Kostn.</w:t>
            </w:r>
          </w:p>
        </w:tc>
        <w:tc>
          <w:tcPr>
            <w:tcW w:w="540" w:type="dxa"/>
            <w:tcBorders>
              <w:right w:val="dashSmallGap" w:sz="4" w:space="0" w:color="auto"/>
            </w:tcBorders>
            <w:shd w:val="pct10" w:color="auto" w:fill="auto"/>
            <w:textDirection w:val="btLr"/>
            <w:vAlign w:val="center"/>
          </w:tcPr>
          <w:p w14:paraId="04EC4BC8" w14:textId="77777777" w:rsidR="00A27CF2" w:rsidRPr="00047543" w:rsidRDefault="00A27CF2">
            <w:pPr>
              <w:ind w:left="113" w:right="113"/>
              <w:jc w:val="center"/>
              <w:rPr>
                <w:noProof/>
                <w:sz w:val="18"/>
                <w:szCs w:val="18"/>
              </w:rPr>
            </w:pPr>
            <w:r w:rsidRPr="00047543">
              <w:rPr>
                <w:noProof/>
                <w:sz w:val="18"/>
              </w:rPr>
              <w:t>Antal</w:t>
            </w:r>
          </w:p>
        </w:tc>
        <w:tc>
          <w:tcPr>
            <w:tcW w:w="648" w:type="dxa"/>
            <w:tcBorders>
              <w:left w:val="dashSmallGap" w:sz="4" w:space="0" w:color="auto"/>
            </w:tcBorders>
            <w:shd w:val="pct10" w:color="auto" w:fill="auto"/>
            <w:vAlign w:val="center"/>
          </w:tcPr>
          <w:p w14:paraId="7823DACB" w14:textId="77777777" w:rsidR="00A27CF2" w:rsidRPr="00047543" w:rsidRDefault="00A27CF2">
            <w:pPr>
              <w:jc w:val="center"/>
              <w:rPr>
                <w:noProof/>
                <w:sz w:val="18"/>
                <w:szCs w:val="18"/>
              </w:rPr>
            </w:pPr>
            <w:r w:rsidRPr="00047543">
              <w:rPr>
                <w:noProof/>
                <w:sz w:val="18"/>
              </w:rPr>
              <w:t>Kostn.</w:t>
            </w:r>
          </w:p>
        </w:tc>
        <w:tc>
          <w:tcPr>
            <w:tcW w:w="432" w:type="dxa"/>
            <w:tcBorders>
              <w:right w:val="dashSmallGap" w:sz="4" w:space="0" w:color="auto"/>
            </w:tcBorders>
            <w:shd w:val="pct10" w:color="auto" w:fill="auto"/>
            <w:textDirection w:val="btLr"/>
            <w:vAlign w:val="center"/>
          </w:tcPr>
          <w:p w14:paraId="128DA538" w14:textId="77777777" w:rsidR="00A27CF2" w:rsidRPr="00047543" w:rsidRDefault="00A27CF2">
            <w:pPr>
              <w:ind w:left="113" w:right="113"/>
              <w:jc w:val="center"/>
              <w:rPr>
                <w:noProof/>
                <w:sz w:val="18"/>
                <w:szCs w:val="18"/>
              </w:rPr>
            </w:pPr>
            <w:r w:rsidRPr="00047543">
              <w:rPr>
                <w:noProof/>
                <w:sz w:val="18"/>
              </w:rPr>
              <w:t>Antal</w:t>
            </w:r>
          </w:p>
        </w:tc>
        <w:tc>
          <w:tcPr>
            <w:tcW w:w="720" w:type="dxa"/>
            <w:tcBorders>
              <w:left w:val="dashSmallGap" w:sz="4" w:space="0" w:color="auto"/>
            </w:tcBorders>
            <w:shd w:val="pct10" w:color="auto" w:fill="auto"/>
            <w:vAlign w:val="center"/>
          </w:tcPr>
          <w:p w14:paraId="5F081867" w14:textId="77777777" w:rsidR="00A27CF2" w:rsidRPr="00047543" w:rsidRDefault="00A27CF2">
            <w:pPr>
              <w:jc w:val="center"/>
              <w:rPr>
                <w:noProof/>
                <w:sz w:val="18"/>
                <w:szCs w:val="18"/>
              </w:rPr>
            </w:pPr>
            <w:r w:rsidRPr="00047543">
              <w:rPr>
                <w:noProof/>
                <w:sz w:val="18"/>
              </w:rPr>
              <w:t>Kostn.</w:t>
            </w:r>
          </w:p>
        </w:tc>
        <w:tc>
          <w:tcPr>
            <w:tcW w:w="540" w:type="dxa"/>
            <w:tcBorders>
              <w:right w:val="dashSmallGap" w:sz="4" w:space="0" w:color="auto"/>
            </w:tcBorders>
            <w:shd w:val="pct10" w:color="auto" w:fill="auto"/>
            <w:textDirection w:val="btLr"/>
            <w:vAlign w:val="center"/>
          </w:tcPr>
          <w:p w14:paraId="549D170F" w14:textId="77777777" w:rsidR="00A27CF2" w:rsidRPr="00047543" w:rsidRDefault="00A27CF2">
            <w:pPr>
              <w:ind w:left="113" w:right="113"/>
              <w:jc w:val="center"/>
              <w:rPr>
                <w:noProof/>
                <w:sz w:val="18"/>
                <w:szCs w:val="18"/>
              </w:rPr>
            </w:pPr>
            <w:r w:rsidRPr="00047543">
              <w:rPr>
                <w:noProof/>
                <w:sz w:val="18"/>
              </w:rPr>
              <w:t>Antal</w:t>
            </w:r>
          </w:p>
        </w:tc>
        <w:tc>
          <w:tcPr>
            <w:tcW w:w="720" w:type="dxa"/>
            <w:tcBorders>
              <w:left w:val="dashSmallGap" w:sz="4" w:space="0" w:color="auto"/>
            </w:tcBorders>
            <w:shd w:val="pct10" w:color="auto" w:fill="auto"/>
            <w:vAlign w:val="center"/>
          </w:tcPr>
          <w:p w14:paraId="298A8D04" w14:textId="77777777" w:rsidR="00A27CF2" w:rsidRPr="00047543" w:rsidRDefault="00A27CF2">
            <w:pPr>
              <w:jc w:val="center"/>
              <w:rPr>
                <w:noProof/>
                <w:sz w:val="18"/>
                <w:szCs w:val="18"/>
              </w:rPr>
            </w:pPr>
            <w:r w:rsidRPr="00047543">
              <w:rPr>
                <w:noProof/>
                <w:sz w:val="18"/>
              </w:rPr>
              <w:t>Kostn.</w:t>
            </w:r>
          </w:p>
        </w:tc>
        <w:tc>
          <w:tcPr>
            <w:tcW w:w="720" w:type="dxa"/>
            <w:tcBorders>
              <w:right w:val="dashSmallGap" w:sz="4" w:space="0" w:color="auto"/>
            </w:tcBorders>
            <w:shd w:val="pct10" w:color="auto" w:fill="auto"/>
            <w:vAlign w:val="center"/>
          </w:tcPr>
          <w:p w14:paraId="4350A1E1" w14:textId="77777777" w:rsidR="00A27CF2" w:rsidRPr="00047543" w:rsidRDefault="00A27CF2">
            <w:pPr>
              <w:jc w:val="center"/>
              <w:rPr>
                <w:noProof/>
                <w:sz w:val="18"/>
                <w:szCs w:val="18"/>
              </w:rPr>
            </w:pPr>
            <w:r w:rsidRPr="00047543">
              <w:rPr>
                <w:noProof/>
                <w:sz w:val="18"/>
              </w:rPr>
              <w:t>Totalt antal</w:t>
            </w:r>
          </w:p>
        </w:tc>
        <w:tc>
          <w:tcPr>
            <w:tcW w:w="900" w:type="dxa"/>
            <w:tcBorders>
              <w:left w:val="dashSmallGap" w:sz="4" w:space="0" w:color="auto"/>
            </w:tcBorders>
            <w:shd w:val="pct10" w:color="auto" w:fill="auto"/>
            <w:vAlign w:val="center"/>
          </w:tcPr>
          <w:p w14:paraId="075EFCE6" w14:textId="77777777" w:rsidR="00A27CF2" w:rsidRPr="00047543" w:rsidRDefault="00A27CF2">
            <w:pPr>
              <w:jc w:val="center"/>
              <w:rPr>
                <w:noProof/>
                <w:sz w:val="18"/>
                <w:szCs w:val="18"/>
              </w:rPr>
            </w:pPr>
            <w:r w:rsidRPr="00047543">
              <w:rPr>
                <w:noProof/>
                <w:sz w:val="18"/>
              </w:rPr>
              <w:t>Total kostnad</w:t>
            </w:r>
          </w:p>
        </w:tc>
      </w:tr>
      <w:tr w:rsidR="00A27CF2" w:rsidRPr="00047543" w14:paraId="45F6BFF7" w14:textId="77777777">
        <w:trPr>
          <w:jc w:val="center"/>
        </w:trPr>
        <w:tc>
          <w:tcPr>
            <w:tcW w:w="2844" w:type="dxa"/>
            <w:gridSpan w:val="3"/>
            <w:vAlign w:val="center"/>
          </w:tcPr>
          <w:p w14:paraId="68BCA4E1" w14:textId="77777777" w:rsidR="00A27CF2" w:rsidRPr="00047543" w:rsidRDefault="00A27CF2">
            <w:pPr>
              <w:spacing w:before="60" w:after="60"/>
              <w:ind w:right="-29"/>
              <w:jc w:val="center"/>
              <w:rPr>
                <w:noProof/>
                <w:sz w:val="18"/>
                <w:szCs w:val="18"/>
              </w:rPr>
            </w:pPr>
            <w:r w:rsidRPr="00047543">
              <w:rPr>
                <w:noProof/>
                <w:sz w:val="18"/>
              </w:rPr>
              <w:t>SPECIFIKT MÅL nr 1</w:t>
            </w:r>
            <w:r w:rsidRPr="00047543">
              <w:rPr>
                <w:rStyle w:val="FootnoteReference"/>
                <w:noProof/>
                <w:sz w:val="18"/>
              </w:rPr>
              <w:footnoteReference w:id="39"/>
            </w:r>
            <w:r w:rsidRPr="00047543">
              <w:rPr>
                <w:noProof/>
                <w:sz w:val="18"/>
              </w:rPr>
              <w:t>…</w:t>
            </w:r>
          </w:p>
        </w:tc>
        <w:tc>
          <w:tcPr>
            <w:tcW w:w="504" w:type="dxa"/>
            <w:tcBorders>
              <w:top w:val="nil"/>
              <w:left w:val="nil"/>
              <w:bottom w:val="nil"/>
              <w:right w:val="nil"/>
            </w:tcBorders>
          </w:tcPr>
          <w:p w14:paraId="280E34A4"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44063671" w14:textId="77777777" w:rsidR="00A27CF2" w:rsidRPr="00047543" w:rsidRDefault="00A27CF2">
            <w:pPr>
              <w:spacing w:before="60" w:after="60"/>
              <w:ind w:right="-29"/>
              <w:jc w:val="center"/>
              <w:rPr>
                <w:noProof/>
                <w:sz w:val="18"/>
                <w:szCs w:val="18"/>
              </w:rPr>
            </w:pPr>
          </w:p>
        </w:tc>
        <w:tc>
          <w:tcPr>
            <w:tcW w:w="540" w:type="dxa"/>
            <w:tcBorders>
              <w:top w:val="nil"/>
              <w:left w:val="nil"/>
              <w:bottom w:val="nil"/>
              <w:right w:val="nil"/>
            </w:tcBorders>
          </w:tcPr>
          <w:p w14:paraId="3D63761A"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2BB69040"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15C8A1B2"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4CEFF737" w14:textId="77777777" w:rsidR="00A27CF2" w:rsidRPr="00047543" w:rsidRDefault="00A27CF2">
            <w:pPr>
              <w:spacing w:before="60" w:after="60"/>
              <w:ind w:right="-29"/>
              <w:jc w:val="center"/>
              <w:rPr>
                <w:noProof/>
                <w:sz w:val="18"/>
                <w:szCs w:val="18"/>
              </w:rPr>
            </w:pPr>
          </w:p>
        </w:tc>
        <w:tc>
          <w:tcPr>
            <w:tcW w:w="900" w:type="dxa"/>
            <w:tcBorders>
              <w:top w:val="nil"/>
              <w:left w:val="nil"/>
              <w:bottom w:val="nil"/>
              <w:right w:val="nil"/>
            </w:tcBorders>
          </w:tcPr>
          <w:p w14:paraId="2CEBD2BF" w14:textId="77777777" w:rsidR="00A27CF2" w:rsidRPr="00047543" w:rsidRDefault="00A27CF2">
            <w:pPr>
              <w:spacing w:before="60" w:after="60"/>
              <w:ind w:right="-29"/>
              <w:jc w:val="center"/>
              <w:rPr>
                <w:noProof/>
                <w:sz w:val="18"/>
                <w:szCs w:val="18"/>
              </w:rPr>
            </w:pPr>
          </w:p>
        </w:tc>
        <w:tc>
          <w:tcPr>
            <w:tcW w:w="720" w:type="dxa"/>
            <w:gridSpan w:val="2"/>
            <w:tcBorders>
              <w:top w:val="nil"/>
              <w:left w:val="nil"/>
              <w:bottom w:val="nil"/>
              <w:right w:val="nil"/>
            </w:tcBorders>
          </w:tcPr>
          <w:p w14:paraId="6E00B416" w14:textId="77777777" w:rsidR="00A27CF2" w:rsidRPr="00047543" w:rsidRDefault="00A27CF2">
            <w:pPr>
              <w:spacing w:before="60" w:after="60"/>
              <w:ind w:right="-29"/>
              <w:jc w:val="center"/>
              <w:rPr>
                <w:noProof/>
                <w:sz w:val="18"/>
                <w:szCs w:val="18"/>
              </w:rPr>
            </w:pPr>
          </w:p>
        </w:tc>
        <w:tc>
          <w:tcPr>
            <w:tcW w:w="540" w:type="dxa"/>
            <w:tcBorders>
              <w:top w:val="nil"/>
              <w:left w:val="nil"/>
              <w:bottom w:val="nil"/>
              <w:right w:val="nil"/>
            </w:tcBorders>
          </w:tcPr>
          <w:p w14:paraId="2C09B3DE" w14:textId="77777777" w:rsidR="00A27CF2" w:rsidRPr="00047543" w:rsidRDefault="00A27CF2">
            <w:pPr>
              <w:spacing w:before="60" w:after="60"/>
              <w:ind w:right="-29"/>
              <w:jc w:val="center"/>
              <w:rPr>
                <w:noProof/>
                <w:sz w:val="18"/>
                <w:szCs w:val="18"/>
              </w:rPr>
            </w:pPr>
          </w:p>
        </w:tc>
        <w:tc>
          <w:tcPr>
            <w:tcW w:w="648" w:type="dxa"/>
            <w:tcBorders>
              <w:top w:val="nil"/>
              <w:left w:val="nil"/>
              <w:bottom w:val="nil"/>
              <w:right w:val="nil"/>
            </w:tcBorders>
          </w:tcPr>
          <w:p w14:paraId="0B461981" w14:textId="77777777" w:rsidR="00A27CF2" w:rsidRPr="00047543" w:rsidRDefault="00A27CF2">
            <w:pPr>
              <w:spacing w:before="60" w:after="60"/>
              <w:ind w:right="-29"/>
              <w:jc w:val="center"/>
              <w:rPr>
                <w:noProof/>
                <w:sz w:val="18"/>
                <w:szCs w:val="18"/>
              </w:rPr>
            </w:pPr>
          </w:p>
        </w:tc>
        <w:tc>
          <w:tcPr>
            <w:tcW w:w="432" w:type="dxa"/>
            <w:tcBorders>
              <w:top w:val="nil"/>
              <w:left w:val="nil"/>
              <w:bottom w:val="nil"/>
              <w:right w:val="nil"/>
            </w:tcBorders>
          </w:tcPr>
          <w:p w14:paraId="1B4D12C7"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76D61682" w14:textId="77777777" w:rsidR="00A27CF2" w:rsidRPr="00047543" w:rsidRDefault="00A27CF2">
            <w:pPr>
              <w:spacing w:before="60" w:after="60"/>
              <w:ind w:right="-29"/>
              <w:jc w:val="center"/>
              <w:rPr>
                <w:noProof/>
                <w:sz w:val="18"/>
                <w:szCs w:val="18"/>
              </w:rPr>
            </w:pPr>
          </w:p>
        </w:tc>
        <w:tc>
          <w:tcPr>
            <w:tcW w:w="540" w:type="dxa"/>
            <w:tcBorders>
              <w:top w:val="nil"/>
              <w:left w:val="nil"/>
              <w:bottom w:val="nil"/>
              <w:right w:val="nil"/>
            </w:tcBorders>
          </w:tcPr>
          <w:p w14:paraId="0E2A7E9A"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0F4799B6"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48E0A4B2" w14:textId="77777777" w:rsidR="00A27CF2" w:rsidRPr="00047543" w:rsidRDefault="00A27CF2">
            <w:pPr>
              <w:spacing w:before="60" w:after="60"/>
              <w:ind w:right="-29"/>
              <w:jc w:val="center"/>
              <w:rPr>
                <w:noProof/>
                <w:sz w:val="18"/>
                <w:szCs w:val="18"/>
              </w:rPr>
            </w:pPr>
          </w:p>
        </w:tc>
        <w:tc>
          <w:tcPr>
            <w:tcW w:w="900" w:type="dxa"/>
            <w:tcBorders>
              <w:top w:val="nil"/>
              <w:left w:val="nil"/>
              <w:bottom w:val="nil"/>
              <w:right w:val="nil"/>
            </w:tcBorders>
          </w:tcPr>
          <w:p w14:paraId="6D1B28BD" w14:textId="77777777" w:rsidR="00A27CF2" w:rsidRPr="00047543" w:rsidRDefault="00A27CF2">
            <w:pPr>
              <w:spacing w:before="60" w:after="60"/>
              <w:ind w:right="-29"/>
              <w:jc w:val="center"/>
              <w:rPr>
                <w:noProof/>
                <w:sz w:val="18"/>
                <w:szCs w:val="18"/>
              </w:rPr>
            </w:pPr>
          </w:p>
        </w:tc>
      </w:tr>
      <w:tr w:rsidR="00A27CF2" w:rsidRPr="00047543" w14:paraId="2A812F27" w14:textId="77777777">
        <w:trPr>
          <w:trHeight w:hRule="exact" w:val="369"/>
          <w:jc w:val="center"/>
        </w:trPr>
        <w:tc>
          <w:tcPr>
            <w:tcW w:w="1423" w:type="dxa"/>
          </w:tcPr>
          <w:p w14:paraId="262F3063" w14:textId="77777777" w:rsidR="00A27CF2" w:rsidRPr="00047543" w:rsidRDefault="00A27CF2">
            <w:pPr>
              <w:ind w:right="-29"/>
              <w:jc w:val="center"/>
              <w:rPr>
                <w:noProof/>
                <w:sz w:val="18"/>
                <w:szCs w:val="18"/>
              </w:rPr>
            </w:pPr>
            <w:r w:rsidRPr="00047543">
              <w:rPr>
                <w:noProof/>
                <w:sz w:val="18"/>
              </w:rPr>
              <w:t>- Output</w:t>
            </w:r>
          </w:p>
        </w:tc>
        <w:tc>
          <w:tcPr>
            <w:tcW w:w="720" w:type="dxa"/>
          </w:tcPr>
          <w:p w14:paraId="7B600EA4" w14:textId="77777777" w:rsidR="00A27CF2" w:rsidRPr="00047543" w:rsidRDefault="00A27CF2">
            <w:pPr>
              <w:ind w:right="-29"/>
              <w:jc w:val="center"/>
              <w:rPr>
                <w:noProof/>
                <w:sz w:val="18"/>
                <w:szCs w:val="18"/>
              </w:rPr>
            </w:pPr>
          </w:p>
        </w:tc>
        <w:tc>
          <w:tcPr>
            <w:tcW w:w="701" w:type="dxa"/>
          </w:tcPr>
          <w:p w14:paraId="2F1EB120" w14:textId="77777777" w:rsidR="00A27CF2" w:rsidRPr="00047543" w:rsidRDefault="00A27CF2">
            <w:pPr>
              <w:ind w:right="-29"/>
              <w:jc w:val="center"/>
              <w:rPr>
                <w:noProof/>
                <w:sz w:val="18"/>
                <w:szCs w:val="18"/>
              </w:rPr>
            </w:pPr>
          </w:p>
        </w:tc>
        <w:tc>
          <w:tcPr>
            <w:tcW w:w="504" w:type="dxa"/>
            <w:tcBorders>
              <w:right w:val="dashSmallGap" w:sz="4" w:space="0" w:color="auto"/>
            </w:tcBorders>
          </w:tcPr>
          <w:p w14:paraId="477DE2BB" w14:textId="77777777" w:rsidR="00A27CF2" w:rsidRPr="00047543" w:rsidRDefault="00A27CF2">
            <w:pPr>
              <w:ind w:right="-29"/>
              <w:jc w:val="center"/>
              <w:rPr>
                <w:noProof/>
                <w:sz w:val="18"/>
                <w:szCs w:val="18"/>
              </w:rPr>
            </w:pPr>
          </w:p>
        </w:tc>
        <w:tc>
          <w:tcPr>
            <w:tcW w:w="720" w:type="dxa"/>
            <w:tcBorders>
              <w:left w:val="dashSmallGap" w:sz="4" w:space="0" w:color="auto"/>
            </w:tcBorders>
          </w:tcPr>
          <w:p w14:paraId="436FEC10" w14:textId="77777777" w:rsidR="00A27CF2" w:rsidRPr="00047543" w:rsidRDefault="00A27CF2">
            <w:pPr>
              <w:ind w:right="-29"/>
              <w:jc w:val="center"/>
              <w:rPr>
                <w:noProof/>
                <w:sz w:val="18"/>
                <w:szCs w:val="18"/>
              </w:rPr>
            </w:pPr>
          </w:p>
        </w:tc>
        <w:tc>
          <w:tcPr>
            <w:tcW w:w="540" w:type="dxa"/>
            <w:tcBorders>
              <w:right w:val="dashSmallGap" w:sz="4" w:space="0" w:color="auto"/>
            </w:tcBorders>
          </w:tcPr>
          <w:p w14:paraId="37BFEA45" w14:textId="77777777" w:rsidR="00A27CF2" w:rsidRPr="00047543" w:rsidRDefault="00A27CF2">
            <w:pPr>
              <w:ind w:right="-29"/>
              <w:jc w:val="center"/>
              <w:rPr>
                <w:noProof/>
                <w:sz w:val="18"/>
                <w:szCs w:val="18"/>
              </w:rPr>
            </w:pPr>
          </w:p>
        </w:tc>
        <w:tc>
          <w:tcPr>
            <w:tcW w:w="720" w:type="dxa"/>
            <w:tcBorders>
              <w:left w:val="dashSmallGap" w:sz="4" w:space="0" w:color="auto"/>
            </w:tcBorders>
          </w:tcPr>
          <w:p w14:paraId="588B2558" w14:textId="77777777" w:rsidR="00A27CF2" w:rsidRPr="00047543" w:rsidRDefault="00A27CF2">
            <w:pPr>
              <w:ind w:right="-29"/>
              <w:jc w:val="center"/>
              <w:rPr>
                <w:noProof/>
                <w:sz w:val="18"/>
                <w:szCs w:val="18"/>
              </w:rPr>
            </w:pPr>
          </w:p>
        </w:tc>
        <w:tc>
          <w:tcPr>
            <w:tcW w:w="720" w:type="dxa"/>
            <w:tcBorders>
              <w:right w:val="dashSmallGap" w:sz="4" w:space="0" w:color="auto"/>
            </w:tcBorders>
          </w:tcPr>
          <w:p w14:paraId="6D24775C" w14:textId="77777777" w:rsidR="00A27CF2" w:rsidRPr="00047543" w:rsidRDefault="00A27CF2">
            <w:pPr>
              <w:ind w:right="-29"/>
              <w:jc w:val="center"/>
              <w:rPr>
                <w:noProof/>
                <w:sz w:val="18"/>
                <w:szCs w:val="18"/>
              </w:rPr>
            </w:pPr>
          </w:p>
        </w:tc>
        <w:tc>
          <w:tcPr>
            <w:tcW w:w="720" w:type="dxa"/>
            <w:tcBorders>
              <w:left w:val="dashSmallGap" w:sz="4" w:space="0" w:color="auto"/>
            </w:tcBorders>
          </w:tcPr>
          <w:p w14:paraId="2B03EED2" w14:textId="77777777" w:rsidR="00A27CF2" w:rsidRPr="00047543" w:rsidRDefault="00A27CF2">
            <w:pPr>
              <w:ind w:right="-29"/>
              <w:jc w:val="center"/>
              <w:rPr>
                <w:noProof/>
                <w:sz w:val="18"/>
                <w:szCs w:val="18"/>
              </w:rPr>
            </w:pPr>
          </w:p>
        </w:tc>
        <w:tc>
          <w:tcPr>
            <w:tcW w:w="900" w:type="dxa"/>
            <w:tcBorders>
              <w:right w:val="dashSmallGap" w:sz="4" w:space="0" w:color="auto"/>
            </w:tcBorders>
          </w:tcPr>
          <w:p w14:paraId="50EDC56E" w14:textId="77777777" w:rsidR="00A27CF2" w:rsidRPr="00047543" w:rsidRDefault="00A27CF2">
            <w:pPr>
              <w:ind w:right="-29"/>
              <w:jc w:val="center"/>
              <w:rPr>
                <w:noProof/>
                <w:sz w:val="18"/>
                <w:szCs w:val="18"/>
              </w:rPr>
            </w:pPr>
          </w:p>
        </w:tc>
        <w:tc>
          <w:tcPr>
            <w:tcW w:w="720" w:type="dxa"/>
            <w:gridSpan w:val="2"/>
            <w:tcBorders>
              <w:left w:val="dashSmallGap" w:sz="4" w:space="0" w:color="auto"/>
            </w:tcBorders>
          </w:tcPr>
          <w:p w14:paraId="4CBBF051" w14:textId="77777777" w:rsidR="00A27CF2" w:rsidRPr="00047543" w:rsidRDefault="00A27CF2">
            <w:pPr>
              <w:ind w:right="-29"/>
              <w:jc w:val="center"/>
              <w:rPr>
                <w:noProof/>
                <w:sz w:val="18"/>
                <w:szCs w:val="18"/>
              </w:rPr>
            </w:pPr>
          </w:p>
        </w:tc>
        <w:tc>
          <w:tcPr>
            <w:tcW w:w="540" w:type="dxa"/>
            <w:tcBorders>
              <w:right w:val="dashSmallGap" w:sz="4" w:space="0" w:color="auto"/>
            </w:tcBorders>
          </w:tcPr>
          <w:p w14:paraId="60FF27B8" w14:textId="77777777" w:rsidR="00A27CF2" w:rsidRPr="00047543" w:rsidRDefault="00A27CF2">
            <w:pPr>
              <w:ind w:right="-29"/>
              <w:jc w:val="center"/>
              <w:rPr>
                <w:noProof/>
                <w:sz w:val="18"/>
                <w:szCs w:val="18"/>
              </w:rPr>
            </w:pPr>
          </w:p>
        </w:tc>
        <w:tc>
          <w:tcPr>
            <w:tcW w:w="648" w:type="dxa"/>
            <w:tcBorders>
              <w:left w:val="dashSmallGap" w:sz="4" w:space="0" w:color="auto"/>
            </w:tcBorders>
          </w:tcPr>
          <w:p w14:paraId="37A3A4F2" w14:textId="77777777" w:rsidR="00A27CF2" w:rsidRPr="00047543" w:rsidRDefault="00A27CF2">
            <w:pPr>
              <w:ind w:right="-29"/>
              <w:jc w:val="center"/>
              <w:rPr>
                <w:noProof/>
                <w:sz w:val="18"/>
                <w:szCs w:val="18"/>
              </w:rPr>
            </w:pPr>
          </w:p>
        </w:tc>
        <w:tc>
          <w:tcPr>
            <w:tcW w:w="432" w:type="dxa"/>
            <w:tcBorders>
              <w:right w:val="dashSmallGap" w:sz="4" w:space="0" w:color="auto"/>
            </w:tcBorders>
          </w:tcPr>
          <w:p w14:paraId="1BFBAF5C" w14:textId="77777777" w:rsidR="00A27CF2" w:rsidRPr="00047543" w:rsidRDefault="00A27CF2">
            <w:pPr>
              <w:ind w:right="-29"/>
              <w:jc w:val="center"/>
              <w:rPr>
                <w:noProof/>
                <w:sz w:val="18"/>
                <w:szCs w:val="18"/>
              </w:rPr>
            </w:pPr>
          </w:p>
        </w:tc>
        <w:tc>
          <w:tcPr>
            <w:tcW w:w="720" w:type="dxa"/>
            <w:tcBorders>
              <w:left w:val="dashSmallGap" w:sz="4" w:space="0" w:color="auto"/>
            </w:tcBorders>
          </w:tcPr>
          <w:p w14:paraId="21830EED" w14:textId="77777777" w:rsidR="00A27CF2" w:rsidRPr="00047543" w:rsidRDefault="00A27CF2">
            <w:pPr>
              <w:ind w:right="-29"/>
              <w:jc w:val="center"/>
              <w:rPr>
                <w:noProof/>
                <w:sz w:val="18"/>
                <w:szCs w:val="18"/>
              </w:rPr>
            </w:pPr>
          </w:p>
        </w:tc>
        <w:tc>
          <w:tcPr>
            <w:tcW w:w="540" w:type="dxa"/>
            <w:tcBorders>
              <w:right w:val="dashSmallGap" w:sz="4" w:space="0" w:color="auto"/>
            </w:tcBorders>
          </w:tcPr>
          <w:p w14:paraId="3BE05DE9" w14:textId="77777777" w:rsidR="00A27CF2" w:rsidRPr="00047543" w:rsidRDefault="00A27CF2">
            <w:pPr>
              <w:ind w:right="-29"/>
              <w:jc w:val="center"/>
              <w:rPr>
                <w:noProof/>
                <w:sz w:val="18"/>
                <w:szCs w:val="18"/>
              </w:rPr>
            </w:pPr>
          </w:p>
        </w:tc>
        <w:tc>
          <w:tcPr>
            <w:tcW w:w="720" w:type="dxa"/>
            <w:tcBorders>
              <w:left w:val="dashSmallGap" w:sz="4" w:space="0" w:color="auto"/>
            </w:tcBorders>
          </w:tcPr>
          <w:p w14:paraId="297F75E2" w14:textId="77777777" w:rsidR="00A27CF2" w:rsidRPr="00047543" w:rsidRDefault="00A27CF2">
            <w:pPr>
              <w:ind w:right="-29"/>
              <w:jc w:val="center"/>
              <w:rPr>
                <w:noProof/>
                <w:sz w:val="18"/>
                <w:szCs w:val="18"/>
              </w:rPr>
            </w:pPr>
          </w:p>
        </w:tc>
        <w:tc>
          <w:tcPr>
            <w:tcW w:w="720" w:type="dxa"/>
          </w:tcPr>
          <w:p w14:paraId="19DA2876" w14:textId="77777777" w:rsidR="00A27CF2" w:rsidRPr="00047543" w:rsidRDefault="00A27CF2">
            <w:pPr>
              <w:ind w:right="-29"/>
              <w:jc w:val="center"/>
              <w:rPr>
                <w:noProof/>
                <w:sz w:val="18"/>
                <w:szCs w:val="18"/>
              </w:rPr>
            </w:pPr>
          </w:p>
        </w:tc>
        <w:tc>
          <w:tcPr>
            <w:tcW w:w="900" w:type="dxa"/>
          </w:tcPr>
          <w:p w14:paraId="614EE3AC" w14:textId="77777777" w:rsidR="00A27CF2" w:rsidRPr="00047543" w:rsidRDefault="00A27CF2">
            <w:pPr>
              <w:ind w:right="-29"/>
              <w:jc w:val="center"/>
              <w:rPr>
                <w:noProof/>
                <w:sz w:val="18"/>
                <w:szCs w:val="18"/>
              </w:rPr>
            </w:pPr>
          </w:p>
        </w:tc>
      </w:tr>
      <w:tr w:rsidR="00A27CF2" w:rsidRPr="00047543" w14:paraId="656CFA83" w14:textId="77777777">
        <w:trPr>
          <w:trHeight w:hRule="exact" w:val="369"/>
          <w:jc w:val="center"/>
        </w:trPr>
        <w:tc>
          <w:tcPr>
            <w:tcW w:w="1423" w:type="dxa"/>
          </w:tcPr>
          <w:p w14:paraId="38FAB3B3" w14:textId="77777777" w:rsidR="00A27CF2" w:rsidRPr="00047543" w:rsidRDefault="00A27CF2">
            <w:pPr>
              <w:ind w:right="-29"/>
              <w:jc w:val="center"/>
              <w:rPr>
                <w:noProof/>
                <w:sz w:val="18"/>
                <w:szCs w:val="18"/>
              </w:rPr>
            </w:pPr>
            <w:r w:rsidRPr="00047543">
              <w:rPr>
                <w:noProof/>
                <w:sz w:val="18"/>
              </w:rPr>
              <w:t>- Output</w:t>
            </w:r>
          </w:p>
        </w:tc>
        <w:tc>
          <w:tcPr>
            <w:tcW w:w="720" w:type="dxa"/>
          </w:tcPr>
          <w:p w14:paraId="04CCAD47" w14:textId="77777777" w:rsidR="00A27CF2" w:rsidRPr="00047543" w:rsidRDefault="00A27CF2">
            <w:pPr>
              <w:ind w:right="-29"/>
              <w:jc w:val="center"/>
              <w:rPr>
                <w:noProof/>
                <w:sz w:val="18"/>
                <w:szCs w:val="18"/>
              </w:rPr>
            </w:pPr>
          </w:p>
        </w:tc>
        <w:tc>
          <w:tcPr>
            <w:tcW w:w="701" w:type="dxa"/>
          </w:tcPr>
          <w:p w14:paraId="3B2028B4" w14:textId="77777777" w:rsidR="00A27CF2" w:rsidRPr="00047543" w:rsidRDefault="00A27CF2">
            <w:pPr>
              <w:ind w:right="-29"/>
              <w:jc w:val="center"/>
              <w:rPr>
                <w:noProof/>
                <w:sz w:val="18"/>
                <w:szCs w:val="18"/>
              </w:rPr>
            </w:pPr>
          </w:p>
        </w:tc>
        <w:tc>
          <w:tcPr>
            <w:tcW w:w="504" w:type="dxa"/>
            <w:tcBorders>
              <w:right w:val="dashSmallGap" w:sz="4" w:space="0" w:color="auto"/>
            </w:tcBorders>
          </w:tcPr>
          <w:p w14:paraId="5BC645CC" w14:textId="77777777" w:rsidR="00A27CF2" w:rsidRPr="00047543" w:rsidRDefault="00A27CF2">
            <w:pPr>
              <w:ind w:right="-29"/>
              <w:jc w:val="center"/>
              <w:rPr>
                <w:noProof/>
                <w:sz w:val="18"/>
                <w:szCs w:val="18"/>
              </w:rPr>
            </w:pPr>
          </w:p>
        </w:tc>
        <w:tc>
          <w:tcPr>
            <w:tcW w:w="720" w:type="dxa"/>
            <w:tcBorders>
              <w:left w:val="dashSmallGap" w:sz="4" w:space="0" w:color="auto"/>
            </w:tcBorders>
          </w:tcPr>
          <w:p w14:paraId="60709D17" w14:textId="77777777" w:rsidR="00A27CF2" w:rsidRPr="00047543" w:rsidRDefault="00A27CF2">
            <w:pPr>
              <w:ind w:right="-29"/>
              <w:jc w:val="center"/>
              <w:rPr>
                <w:noProof/>
                <w:sz w:val="18"/>
                <w:szCs w:val="18"/>
              </w:rPr>
            </w:pPr>
          </w:p>
        </w:tc>
        <w:tc>
          <w:tcPr>
            <w:tcW w:w="540" w:type="dxa"/>
            <w:tcBorders>
              <w:right w:val="dashSmallGap" w:sz="4" w:space="0" w:color="auto"/>
            </w:tcBorders>
          </w:tcPr>
          <w:p w14:paraId="5B477078" w14:textId="77777777" w:rsidR="00A27CF2" w:rsidRPr="00047543" w:rsidRDefault="00A27CF2">
            <w:pPr>
              <w:ind w:right="-29"/>
              <w:jc w:val="center"/>
              <w:rPr>
                <w:noProof/>
                <w:sz w:val="18"/>
                <w:szCs w:val="18"/>
              </w:rPr>
            </w:pPr>
          </w:p>
        </w:tc>
        <w:tc>
          <w:tcPr>
            <w:tcW w:w="720" w:type="dxa"/>
            <w:tcBorders>
              <w:left w:val="dashSmallGap" w:sz="4" w:space="0" w:color="auto"/>
            </w:tcBorders>
          </w:tcPr>
          <w:p w14:paraId="5EB281C2" w14:textId="77777777" w:rsidR="00A27CF2" w:rsidRPr="00047543" w:rsidRDefault="00A27CF2">
            <w:pPr>
              <w:ind w:right="-29"/>
              <w:jc w:val="center"/>
              <w:rPr>
                <w:noProof/>
                <w:sz w:val="18"/>
                <w:szCs w:val="18"/>
              </w:rPr>
            </w:pPr>
          </w:p>
        </w:tc>
        <w:tc>
          <w:tcPr>
            <w:tcW w:w="720" w:type="dxa"/>
            <w:tcBorders>
              <w:right w:val="dashSmallGap" w:sz="4" w:space="0" w:color="auto"/>
            </w:tcBorders>
          </w:tcPr>
          <w:p w14:paraId="0128EB56" w14:textId="77777777" w:rsidR="00A27CF2" w:rsidRPr="00047543" w:rsidRDefault="00A27CF2">
            <w:pPr>
              <w:ind w:right="-29"/>
              <w:jc w:val="center"/>
              <w:rPr>
                <w:noProof/>
                <w:sz w:val="18"/>
                <w:szCs w:val="18"/>
              </w:rPr>
            </w:pPr>
          </w:p>
        </w:tc>
        <w:tc>
          <w:tcPr>
            <w:tcW w:w="720" w:type="dxa"/>
            <w:tcBorders>
              <w:left w:val="dashSmallGap" w:sz="4" w:space="0" w:color="auto"/>
            </w:tcBorders>
          </w:tcPr>
          <w:p w14:paraId="19D8FF63" w14:textId="77777777" w:rsidR="00A27CF2" w:rsidRPr="00047543" w:rsidRDefault="00A27CF2">
            <w:pPr>
              <w:ind w:right="-29"/>
              <w:jc w:val="center"/>
              <w:rPr>
                <w:noProof/>
                <w:sz w:val="18"/>
                <w:szCs w:val="18"/>
              </w:rPr>
            </w:pPr>
          </w:p>
        </w:tc>
        <w:tc>
          <w:tcPr>
            <w:tcW w:w="900" w:type="dxa"/>
            <w:tcBorders>
              <w:right w:val="dashSmallGap" w:sz="4" w:space="0" w:color="auto"/>
            </w:tcBorders>
          </w:tcPr>
          <w:p w14:paraId="34CA34D6" w14:textId="77777777" w:rsidR="00A27CF2" w:rsidRPr="00047543" w:rsidRDefault="00A27CF2">
            <w:pPr>
              <w:ind w:right="-29"/>
              <w:jc w:val="center"/>
              <w:rPr>
                <w:noProof/>
                <w:sz w:val="18"/>
                <w:szCs w:val="18"/>
              </w:rPr>
            </w:pPr>
          </w:p>
        </w:tc>
        <w:tc>
          <w:tcPr>
            <w:tcW w:w="720" w:type="dxa"/>
            <w:gridSpan w:val="2"/>
            <w:tcBorders>
              <w:left w:val="dashSmallGap" w:sz="4" w:space="0" w:color="auto"/>
            </w:tcBorders>
          </w:tcPr>
          <w:p w14:paraId="4C59B9BD" w14:textId="77777777" w:rsidR="00A27CF2" w:rsidRPr="00047543" w:rsidRDefault="00A27CF2">
            <w:pPr>
              <w:ind w:right="-29"/>
              <w:jc w:val="center"/>
              <w:rPr>
                <w:noProof/>
                <w:sz w:val="18"/>
                <w:szCs w:val="18"/>
              </w:rPr>
            </w:pPr>
          </w:p>
        </w:tc>
        <w:tc>
          <w:tcPr>
            <w:tcW w:w="540" w:type="dxa"/>
            <w:tcBorders>
              <w:right w:val="dashSmallGap" w:sz="4" w:space="0" w:color="auto"/>
            </w:tcBorders>
          </w:tcPr>
          <w:p w14:paraId="29376E80" w14:textId="77777777" w:rsidR="00A27CF2" w:rsidRPr="00047543" w:rsidRDefault="00A27CF2">
            <w:pPr>
              <w:ind w:right="-29"/>
              <w:jc w:val="center"/>
              <w:rPr>
                <w:noProof/>
                <w:sz w:val="18"/>
                <w:szCs w:val="18"/>
              </w:rPr>
            </w:pPr>
          </w:p>
        </w:tc>
        <w:tc>
          <w:tcPr>
            <w:tcW w:w="648" w:type="dxa"/>
            <w:tcBorders>
              <w:left w:val="dashSmallGap" w:sz="4" w:space="0" w:color="auto"/>
            </w:tcBorders>
          </w:tcPr>
          <w:p w14:paraId="4E96F6C5" w14:textId="77777777" w:rsidR="00A27CF2" w:rsidRPr="00047543" w:rsidRDefault="00A27CF2">
            <w:pPr>
              <w:ind w:right="-29"/>
              <w:jc w:val="center"/>
              <w:rPr>
                <w:noProof/>
                <w:sz w:val="18"/>
                <w:szCs w:val="18"/>
              </w:rPr>
            </w:pPr>
          </w:p>
        </w:tc>
        <w:tc>
          <w:tcPr>
            <w:tcW w:w="432" w:type="dxa"/>
            <w:tcBorders>
              <w:right w:val="dashSmallGap" w:sz="4" w:space="0" w:color="auto"/>
            </w:tcBorders>
          </w:tcPr>
          <w:p w14:paraId="1085CE58" w14:textId="77777777" w:rsidR="00A27CF2" w:rsidRPr="00047543" w:rsidRDefault="00A27CF2">
            <w:pPr>
              <w:ind w:right="-29"/>
              <w:jc w:val="center"/>
              <w:rPr>
                <w:noProof/>
                <w:sz w:val="18"/>
                <w:szCs w:val="18"/>
              </w:rPr>
            </w:pPr>
          </w:p>
        </w:tc>
        <w:tc>
          <w:tcPr>
            <w:tcW w:w="720" w:type="dxa"/>
            <w:tcBorders>
              <w:left w:val="dashSmallGap" w:sz="4" w:space="0" w:color="auto"/>
            </w:tcBorders>
          </w:tcPr>
          <w:p w14:paraId="7849B339" w14:textId="77777777" w:rsidR="00A27CF2" w:rsidRPr="00047543" w:rsidRDefault="00A27CF2">
            <w:pPr>
              <w:ind w:right="-29"/>
              <w:jc w:val="center"/>
              <w:rPr>
                <w:noProof/>
                <w:sz w:val="18"/>
                <w:szCs w:val="18"/>
              </w:rPr>
            </w:pPr>
          </w:p>
        </w:tc>
        <w:tc>
          <w:tcPr>
            <w:tcW w:w="540" w:type="dxa"/>
            <w:tcBorders>
              <w:right w:val="dashSmallGap" w:sz="4" w:space="0" w:color="auto"/>
            </w:tcBorders>
          </w:tcPr>
          <w:p w14:paraId="3E6D86D2" w14:textId="77777777" w:rsidR="00A27CF2" w:rsidRPr="00047543" w:rsidRDefault="00A27CF2">
            <w:pPr>
              <w:ind w:right="-29"/>
              <w:jc w:val="center"/>
              <w:rPr>
                <w:noProof/>
                <w:sz w:val="18"/>
                <w:szCs w:val="18"/>
              </w:rPr>
            </w:pPr>
          </w:p>
        </w:tc>
        <w:tc>
          <w:tcPr>
            <w:tcW w:w="720" w:type="dxa"/>
            <w:tcBorders>
              <w:left w:val="dashSmallGap" w:sz="4" w:space="0" w:color="auto"/>
            </w:tcBorders>
          </w:tcPr>
          <w:p w14:paraId="0AD9FC89" w14:textId="77777777" w:rsidR="00A27CF2" w:rsidRPr="00047543" w:rsidRDefault="00A27CF2">
            <w:pPr>
              <w:ind w:right="-29"/>
              <w:jc w:val="center"/>
              <w:rPr>
                <w:noProof/>
                <w:sz w:val="18"/>
                <w:szCs w:val="18"/>
              </w:rPr>
            </w:pPr>
          </w:p>
        </w:tc>
        <w:tc>
          <w:tcPr>
            <w:tcW w:w="720" w:type="dxa"/>
          </w:tcPr>
          <w:p w14:paraId="67B9C9DE" w14:textId="77777777" w:rsidR="00A27CF2" w:rsidRPr="00047543" w:rsidRDefault="00A27CF2">
            <w:pPr>
              <w:ind w:right="-29"/>
              <w:jc w:val="center"/>
              <w:rPr>
                <w:noProof/>
                <w:sz w:val="18"/>
                <w:szCs w:val="18"/>
              </w:rPr>
            </w:pPr>
          </w:p>
        </w:tc>
        <w:tc>
          <w:tcPr>
            <w:tcW w:w="900" w:type="dxa"/>
          </w:tcPr>
          <w:p w14:paraId="5D822908" w14:textId="77777777" w:rsidR="00A27CF2" w:rsidRPr="00047543" w:rsidRDefault="00A27CF2">
            <w:pPr>
              <w:ind w:right="-29"/>
              <w:jc w:val="center"/>
              <w:rPr>
                <w:noProof/>
                <w:sz w:val="18"/>
                <w:szCs w:val="18"/>
              </w:rPr>
            </w:pPr>
          </w:p>
        </w:tc>
      </w:tr>
      <w:tr w:rsidR="00A27CF2" w:rsidRPr="00047543" w14:paraId="00B9CBD1" w14:textId="77777777">
        <w:trPr>
          <w:trHeight w:hRule="exact" w:val="369"/>
          <w:jc w:val="center"/>
        </w:trPr>
        <w:tc>
          <w:tcPr>
            <w:tcW w:w="1423" w:type="dxa"/>
          </w:tcPr>
          <w:p w14:paraId="20D34EEE" w14:textId="77777777" w:rsidR="00A27CF2" w:rsidRPr="00047543" w:rsidRDefault="00A27CF2">
            <w:pPr>
              <w:ind w:right="-29"/>
              <w:jc w:val="center"/>
              <w:rPr>
                <w:noProof/>
                <w:sz w:val="18"/>
                <w:szCs w:val="18"/>
              </w:rPr>
            </w:pPr>
            <w:r w:rsidRPr="00047543">
              <w:rPr>
                <w:noProof/>
                <w:sz w:val="18"/>
              </w:rPr>
              <w:t>- Output</w:t>
            </w:r>
          </w:p>
        </w:tc>
        <w:tc>
          <w:tcPr>
            <w:tcW w:w="720" w:type="dxa"/>
          </w:tcPr>
          <w:p w14:paraId="6587C40B" w14:textId="77777777" w:rsidR="00A27CF2" w:rsidRPr="00047543" w:rsidRDefault="00A27CF2">
            <w:pPr>
              <w:ind w:right="-29"/>
              <w:jc w:val="center"/>
              <w:rPr>
                <w:noProof/>
                <w:sz w:val="18"/>
                <w:szCs w:val="18"/>
              </w:rPr>
            </w:pPr>
          </w:p>
        </w:tc>
        <w:tc>
          <w:tcPr>
            <w:tcW w:w="701" w:type="dxa"/>
          </w:tcPr>
          <w:p w14:paraId="2478D40E" w14:textId="77777777" w:rsidR="00A27CF2" w:rsidRPr="00047543" w:rsidRDefault="00A27CF2">
            <w:pPr>
              <w:ind w:right="-29"/>
              <w:jc w:val="center"/>
              <w:rPr>
                <w:noProof/>
                <w:sz w:val="18"/>
                <w:szCs w:val="18"/>
              </w:rPr>
            </w:pPr>
          </w:p>
        </w:tc>
        <w:tc>
          <w:tcPr>
            <w:tcW w:w="504" w:type="dxa"/>
          </w:tcPr>
          <w:p w14:paraId="4A6BF2CE" w14:textId="77777777" w:rsidR="00A27CF2" w:rsidRPr="00047543" w:rsidRDefault="00A27CF2">
            <w:pPr>
              <w:ind w:right="-29"/>
              <w:jc w:val="center"/>
              <w:rPr>
                <w:noProof/>
                <w:sz w:val="18"/>
                <w:szCs w:val="18"/>
              </w:rPr>
            </w:pPr>
          </w:p>
        </w:tc>
        <w:tc>
          <w:tcPr>
            <w:tcW w:w="720" w:type="dxa"/>
          </w:tcPr>
          <w:p w14:paraId="2A4E9AE2" w14:textId="77777777" w:rsidR="00A27CF2" w:rsidRPr="00047543" w:rsidRDefault="00A27CF2">
            <w:pPr>
              <w:ind w:right="-29"/>
              <w:jc w:val="center"/>
              <w:rPr>
                <w:noProof/>
                <w:sz w:val="18"/>
                <w:szCs w:val="18"/>
              </w:rPr>
            </w:pPr>
          </w:p>
        </w:tc>
        <w:tc>
          <w:tcPr>
            <w:tcW w:w="540" w:type="dxa"/>
          </w:tcPr>
          <w:p w14:paraId="2498A5F9" w14:textId="77777777" w:rsidR="00A27CF2" w:rsidRPr="00047543" w:rsidRDefault="00A27CF2">
            <w:pPr>
              <w:ind w:right="-29"/>
              <w:jc w:val="center"/>
              <w:rPr>
                <w:noProof/>
                <w:sz w:val="18"/>
                <w:szCs w:val="18"/>
              </w:rPr>
            </w:pPr>
          </w:p>
        </w:tc>
        <w:tc>
          <w:tcPr>
            <w:tcW w:w="720" w:type="dxa"/>
          </w:tcPr>
          <w:p w14:paraId="0F23FB15" w14:textId="77777777" w:rsidR="00A27CF2" w:rsidRPr="00047543" w:rsidRDefault="00A27CF2">
            <w:pPr>
              <w:ind w:right="-29"/>
              <w:jc w:val="center"/>
              <w:rPr>
                <w:noProof/>
                <w:sz w:val="18"/>
                <w:szCs w:val="18"/>
              </w:rPr>
            </w:pPr>
          </w:p>
        </w:tc>
        <w:tc>
          <w:tcPr>
            <w:tcW w:w="720" w:type="dxa"/>
          </w:tcPr>
          <w:p w14:paraId="7263FBE3" w14:textId="77777777" w:rsidR="00A27CF2" w:rsidRPr="00047543" w:rsidRDefault="00A27CF2">
            <w:pPr>
              <w:ind w:right="-29"/>
              <w:jc w:val="center"/>
              <w:rPr>
                <w:noProof/>
                <w:sz w:val="18"/>
                <w:szCs w:val="18"/>
              </w:rPr>
            </w:pPr>
          </w:p>
        </w:tc>
        <w:tc>
          <w:tcPr>
            <w:tcW w:w="720" w:type="dxa"/>
          </w:tcPr>
          <w:p w14:paraId="00C33A91" w14:textId="77777777" w:rsidR="00A27CF2" w:rsidRPr="00047543" w:rsidRDefault="00A27CF2">
            <w:pPr>
              <w:ind w:right="-29"/>
              <w:jc w:val="center"/>
              <w:rPr>
                <w:noProof/>
                <w:sz w:val="18"/>
                <w:szCs w:val="18"/>
              </w:rPr>
            </w:pPr>
          </w:p>
        </w:tc>
        <w:tc>
          <w:tcPr>
            <w:tcW w:w="900" w:type="dxa"/>
          </w:tcPr>
          <w:p w14:paraId="5CAA6CF8" w14:textId="77777777" w:rsidR="00A27CF2" w:rsidRPr="00047543" w:rsidRDefault="00A27CF2">
            <w:pPr>
              <w:ind w:right="-29"/>
              <w:jc w:val="center"/>
              <w:rPr>
                <w:noProof/>
                <w:sz w:val="18"/>
                <w:szCs w:val="18"/>
              </w:rPr>
            </w:pPr>
          </w:p>
        </w:tc>
        <w:tc>
          <w:tcPr>
            <w:tcW w:w="720" w:type="dxa"/>
            <w:gridSpan w:val="2"/>
          </w:tcPr>
          <w:p w14:paraId="11234AF4" w14:textId="77777777" w:rsidR="00A27CF2" w:rsidRPr="00047543" w:rsidRDefault="00A27CF2">
            <w:pPr>
              <w:ind w:right="-29"/>
              <w:jc w:val="center"/>
              <w:rPr>
                <w:noProof/>
                <w:sz w:val="18"/>
                <w:szCs w:val="18"/>
              </w:rPr>
            </w:pPr>
          </w:p>
        </w:tc>
        <w:tc>
          <w:tcPr>
            <w:tcW w:w="540" w:type="dxa"/>
          </w:tcPr>
          <w:p w14:paraId="11FF1DF4" w14:textId="77777777" w:rsidR="00A27CF2" w:rsidRPr="00047543" w:rsidRDefault="00A27CF2">
            <w:pPr>
              <w:ind w:right="-29"/>
              <w:jc w:val="center"/>
              <w:rPr>
                <w:noProof/>
                <w:sz w:val="18"/>
                <w:szCs w:val="18"/>
              </w:rPr>
            </w:pPr>
          </w:p>
        </w:tc>
        <w:tc>
          <w:tcPr>
            <w:tcW w:w="648" w:type="dxa"/>
          </w:tcPr>
          <w:p w14:paraId="032CCCAC" w14:textId="77777777" w:rsidR="00A27CF2" w:rsidRPr="00047543" w:rsidRDefault="00A27CF2">
            <w:pPr>
              <w:ind w:right="-29"/>
              <w:jc w:val="center"/>
              <w:rPr>
                <w:noProof/>
                <w:sz w:val="18"/>
                <w:szCs w:val="18"/>
              </w:rPr>
            </w:pPr>
          </w:p>
        </w:tc>
        <w:tc>
          <w:tcPr>
            <w:tcW w:w="432" w:type="dxa"/>
          </w:tcPr>
          <w:p w14:paraId="68B48A58" w14:textId="77777777" w:rsidR="00A27CF2" w:rsidRPr="00047543" w:rsidRDefault="00A27CF2">
            <w:pPr>
              <w:ind w:right="-29"/>
              <w:jc w:val="center"/>
              <w:rPr>
                <w:noProof/>
                <w:sz w:val="18"/>
                <w:szCs w:val="18"/>
              </w:rPr>
            </w:pPr>
          </w:p>
        </w:tc>
        <w:tc>
          <w:tcPr>
            <w:tcW w:w="720" w:type="dxa"/>
          </w:tcPr>
          <w:p w14:paraId="712C4416" w14:textId="77777777" w:rsidR="00A27CF2" w:rsidRPr="00047543" w:rsidRDefault="00A27CF2">
            <w:pPr>
              <w:ind w:right="-29"/>
              <w:jc w:val="center"/>
              <w:rPr>
                <w:noProof/>
                <w:sz w:val="18"/>
                <w:szCs w:val="18"/>
              </w:rPr>
            </w:pPr>
          </w:p>
        </w:tc>
        <w:tc>
          <w:tcPr>
            <w:tcW w:w="540" w:type="dxa"/>
          </w:tcPr>
          <w:p w14:paraId="4A3CE2F9" w14:textId="77777777" w:rsidR="00A27CF2" w:rsidRPr="00047543" w:rsidRDefault="00A27CF2">
            <w:pPr>
              <w:ind w:right="-29"/>
              <w:jc w:val="center"/>
              <w:rPr>
                <w:noProof/>
                <w:sz w:val="18"/>
                <w:szCs w:val="18"/>
              </w:rPr>
            </w:pPr>
          </w:p>
        </w:tc>
        <w:tc>
          <w:tcPr>
            <w:tcW w:w="720" w:type="dxa"/>
          </w:tcPr>
          <w:p w14:paraId="1CDC425A" w14:textId="77777777" w:rsidR="00A27CF2" w:rsidRPr="00047543" w:rsidRDefault="00A27CF2">
            <w:pPr>
              <w:ind w:right="-29"/>
              <w:jc w:val="center"/>
              <w:rPr>
                <w:noProof/>
                <w:sz w:val="18"/>
                <w:szCs w:val="18"/>
              </w:rPr>
            </w:pPr>
          </w:p>
        </w:tc>
        <w:tc>
          <w:tcPr>
            <w:tcW w:w="720" w:type="dxa"/>
          </w:tcPr>
          <w:p w14:paraId="48EA2CA5" w14:textId="77777777" w:rsidR="00A27CF2" w:rsidRPr="00047543" w:rsidRDefault="00A27CF2">
            <w:pPr>
              <w:ind w:right="-29"/>
              <w:jc w:val="center"/>
              <w:rPr>
                <w:noProof/>
                <w:sz w:val="18"/>
                <w:szCs w:val="18"/>
              </w:rPr>
            </w:pPr>
          </w:p>
        </w:tc>
        <w:tc>
          <w:tcPr>
            <w:tcW w:w="900" w:type="dxa"/>
          </w:tcPr>
          <w:p w14:paraId="5ABF8763" w14:textId="77777777" w:rsidR="00A27CF2" w:rsidRPr="00047543" w:rsidRDefault="00A27CF2">
            <w:pPr>
              <w:ind w:right="-29"/>
              <w:jc w:val="center"/>
              <w:rPr>
                <w:noProof/>
                <w:sz w:val="18"/>
                <w:szCs w:val="18"/>
              </w:rPr>
            </w:pPr>
          </w:p>
        </w:tc>
      </w:tr>
      <w:tr w:rsidR="00A27CF2" w:rsidRPr="00047543" w14:paraId="1ADDFF57" w14:textId="77777777">
        <w:trPr>
          <w:trHeight w:val="77"/>
          <w:jc w:val="center"/>
        </w:trPr>
        <w:tc>
          <w:tcPr>
            <w:tcW w:w="2844" w:type="dxa"/>
            <w:gridSpan w:val="3"/>
            <w:tcBorders>
              <w:bottom w:val="single" w:sz="12" w:space="0" w:color="auto"/>
            </w:tcBorders>
            <w:vAlign w:val="center"/>
          </w:tcPr>
          <w:p w14:paraId="72CCC526" w14:textId="77777777" w:rsidR="00A27CF2" w:rsidRPr="00047543" w:rsidRDefault="00A27CF2">
            <w:pPr>
              <w:ind w:right="-29"/>
              <w:jc w:val="center"/>
              <w:rPr>
                <w:noProof/>
                <w:sz w:val="18"/>
                <w:szCs w:val="18"/>
              </w:rPr>
            </w:pPr>
            <w:r w:rsidRPr="00047543">
              <w:rPr>
                <w:noProof/>
                <w:sz w:val="18"/>
              </w:rPr>
              <w:t>Delsumma för specifikt mål nr 1</w:t>
            </w:r>
          </w:p>
        </w:tc>
        <w:tc>
          <w:tcPr>
            <w:tcW w:w="504" w:type="dxa"/>
            <w:tcBorders>
              <w:bottom w:val="single" w:sz="12" w:space="0" w:color="auto"/>
            </w:tcBorders>
          </w:tcPr>
          <w:p w14:paraId="34B433CC" w14:textId="77777777" w:rsidR="00A27CF2" w:rsidRPr="00047543" w:rsidRDefault="00A27CF2">
            <w:pPr>
              <w:ind w:right="-29"/>
              <w:jc w:val="center"/>
              <w:rPr>
                <w:noProof/>
                <w:sz w:val="18"/>
                <w:szCs w:val="18"/>
              </w:rPr>
            </w:pPr>
          </w:p>
        </w:tc>
        <w:tc>
          <w:tcPr>
            <w:tcW w:w="720" w:type="dxa"/>
            <w:tcBorders>
              <w:bottom w:val="single" w:sz="12" w:space="0" w:color="auto"/>
            </w:tcBorders>
          </w:tcPr>
          <w:p w14:paraId="0033FB32" w14:textId="77777777" w:rsidR="00A27CF2" w:rsidRPr="00047543" w:rsidRDefault="00A27CF2">
            <w:pPr>
              <w:ind w:right="-29"/>
              <w:jc w:val="center"/>
              <w:rPr>
                <w:noProof/>
                <w:sz w:val="18"/>
                <w:szCs w:val="18"/>
              </w:rPr>
            </w:pPr>
          </w:p>
        </w:tc>
        <w:tc>
          <w:tcPr>
            <w:tcW w:w="540" w:type="dxa"/>
            <w:tcBorders>
              <w:bottom w:val="single" w:sz="12" w:space="0" w:color="auto"/>
            </w:tcBorders>
          </w:tcPr>
          <w:p w14:paraId="653857B9" w14:textId="77777777" w:rsidR="00A27CF2" w:rsidRPr="00047543" w:rsidRDefault="00A27CF2">
            <w:pPr>
              <w:ind w:right="-29"/>
              <w:jc w:val="center"/>
              <w:rPr>
                <w:noProof/>
                <w:sz w:val="18"/>
                <w:szCs w:val="18"/>
              </w:rPr>
            </w:pPr>
          </w:p>
        </w:tc>
        <w:tc>
          <w:tcPr>
            <w:tcW w:w="720" w:type="dxa"/>
            <w:tcBorders>
              <w:bottom w:val="single" w:sz="12" w:space="0" w:color="auto"/>
            </w:tcBorders>
          </w:tcPr>
          <w:p w14:paraId="3D8A34A4" w14:textId="77777777" w:rsidR="00A27CF2" w:rsidRPr="00047543" w:rsidRDefault="00A27CF2">
            <w:pPr>
              <w:ind w:right="-29"/>
              <w:jc w:val="center"/>
              <w:rPr>
                <w:noProof/>
                <w:sz w:val="18"/>
                <w:szCs w:val="18"/>
              </w:rPr>
            </w:pPr>
          </w:p>
        </w:tc>
        <w:tc>
          <w:tcPr>
            <w:tcW w:w="720" w:type="dxa"/>
            <w:tcBorders>
              <w:bottom w:val="single" w:sz="12" w:space="0" w:color="auto"/>
            </w:tcBorders>
          </w:tcPr>
          <w:p w14:paraId="7A125709" w14:textId="77777777" w:rsidR="00A27CF2" w:rsidRPr="00047543" w:rsidRDefault="00A27CF2">
            <w:pPr>
              <w:ind w:right="-29"/>
              <w:jc w:val="center"/>
              <w:rPr>
                <w:noProof/>
                <w:sz w:val="18"/>
                <w:szCs w:val="18"/>
              </w:rPr>
            </w:pPr>
          </w:p>
        </w:tc>
        <w:tc>
          <w:tcPr>
            <w:tcW w:w="720" w:type="dxa"/>
            <w:tcBorders>
              <w:bottom w:val="single" w:sz="12" w:space="0" w:color="auto"/>
            </w:tcBorders>
          </w:tcPr>
          <w:p w14:paraId="2CA1DDD8" w14:textId="77777777" w:rsidR="00A27CF2" w:rsidRPr="00047543" w:rsidRDefault="00A27CF2">
            <w:pPr>
              <w:ind w:right="-29"/>
              <w:jc w:val="center"/>
              <w:rPr>
                <w:noProof/>
                <w:sz w:val="18"/>
                <w:szCs w:val="18"/>
              </w:rPr>
            </w:pPr>
          </w:p>
        </w:tc>
        <w:tc>
          <w:tcPr>
            <w:tcW w:w="900" w:type="dxa"/>
            <w:tcBorders>
              <w:bottom w:val="single" w:sz="12" w:space="0" w:color="auto"/>
            </w:tcBorders>
          </w:tcPr>
          <w:p w14:paraId="58C87EC2" w14:textId="77777777" w:rsidR="00A27CF2" w:rsidRPr="00047543" w:rsidRDefault="00A27CF2">
            <w:pPr>
              <w:ind w:right="-29"/>
              <w:jc w:val="center"/>
              <w:rPr>
                <w:noProof/>
                <w:sz w:val="18"/>
                <w:szCs w:val="18"/>
              </w:rPr>
            </w:pPr>
          </w:p>
        </w:tc>
        <w:tc>
          <w:tcPr>
            <w:tcW w:w="720" w:type="dxa"/>
            <w:gridSpan w:val="2"/>
            <w:tcBorders>
              <w:bottom w:val="single" w:sz="12" w:space="0" w:color="auto"/>
            </w:tcBorders>
          </w:tcPr>
          <w:p w14:paraId="1EB3C9C5" w14:textId="77777777" w:rsidR="00A27CF2" w:rsidRPr="00047543" w:rsidRDefault="00A27CF2">
            <w:pPr>
              <w:ind w:right="-29"/>
              <w:jc w:val="center"/>
              <w:rPr>
                <w:noProof/>
                <w:sz w:val="18"/>
                <w:szCs w:val="18"/>
              </w:rPr>
            </w:pPr>
          </w:p>
        </w:tc>
        <w:tc>
          <w:tcPr>
            <w:tcW w:w="540" w:type="dxa"/>
            <w:tcBorders>
              <w:bottom w:val="single" w:sz="12" w:space="0" w:color="auto"/>
            </w:tcBorders>
          </w:tcPr>
          <w:p w14:paraId="7250569E" w14:textId="77777777" w:rsidR="00A27CF2" w:rsidRPr="00047543" w:rsidRDefault="00A27CF2">
            <w:pPr>
              <w:ind w:right="-29"/>
              <w:jc w:val="center"/>
              <w:rPr>
                <w:noProof/>
                <w:sz w:val="18"/>
                <w:szCs w:val="18"/>
              </w:rPr>
            </w:pPr>
          </w:p>
        </w:tc>
        <w:tc>
          <w:tcPr>
            <w:tcW w:w="648" w:type="dxa"/>
            <w:tcBorders>
              <w:bottom w:val="single" w:sz="12" w:space="0" w:color="auto"/>
            </w:tcBorders>
          </w:tcPr>
          <w:p w14:paraId="0F17D341" w14:textId="77777777" w:rsidR="00A27CF2" w:rsidRPr="00047543" w:rsidRDefault="00A27CF2">
            <w:pPr>
              <w:ind w:right="-29"/>
              <w:jc w:val="center"/>
              <w:rPr>
                <w:noProof/>
                <w:sz w:val="18"/>
                <w:szCs w:val="18"/>
              </w:rPr>
            </w:pPr>
          </w:p>
        </w:tc>
        <w:tc>
          <w:tcPr>
            <w:tcW w:w="432" w:type="dxa"/>
            <w:tcBorders>
              <w:bottom w:val="single" w:sz="12" w:space="0" w:color="auto"/>
            </w:tcBorders>
          </w:tcPr>
          <w:p w14:paraId="20100ECD" w14:textId="77777777" w:rsidR="00A27CF2" w:rsidRPr="00047543" w:rsidRDefault="00A27CF2">
            <w:pPr>
              <w:ind w:right="-29"/>
              <w:jc w:val="center"/>
              <w:rPr>
                <w:noProof/>
                <w:sz w:val="18"/>
                <w:szCs w:val="18"/>
              </w:rPr>
            </w:pPr>
          </w:p>
        </w:tc>
        <w:tc>
          <w:tcPr>
            <w:tcW w:w="720" w:type="dxa"/>
            <w:tcBorders>
              <w:bottom w:val="single" w:sz="12" w:space="0" w:color="auto"/>
            </w:tcBorders>
          </w:tcPr>
          <w:p w14:paraId="23148C11" w14:textId="77777777" w:rsidR="00A27CF2" w:rsidRPr="00047543" w:rsidRDefault="00A27CF2">
            <w:pPr>
              <w:ind w:right="-29"/>
              <w:jc w:val="center"/>
              <w:rPr>
                <w:noProof/>
                <w:sz w:val="18"/>
                <w:szCs w:val="18"/>
              </w:rPr>
            </w:pPr>
          </w:p>
        </w:tc>
        <w:tc>
          <w:tcPr>
            <w:tcW w:w="540" w:type="dxa"/>
            <w:tcBorders>
              <w:bottom w:val="single" w:sz="12" w:space="0" w:color="auto"/>
            </w:tcBorders>
          </w:tcPr>
          <w:p w14:paraId="664E277D" w14:textId="77777777" w:rsidR="00A27CF2" w:rsidRPr="00047543" w:rsidRDefault="00A27CF2">
            <w:pPr>
              <w:ind w:right="-29"/>
              <w:jc w:val="center"/>
              <w:rPr>
                <w:noProof/>
                <w:sz w:val="18"/>
                <w:szCs w:val="18"/>
              </w:rPr>
            </w:pPr>
          </w:p>
        </w:tc>
        <w:tc>
          <w:tcPr>
            <w:tcW w:w="720" w:type="dxa"/>
            <w:tcBorders>
              <w:bottom w:val="single" w:sz="12" w:space="0" w:color="auto"/>
            </w:tcBorders>
          </w:tcPr>
          <w:p w14:paraId="5F4DD2E8" w14:textId="77777777" w:rsidR="00A27CF2" w:rsidRPr="00047543" w:rsidRDefault="00A27CF2">
            <w:pPr>
              <w:ind w:right="-29"/>
              <w:jc w:val="center"/>
              <w:rPr>
                <w:noProof/>
                <w:sz w:val="18"/>
                <w:szCs w:val="18"/>
              </w:rPr>
            </w:pPr>
          </w:p>
        </w:tc>
        <w:tc>
          <w:tcPr>
            <w:tcW w:w="720" w:type="dxa"/>
            <w:tcBorders>
              <w:bottom w:val="single" w:sz="12" w:space="0" w:color="auto"/>
            </w:tcBorders>
          </w:tcPr>
          <w:p w14:paraId="47A0E8B8" w14:textId="77777777" w:rsidR="00A27CF2" w:rsidRPr="00047543" w:rsidRDefault="00A27CF2">
            <w:pPr>
              <w:ind w:right="-29"/>
              <w:jc w:val="center"/>
              <w:rPr>
                <w:noProof/>
                <w:sz w:val="18"/>
                <w:szCs w:val="18"/>
              </w:rPr>
            </w:pPr>
          </w:p>
        </w:tc>
        <w:tc>
          <w:tcPr>
            <w:tcW w:w="900" w:type="dxa"/>
            <w:tcBorders>
              <w:bottom w:val="single" w:sz="12" w:space="0" w:color="auto"/>
            </w:tcBorders>
          </w:tcPr>
          <w:p w14:paraId="030CBDE7" w14:textId="77777777" w:rsidR="00A27CF2" w:rsidRPr="00047543" w:rsidRDefault="00A27CF2">
            <w:pPr>
              <w:ind w:right="-29"/>
              <w:jc w:val="center"/>
              <w:rPr>
                <w:noProof/>
                <w:sz w:val="18"/>
                <w:szCs w:val="18"/>
              </w:rPr>
            </w:pPr>
          </w:p>
        </w:tc>
      </w:tr>
      <w:tr w:rsidR="00A27CF2" w:rsidRPr="00047543" w14:paraId="6E5ECDDC" w14:textId="77777777">
        <w:trPr>
          <w:jc w:val="center"/>
        </w:trPr>
        <w:tc>
          <w:tcPr>
            <w:tcW w:w="2844" w:type="dxa"/>
            <w:gridSpan w:val="3"/>
            <w:vAlign w:val="center"/>
          </w:tcPr>
          <w:p w14:paraId="51997DD4" w14:textId="77777777" w:rsidR="00A27CF2" w:rsidRPr="00047543" w:rsidRDefault="00A27CF2">
            <w:pPr>
              <w:spacing w:before="60" w:after="60"/>
              <w:ind w:right="-29"/>
              <w:jc w:val="center"/>
              <w:rPr>
                <w:noProof/>
                <w:sz w:val="18"/>
                <w:szCs w:val="18"/>
              </w:rPr>
            </w:pPr>
            <w:r w:rsidRPr="00047543">
              <w:rPr>
                <w:noProof/>
                <w:sz w:val="18"/>
              </w:rPr>
              <w:t>SPECIFIKT MÅL nr 2…</w:t>
            </w:r>
          </w:p>
        </w:tc>
        <w:tc>
          <w:tcPr>
            <w:tcW w:w="504" w:type="dxa"/>
            <w:tcBorders>
              <w:top w:val="nil"/>
              <w:left w:val="nil"/>
              <w:bottom w:val="nil"/>
              <w:right w:val="nil"/>
            </w:tcBorders>
          </w:tcPr>
          <w:p w14:paraId="087D1AF7"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42802D41" w14:textId="77777777" w:rsidR="00A27CF2" w:rsidRPr="00047543" w:rsidRDefault="00A27CF2">
            <w:pPr>
              <w:spacing w:before="60" w:after="60"/>
              <w:ind w:right="-29"/>
              <w:jc w:val="center"/>
              <w:rPr>
                <w:noProof/>
                <w:sz w:val="18"/>
                <w:szCs w:val="18"/>
              </w:rPr>
            </w:pPr>
          </w:p>
        </w:tc>
        <w:tc>
          <w:tcPr>
            <w:tcW w:w="540" w:type="dxa"/>
            <w:tcBorders>
              <w:top w:val="nil"/>
              <w:left w:val="nil"/>
              <w:bottom w:val="nil"/>
              <w:right w:val="nil"/>
            </w:tcBorders>
          </w:tcPr>
          <w:p w14:paraId="4A54E0F1"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35465E95"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67A75C95"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1A97B3E5" w14:textId="77777777" w:rsidR="00A27CF2" w:rsidRPr="00047543" w:rsidRDefault="00A27CF2">
            <w:pPr>
              <w:spacing w:before="60" w:after="60"/>
              <w:ind w:right="-29"/>
              <w:jc w:val="center"/>
              <w:rPr>
                <w:noProof/>
                <w:sz w:val="18"/>
                <w:szCs w:val="18"/>
              </w:rPr>
            </w:pPr>
          </w:p>
        </w:tc>
        <w:tc>
          <w:tcPr>
            <w:tcW w:w="900" w:type="dxa"/>
            <w:tcBorders>
              <w:top w:val="nil"/>
              <w:left w:val="nil"/>
              <w:bottom w:val="nil"/>
              <w:right w:val="nil"/>
            </w:tcBorders>
          </w:tcPr>
          <w:p w14:paraId="48DD2405" w14:textId="77777777" w:rsidR="00A27CF2" w:rsidRPr="00047543" w:rsidRDefault="00A27CF2">
            <w:pPr>
              <w:spacing w:before="60" w:after="60"/>
              <w:ind w:right="-29"/>
              <w:jc w:val="center"/>
              <w:rPr>
                <w:noProof/>
                <w:sz w:val="18"/>
                <w:szCs w:val="18"/>
              </w:rPr>
            </w:pPr>
          </w:p>
        </w:tc>
        <w:tc>
          <w:tcPr>
            <w:tcW w:w="720" w:type="dxa"/>
            <w:gridSpan w:val="2"/>
            <w:tcBorders>
              <w:top w:val="nil"/>
              <w:left w:val="nil"/>
              <w:bottom w:val="nil"/>
              <w:right w:val="nil"/>
            </w:tcBorders>
          </w:tcPr>
          <w:p w14:paraId="66BBA6C3" w14:textId="77777777" w:rsidR="00A27CF2" w:rsidRPr="00047543" w:rsidRDefault="00A27CF2">
            <w:pPr>
              <w:spacing w:before="60" w:after="60"/>
              <w:ind w:right="-29"/>
              <w:jc w:val="center"/>
              <w:rPr>
                <w:noProof/>
                <w:sz w:val="18"/>
                <w:szCs w:val="18"/>
              </w:rPr>
            </w:pPr>
          </w:p>
        </w:tc>
        <w:tc>
          <w:tcPr>
            <w:tcW w:w="540" w:type="dxa"/>
            <w:tcBorders>
              <w:top w:val="nil"/>
              <w:left w:val="nil"/>
              <w:bottom w:val="nil"/>
              <w:right w:val="nil"/>
            </w:tcBorders>
          </w:tcPr>
          <w:p w14:paraId="47F9639A" w14:textId="77777777" w:rsidR="00A27CF2" w:rsidRPr="00047543" w:rsidRDefault="00A27CF2">
            <w:pPr>
              <w:spacing w:before="60" w:after="60"/>
              <w:ind w:right="-29"/>
              <w:jc w:val="center"/>
              <w:rPr>
                <w:noProof/>
                <w:sz w:val="18"/>
                <w:szCs w:val="18"/>
              </w:rPr>
            </w:pPr>
          </w:p>
        </w:tc>
        <w:tc>
          <w:tcPr>
            <w:tcW w:w="648" w:type="dxa"/>
            <w:tcBorders>
              <w:top w:val="nil"/>
              <w:left w:val="nil"/>
              <w:bottom w:val="nil"/>
              <w:right w:val="nil"/>
            </w:tcBorders>
          </w:tcPr>
          <w:p w14:paraId="456EDFD7" w14:textId="77777777" w:rsidR="00A27CF2" w:rsidRPr="00047543" w:rsidRDefault="00A27CF2">
            <w:pPr>
              <w:spacing w:before="60" w:after="60"/>
              <w:ind w:right="-29"/>
              <w:jc w:val="center"/>
              <w:rPr>
                <w:noProof/>
                <w:sz w:val="18"/>
                <w:szCs w:val="18"/>
              </w:rPr>
            </w:pPr>
          </w:p>
        </w:tc>
        <w:tc>
          <w:tcPr>
            <w:tcW w:w="432" w:type="dxa"/>
            <w:tcBorders>
              <w:top w:val="nil"/>
              <w:left w:val="nil"/>
              <w:bottom w:val="nil"/>
              <w:right w:val="nil"/>
            </w:tcBorders>
          </w:tcPr>
          <w:p w14:paraId="498E0D3A"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699E46E7" w14:textId="77777777" w:rsidR="00A27CF2" w:rsidRPr="00047543" w:rsidRDefault="00A27CF2">
            <w:pPr>
              <w:spacing w:before="60" w:after="60"/>
              <w:ind w:right="-29"/>
              <w:jc w:val="center"/>
              <w:rPr>
                <w:noProof/>
                <w:sz w:val="18"/>
                <w:szCs w:val="18"/>
              </w:rPr>
            </w:pPr>
          </w:p>
        </w:tc>
        <w:tc>
          <w:tcPr>
            <w:tcW w:w="540" w:type="dxa"/>
            <w:tcBorders>
              <w:top w:val="nil"/>
              <w:left w:val="nil"/>
              <w:bottom w:val="nil"/>
              <w:right w:val="nil"/>
            </w:tcBorders>
          </w:tcPr>
          <w:p w14:paraId="78130E24"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0E126F72" w14:textId="77777777" w:rsidR="00A27CF2" w:rsidRPr="00047543" w:rsidRDefault="00A27CF2">
            <w:pPr>
              <w:spacing w:before="60" w:after="60"/>
              <w:ind w:right="-29"/>
              <w:jc w:val="center"/>
              <w:rPr>
                <w:noProof/>
                <w:sz w:val="18"/>
                <w:szCs w:val="18"/>
              </w:rPr>
            </w:pPr>
          </w:p>
        </w:tc>
        <w:tc>
          <w:tcPr>
            <w:tcW w:w="720" w:type="dxa"/>
            <w:tcBorders>
              <w:top w:val="nil"/>
              <w:left w:val="nil"/>
              <w:bottom w:val="nil"/>
              <w:right w:val="nil"/>
            </w:tcBorders>
          </w:tcPr>
          <w:p w14:paraId="744A1F55" w14:textId="77777777" w:rsidR="00A27CF2" w:rsidRPr="00047543" w:rsidRDefault="00A27CF2">
            <w:pPr>
              <w:spacing w:before="60" w:after="60"/>
              <w:ind w:right="-29"/>
              <w:jc w:val="center"/>
              <w:rPr>
                <w:noProof/>
                <w:sz w:val="18"/>
                <w:szCs w:val="18"/>
              </w:rPr>
            </w:pPr>
          </w:p>
        </w:tc>
        <w:tc>
          <w:tcPr>
            <w:tcW w:w="900" w:type="dxa"/>
            <w:tcBorders>
              <w:top w:val="nil"/>
              <w:left w:val="nil"/>
              <w:bottom w:val="nil"/>
              <w:right w:val="nil"/>
            </w:tcBorders>
          </w:tcPr>
          <w:p w14:paraId="5AA1058D" w14:textId="77777777" w:rsidR="00A27CF2" w:rsidRPr="00047543" w:rsidRDefault="00A27CF2">
            <w:pPr>
              <w:spacing w:before="60" w:after="60"/>
              <w:ind w:right="-29"/>
              <w:jc w:val="center"/>
              <w:rPr>
                <w:noProof/>
                <w:sz w:val="18"/>
                <w:szCs w:val="18"/>
              </w:rPr>
            </w:pPr>
          </w:p>
        </w:tc>
      </w:tr>
      <w:tr w:rsidR="00A27CF2" w:rsidRPr="00047543" w14:paraId="0DCF5D3B" w14:textId="77777777">
        <w:trPr>
          <w:trHeight w:hRule="exact" w:val="369"/>
          <w:jc w:val="center"/>
        </w:trPr>
        <w:tc>
          <w:tcPr>
            <w:tcW w:w="1423" w:type="dxa"/>
          </w:tcPr>
          <w:p w14:paraId="460C5061" w14:textId="77777777" w:rsidR="00A27CF2" w:rsidRPr="00047543" w:rsidRDefault="00A27CF2">
            <w:pPr>
              <w:ind w:right="-29"/>
              <w:jc w:val="center"/>
              <w:rPr>
                <w:noProof/>
                <w:sz w:val="18"/>
                <w:szCs w:val="18"/>
              </w:rPr>
            </w:pPr>
            <w:r w:rsidRPr="00047543">
              <w:rPr>
                <w:noProof/>
                <w:sz w:val="18"/>
              </w:rPr>
              <w:t>- Output</w:t>
            </w:r>
          </w:p>
        </w:tc>
        <w:tc>
          <w:tcPr>
            <w:tcW w:w="720" w:type="dxa"/>
          </w:tcPr>
          <w:p w14:paraId="617482F6" w14:textId="77777777" w:rsidR="00A27CF2" w:rsidRPr="00047543" w:rsidRDefault="00A27CF2">
            <w:pPr>
              <w:ind w:right="-29"/>
              <w:jc w:val="center"/>
              <w:rPr>
                <w:noProof/>
                <w:sz w:val="18"/>
                <w:szCs w:val="18"/>
              </w:rPr>
            </w:pPr>
          </w:p>
        </w:tc>
        <w:tc>
          <w:tcPr>
            <w:tcW w:w="701" w:type="dxa"/>
          </w:tcPr>
          <w:p w14:paraId="4DD0FC85" w14:textId="77777777" w:rsidR="00A27CF2" w:rsidRPr="00047543" w:rsidRDefault="00A27CF2">
            <w:pPr>
              <w:ind w:right="-29"/>
              <w:jc w:val="center"/>
              <w:rPr>
                <w:noProof/>
                <w:sz w:val="18"/>
                <w:szCs w:val="18"/>
              </w:rPr>
            </w:pPr>
          </w:p>
        </w:tc>
        <w:tc>
          <w:tcPr>
            <w:tcW w:w="504" w:type="dxa"/>
          </w:tcPr>
          <w:p w14:paraId="65745C65" w14:textId="77777777" w:rsidR="00A27CF2" w:rsidRPr="00047543" w:rsidRDefault="00A27CF2">
            <w:pPr>
              <w:ind w:right="-29"/>
              <w:jc w:val="center"/>
              <w:rPr>
                <w:noProof/>
                <w:sz w:val="18"/>
                <w:szCs w:val="18"/>
              </w:rPr>
            </w:pPr>
          </w:p>
        </w:tc>
        <w:tc>
          <w:tcPr>
            <w:tcW w:w="720" w:type="dxa"/>
          </w:tcPr>
          <w:p w14:paraId="3C0985FA" w14:textId="77777777" w:rsidR="00A27CF2" w:rsidRPr="00047543" w:rsidRDefault="00A27CF2">
            <w:pPr>
              <w:ind w:right="-29"/>
              <w:jc w:val="center"/>
              <w:rPr>
                <w:noProof/>
                <w:sz w:val="18"/>
                <w:szCs w:val="18"/>
              </w:rPr>
            </w:pPr>
          </w:p>
        </w:tc>
        <w:tc>
          <w:tcPr>
            <w:tcW w:w="540" w:type="dxa"/>
          </w:tcPr>
          <w:p w14:paraId="5465A841" w14:textId="77777777" w:rsidR="00A27CF2" w:rsidRPr="00047543" w:rsidRDefault="00A27CF2">
            <w:pPr>
              <w:ind w:right="-29"/>
              <w:jc w:val="center"/>
              <w:rPr>
                <w:noProof/>
                <w:sz w:val="18"/>
                <w:szCs w:val="18"/>
              </w:rPr>
            </w:pPr>
          </w:p>
        </w:tc>
        <w:tc>
          <w:tcPr>
            <w:tcW w:w="720" w:type="dxa"/>
          </w:tcPr>
          <w:p w14:paraId="5AF496AF" w14:textId="77777777" w:rsidR="00A27CF2" w:rsidRPr="00047543" w:rsidRDefault="00A27CF2">
            <w:pPr>
              <w:ind w:right="-29"/>
              <w:jc w:val="center"/>
              <w:rPr>
                <w:noProof/>
                <w:sz w:val="18"/>
                <w:szCs w:val="18"/>
              </w:rPr>
            </w:pPr>
          </w:p>
        </w:tc>
        <w:tc>
          <w:tcPr>
            <w:tcW w:w="720" w:type="dxa"/>
          </w:tcPr>
          <w:p w14:paraId="7445A5F1" w14:textId="77777777" w:rsidR="00A27CF2" w:rsidRPr="00047543" w:rsidRDefault="00A27CF2">
            <w:pPr>
              <w:ind w:right="-29"/>
              <w:jc w:val="center"/>
              <w:rPr>
                <w:noProof/>
                <w:sz w:val="18"/>
                <w:szCs w:val="18"/>
              </w:rPr>
            </w:pPr>
          </w:p>
        </w:tc>
        <w:tc>
          <w:tcPr>
            <w:tcW w:w="720" w:type="dxa"/>
          </w:tcPr>
          <w:p w14:paraId="2EFBFDBF" w14:textId="77777777" w:rsidR="00A27CF2" w:rsidRPr="00047543" w:rsidRDefault="00A27CF2">
            <w:pPr>
              <w:ind w:right="-29"/>
              <w:jc w:val="center"/>
              <w:rPr>
                <w:noProof/>
                <w:sz w:val="18"/>
                <w:szCs w:val="18"/>
              </w:rPr>
            </w:pPr>
          </w:p>
        </w:tc>
        <w:tc>
          <w:tcPr>
            <w:tcW w:w="900" w:type="dxa"/>
          </w:tcPr>
          <w:p w14:paraId="14425125" w14:textId="77777777" w:rsidR="00A27CF2" w:rsidRPr="00047543" w:rsidRDefault="00A27CF2">
            <w:pPr>
              <w:ind w:right="-29"/>
              <w:jc w:val="center"/>
              <w:rPr>
                <w:noProof/>
                <w:sz w:val="18"/>
                <w:szCs w:val="18"/>
              </w:rPr>
            </w:pPr>
          </w:p>
        </w:tc>
        <w:tc>
          <w:tcPr>
            <w:tcW w:w="720" w:type="dxa"/>
            <w:gridSpan w:val="2"/>
          </w:tcPr>
          <w:p w14:paraId="4F2FBA3A" w14:textId="77777777" w:rsidR="00A27CF2" w:rsidRPr="00047543" w:rsidRDefault="00A27CF2">
            <w:pPr>
              <w:ind w:right="-29"/>
              <w:jc w:val="center"/>
              <w:rPr>
                <w:noProof/>
                <w:sz w:val="18"/>
                <w:szCs w:val="18"/>
              </w:rPr>
            </w:pPr>
          </w:p>
        </w:tc>
        <w:tc>
          <w:tcPr>
            <w:tcW w:w="540" w:type="dxa"/>
          </w:tcPr>
          <w:p w14:paraId="75082F57" w14:textId="77777777" w:rsidR="00A27CF2" w:rsidRPr="00047543" w:rsidRDefault="00A27CF2">
            <w:pPr>
              <w:ind w:right="-29"/>
              <w:jc w:val="center"/>
              <w:rPr>
                <w:noProof/>
                <w:sz w:val="18"/>
                <w:szCs w:val="18"/>
              </w:rPr>
            </w:pPr>
          </w:p>
        </w:tc>
        <w:tc>
          <w:tcPr>
            <w:tcW w:w="648" w:type="dxa"/>
          </w:tcPr>
          <w:p w14:paraId="560D0880" w14:textId="77777777" w:rsidR="00A27CF2" w:rsidRPr="00047543" w:rsidRDefault="00A27CF2">
            <w:pPr>
              <w:ind w:right="-29"/>
              <w:jc w:val="center"/>
              <w:rPr>
                <w:noProof/>
                <w:sz w:val="18"/>
                <w:szCs w:val="18"/>
              </w:rPr>
            </w:pPr>
          </w:p>
        </w:tc>
        <w:tc>
          <w:tcPr>
            <w:tcW w:w="432" w:type="dxa"/>
          </w:tcPr>
          <w:p w14:paraId="4D0C05EB" w14:textId="77777777" w:rsidR="00A27CF2" w:rsidRPr="00047543" w:rsidRDefault="00A27CF2">
            <w:pPr>
              <w:ind w:right="-29"/>
              <w:jc w:val="center"/>
              <w:rPr>
                <w:noProof/>
                <w:sz w:val="18"/>
                <w:szCs w:val="18"/>
              </w:rPr>
            </w:pPr>
          </w:p>
        </w:tc>
        <w:tc>
          <w:tcPr>
            <w:tcW w:w="720" w:type="dxa"/>
          </w:tcPr>
          <w:p w14:paraId="614BE608" w14:textId="77777777" w:rsidR="00A27CF2" w:rsidRPr="00047543" w:rsidRDefault="00A27CF2">
            <w:pPr>
              <w:ind w:right="-29"/>
              <w:jc w:val="center"/>
              <w:rPr>
                <w:noProof/>
                <w:sz w:val="18"/>
                <w:szCs w:val="18"/>
              </w:rPr>
            </w:pPr>
          </w:p>
        </w:tc>
        <w:tc>
          <w:tcPr>
            <w:tcW w:w="540" w:type="dxa"/>
          </w:tcPr>
          <w:p w14:paraId="37C49CB2" w14:textId="77777777" w:rsidR="00A27CF2" w:rsidRPr="00047543" w:rsidRDefault="00A27CF2">
            <w:pPr>
              <w:ind w:right="-29"/>
              <w:jc w:val="center"/>
              <w:rPr>
                <w:noProof/>
                <w:sz w:val="18"/>
                <w:szCs w:val="18"/>
              </w:rPr>
            </w:pPr>
          </w:p>
        </w:tc>
        <w:tc>
          <w:tcPr>
            <w:tcW w:w="720" w:type="dxa"/>
          </w:tcPr>
          <w:p w14:paraId="0CBC1FB3" w14:textId="77777777" w:rsidR="00A27CF2" w:rsidRPr="00047543" w:rsidRDefault="00A27CF2">
            <w:pPr>
              <w:ind w:right="-29"/>
              <w:jc w:val="center"/>
              <w:rPr>
                <w:noProof/>
                <w:sz w:val="18"/>
                <w:szCs w:val="18"/>
              </w:rPr>
            </w:pPr>
          </w:p>
        </w:tc>
        <w:tc>
          <w:tcPr>
            <w:tcW w:w="720" w:type="dxa"/>
          </w:tcPr>
          <w:p w14:paraId="2818D0FF" w14:textId="77777777" w:rsidR="00A27CF2" w:rsidRPr="00047543" w:rsidRDefault="00A27CF2">
            <w:pPr>
              <w:ind w:right="-29"/>
              <w:jc w:val="center"/>
              <w:rPr>
                <w:noProof/>
                <w:sz w:val="18"/>
                <w:szCs w:val="18"/>
              </w:rPr>
            </w:pPr>
          </w:p>
        </w:tc>
        <w:tc>
          <w:tcPr>
            <w:tcW w:w="900" w:type="dxa"/>
          </w:tcPr>
          <w:p w14:paraId="5B169E9A" w14:textId="77777777" w:rsidR="00A27CF2" w:rsidRPr="00047543" w:rsidRDefault="00A27CF2">
            <w:pPr>
              <w:ind w:right="-29"/>
              <w:jc w:val="center"/>
              <w:rPr>
                <w:noProof/>
                <w:sz w:val="18"/>
                <w:szCs w:val="18"/>
              </w:rPr>
            </w:pPr>
          </w:p>
        </w:tc>
      </w:tr>
      <w:tr w:rsidR="00A27CF2" w:rsidRPr="00047543" w14:paraId="409C5601" w14:textId="77777777">
        <w:trPr>
          <w:jc w:val="center"/>
        </w:trPr>
        <w:tc>
          <w:tcPr>
            <w:tcW w:w="2844" w:type="dxa"/>
            <w:gridSpan w:val="3"/>
            <w:tcBorders>
              <w:bottom w:val="single" w:sz="12" w:space="0" w:color="auto"/>
            </w:tcBorders>
            <w:vAlign w:val="center"/>
          </w:tcPr>
          <w:p w14:paraId="67384765" w14:textId="77777777" w:rsidR="00A27CF2" w:rsidRPr="00047543" w:rsidRDefault="00A27CF2">
            <w:pPr>
              <w:jc w:val="center"/>
              <w:rPr>
                <w:noProof/>
                <w:sz w:val="18"/>
                <w:szCs w:val="18"/>
              </w:rPr>
            </w:pPr>
            <w:r w:rsidRPr="00047543">
              <w:rPr>
                <w:noProof/>
                <w:sz w:val="18"/>
              </w:rPr>
              <w:t>Delsumma för specifikt mål nr 2</w:t>
            </w:r>
          </w:p>
        </w:tc>
        <w:tc>
          <w:tcPr>
            <w:tcW w:w="504" w:type="dxa"/>
            <w:tcBorders>
              <w:bottom w:val="single" w:sz="12" w:space="0" w:color="auto"/>
            </w:tcBorders>
          </w:tcPr>
          <w:p w14:paraId="7517D8E9" w14:textId="77777777" w:rsidR="00A27CF2" w:rsidRPr="00047543" w:rsidRDefault="00A27CF2">
            <w:pPr>
              <w:ind w:right="-29"/>
              <w:jc w:val="center"/>
              <w:rPr>
                <w:noProof/>
                <w:sz w:val="18"/>
                <w:szCs w:val="18"/>
              </w:rPr>
            </w:pPr>
          </w:p>
        </w:tc>
        <w:tc>
          <w:tcPr>
            <w:tcW w:w="720" w:type="dxa"/>
            <w:tcBorders>
              <w:bottom w:val="single" w:sz="12" w:space="0" w:color="auto"/>
            </w:tcBorders>
          </w:tcPr>
          <w:p w14:paraId="2EE96013" w14:textId="77777777" w:rsidR="00A27CF2" w:rsidRPr="00047543" w:rsidRDefault="00A27CF2">
            <w:pPr>
              <w:ind w:right="-29"/>
              <w:jc w:val="center"/>
              <w:rPr>
                <w:noProof/>
                <w:sz w:val="18"/>
                <w:szCs w:val="18"/>
              </w:rPr>
            </w:pPr>
          </w:p>
        </w:tc>
        <w:tc>
          <w:tcPr>
            <w:tcW w:w="540" w:type="dxa"/>
            <w:tcBorders>
              <w:bottom w:val="single" w:sz="12" w:space="0" w:color="auto"/>
            </w:tcBorders>
          </w:tcPr>
          <w:p w14:paraId="4A179570" w14:textId="77777777" w:rsidR="00A27CF2" w:rsidRPr="00047543" w:rsidRDefault="00A27CF2">
            <w:pPr>
              <w:ind w:right="-29"/>
              <w:jc w:val="center"/>
              <w:rPr>
                <w:noProof/>
                <w:sz w:val="18"/>
                <w:szCs w:val="18"/>
              </w:rPr>
            </w:pPr>
          </w:p>
        </w:tc>
        <w:tc>
          <w:tcPr>
            <w:tcW w:w="720" w:type="dxa"/>
            <w:tcBorders>
              <w:bottom w:val="single" w:sz="12" w:space="0" w:color="auto"/>
            </w:tcBorders>
          </w:tcPr>
          <w:p w14:paraId="05CCD00B" w14:textId="77777777" w:rsidR="00A27CF2" w:rsidRPr="00047543" w:rsidRDefault="00A27CF2">
            <w:pPr>
              <w:ind w:right="-29"/>
              <w:jc w:val="center"/>
              <w:rPr>
                <w:noProof/>
                <w:sz w:val="18"/>
                <w:szCs w:val="18"/>
              </w:rPr>
            </w:pPr>
          </w:p>
        </w:tc>
        <w:tc>
          <w:tcPr>
            <w:tcW w:w="720" w:type="dxa"/>
            <w:tcBorders>
              <w:bottom w:val="single" w:sz="12" w:space="0" w:color="auto"/>
            </w:tcBorders>
          </w:tcPr>
          <w:p w14:paraId="1D55EE1F" w14:textId="77777777" w:rsidR="00A27CF2" w:rsidRPr="00047543" w:rsidRDefault="00A27CF2">
            <w:pPr>
              <w:ind w:right="-29"/>
              <w:jc w:val="center"/>
              <w:rPr>
                <w:noProof/>
                <w:sz w:val="18"/>
                <w:szCs w:val="18"/>
              </w:rPr>
            </w:pPr>
          </w:p>
        </w:tc>
        <w:tc>
          <w:tcPr>
            <w:tcW w:w="720" w:type="dxa"/>
            <w:tcBorders>
              <w:bottom w:val="single" w:sz="12" w:space="0" w:color="auto"/>
            </w:tcBorders>
          </w:tcPr>
          <w:p w14:paraId="049CD09D" w14:textId="77777777" w:rsidR="00A27CF2" w:rsidRPr="00047543" w:rsidRDefault="00A27CF2">
            <w:pPr>
              <w:ind w:right="-29"/>
              <w:jc w:val="center"/>
              <w:rPr>
                <w:noProof/>
                <w:sz w:val="18"/>
                <w:szCs w:val="18"/>
              </w:rPr>
            </w:pPr>
          </w:p>
        </w:tc>
        <w:tc>
          <w:tcPr>
            <w:tcW w:w="951" w:type="dxa"/>
            <w:gridSpan w:val="2"/>
            <w:tcBorders>
              <w:bottom w:val="single" w:sz="12" w:space="0" w:color="auto"/>
            </w:tcBorders>
          </w:tcPr>
          <w:p w14:paraId="0EFBD71A" w14:textId="77777777" w:rsidR="00A27CF2" w:rsidRPr="00047543" w:rsidRDefault="00A27CF2">
            <w:pPr>
              <w:ind w:right="-29"/>
              <w:jc w:val="center"/>
              <w:rPr>
                <w:noProof/>
                <w:sz w:val="18"/>
                <w:szCs w:val="18"/>
              </w:rPr>
            </w:pPr>
          </w:p>
        </w:tc>
        <w:tc>
          <w:tcPr>
            <w:tcW w:w="669" w:type="dxa"/>
            <w:tcBorders>
              <w:bottom w:val="single" w:sz="12" w:space="0" w:color="auto"/>
            </w:tcBorders>
          </w:tcPr>
          <w:p w14:paraId="6E77BF88" w14:textId="77777777" w:rsidR="00A27CF2" w:rsidRPr="00047543" w:rsidRDefault="00A27CF2">
            <w:pPr>
              <w:ind w:right="-29"/>
              <w:jc w:val="center"/>
              <w:rPr>
                <w:noProof/>
                <w:sz w:val="18"/>
                <w:szCs w:val="18"/>
              </w:rPr>
            </w:pPr>
          </w:p>
        </w:tc>
        <w:tc>
          <w:tcPr>
            <w:tcW w:w="540" w:type="dxa"/>
            <w:tcBorders>
              <w:bottom w:val="single" w:sz="12" w:space="0" w:color="auto"/>
            </w:tcBorders>
          </w:tcPr>
          <w:p w14:paraId="02FBC25D" w14:textId="77777777" w:rsidR="00A27CF2" w:rsidRPr="00047543" w:rsidRDefault="00A27CF2">
            <w:pPr>
              <w:ind w:right="-29"/>
              <w:jc w:val="center"/>
              <w:rPr>
                <w:noProof/>
                <w:sz w:val="18"/>
                <w:szCs w:val="18"/>
              </w:rPr>
            </w:pPr>
          </w:p>
        </w:tc>
        <w:tc>
          <w:tcPr>
            <w:tcW w:w="648" w:type="dxa"/>
            <w:tcBorders>
              <w:bottom w:val="single" w:sz="12" w:space="0" w:color="auto"/>
            </w:tcBorders>
          </w:tcPr>
          <w:p w14:paraId="0F5C2A4D" w14:textId="77777777" w:rsidR="00A27CF2" w:rsidRPr="00047543" w:rsidRDefault="00A27CF2">
            <w:pPr>
              <w:ind w:right="-29"/>
              <w:jc w:val="center"/>
              <w:rPr>
                <w:noProof/>
                <w:sz w:val="18"/>
                <w:szCs w:val="18"/>
              </w:rPr>
            </w:pPr>
          </w:p>
        </w:tc>
        <w:tc>
          <w:tcPr>
            <w:tcW w:w="432" w:type="dxa"/>
            <w:tcBorders>
              <w:bottom w:val="single" w:sz="12" w:space="0" w:color="auto"/>
            </w:tcBorders>
          </w:tcPr>
          <w:p w14:paraId="5DCF8E83" w14:textId="77777777" w:rsidR="00A27CF2" w:rsidRPr="00047543" w:rsidRDefault="00A27CF2">
            <w:pPr>
              <w:ind w:right="-29"/>
              <w:jc w:val="center"/>
              <w:rPr>
                <w:noProof/>
                <w:sz w:val="18"/>
                <w:szCs w:val="18"/>
              </w:rPr>
            </w:pPr>
          </w:p>
        </w:tc>
        <w:tc>
          <w:tcPr>
            <w:tcW w:w="720" w:type="dxa"/>
            <w:tcBorders>
              <w:bottom w:val="single" w:sz="12" w:space="0" w:color="auto"/>
            </w:tcBorders>
          </w:tcPr>
          <w:p w14:paraId="7E9B0D74" w14:textId="77777777" w:rsidR="00A27CF2" w:rsidRPr="00047543" w:rsidRDefault="00A27CF2">
            <w:pPr>
              <w:ind w:right="-29"/>
              <w:jc w:val="center"/>
              <w:rPr>
                <w:noProof/>
                <w:sz w:val="18"/>
                <w:szCs w:val="18"/>
              </w:rPr>
            </w:pPr>
          </w:p>
        </w:tc>
        <w:tc>
          <w:tcPr>
            <w:tcW w:w="540" w:type="dxa"/>
            <w:tcBorders>
              <w:bottom w:val="single" w:sz="12" w:space="0" w:color="auto"/>
            </w:tcBorders>
          </w:tcPr>
          <w:p w14:paraId="1D60217D" w14:textId="77777777" w:rsidR="00A27CF2" w:rsidRPr="00047543" w:rsidRDefault="00A27CF2">
            <w:pPr>
              <w:ind w:right="-29"/>
              <w:jc w:val="center"/>
              <w:rPr>
                <w:noProof/>
                <w:sz w:val="18"/>
                <w:szCs w:val="18"/>
              </w:rPr>
            </w:pPr>
          </w:p>
        </w:tc>
        <w:tc>
          <w:tcPr>
            <w:tcW w:w="720" w:type="dxa"/>
            <w:tcBorders>
              <w:bottom w:val="single" w:sz="12" w:space="0" w:color="auto"/>
            </w:tcBorders>
          </w:tcPr>
          <w:p w14:paraId="0BF1861D" w14:textId="77777777" w:rsidR="00A27CF2" w:rsidRPr="00047543" w:rsidRDefault="00A27CF2">
            <w:pPr>
              <w:ind w:right="-29"/>
              <w:jc w:val="center"/>
              <w:rPr>
                <w:noProof/>
                <w:sz w:val="18"/>
                <w:szCs w:val="18"/>
              </w:rPr>
            </w:pPr>
          </w:p>
        </w:tc>
        <w:tc>
          <w:tcPr>
            <w:tcW w:w="720" w:type="dxa"/>
            <w:tcBorders>
              <w:bottom w:val="single" w:sz="12" w:space="0" w:color="auto"/>
            </w:tcBorders>
          </w:tcPr>
          <w:p w14:paraId="4BB2C7DF" w14:textId="77777777" w:rsidR="00A27CF2" w:rsidRPr="00047543" w:rsidRDefault="00A27CF2">
            <w:pPr>
              <w:ind w:right="-29"/>
              <w:jc w:val="center"/>
              <w:rPr>
                <w:noProof/>
                <w:sz w:val="18"/>
                <w:szCs w:val="18"/>
              </w:rPr>
            </w:pPr>
          </w:p>
        </w:tc>
        <w:tc>
          <w:tcPr>
            <w:tcW w:w="900" w:type="dxa"/>
            <w:tcBorders>
              <w:bottom w:val="single" w:sz="12" w:space="0" w:color="auto"/>
            </w:tcBorders>
          </w:tcPr>
          <w:p w14:paraId="24AA9ED7" w14:textId="77777777" w:rsidR="00A27CF2" w:rsidRPr="00047543" w:rsidRDefault="00A27CF2">
            <w:pPr>
              <w:ind w:right="-29"/>
              <w:jc w:val="center"/>
              <w:rPr>
                <w:noProof/>
                <w:sz w:val="18"/>
                <w:szCs w:val="18"/>
              </w:rPr>
            </w:pPr>
          </w:p>
        </w:tc>
      </w:tr>
      <w:tr w:rsidR="00A27CF2" w:rsidRPr="00047543" w14:paraId="0CBD1658" w14:textId="77777777">
        <w:trPr>
          <w:jc w:val="center"/>
        </w:trPr>
        <w:tc>
          <w:tcPr>
            <w:tcW w:w="2844" w:type="dxa"/>
            <w:gridSpan w:val="3"/>
            <w:tcBorders>
              <w:top w:val="single" w:sz="12" w:space="0" w:color="auto"/>
              <w:left w:val="single" w:sz="12" w:space="0" w:color="auto"/>
              <w:bottom w:val="single" w:sz="12" w:space="0" w:color="auto"/>
            </w:tcBorders>
            <w:vAlign w:val="center"/>
          </w:tcPr>
          <w:p w14:paraId="489C2B2C" w14:textId="77777777" w:rsidR="00A27CF2" w:rsidRPr="00047543" w:rsidRDefault="00A27CF2">
            <w:pPr>
              <w:ind w:right="-29"/>
              <w:jc w:val="center"/>
              <w:rPr>
                <w:noProof/>
                <w:sz w:val="18"/>
                <w:szCs w:val="18"/>
              </w:rPr>
            </w:pPr>
            <w:r w:rsidRPr="00047543">
              <w:rPr>
                <w:b/>
                <w:noProof/>
                <w:sz w:val="18"/>
              </w:rPr>
              <w:t>TOTALT</w:t>
            </w:r>
          </w:p>
        </w:tc>
        <w:tc>
          <w:tcPr>
            <w:tcW w:w="504" w:type="dxa"/>
            <w:tcBorders>
              <w:top w:val="single" w:sz="12" w:space="0" w:color="auto"/>
              <w:bottom w:val="single" w:sz="12" w:space="0" w:color="auto"/>
            </w:tcBorders>
          </w:tcPr>
          <w:p w14:paraId="2A31036A" w14:textId="77777777" w:rsidR="00A27CF2" w:rsidRPr="00047543" w:rsidRDefault="00A27CF2">
            <w:pPr>
              <w:spacing w:before="180" w:after="180"/>
              <w:ind w:right="-29"/>
              <w:jc w:val="center"/>
              <w:rPr>
                <w:noProof/>
                <w:sz w:val="18"/>
                <w:szCs w:val="18"/>
              </w:rPr>
            </w:pPr>
          </w:p>
        </w:tc>
        <w:tc>
          <w:tcPr>
            <w:tcW w:w="720" w:type="dxa"/>
            <w:tcBorders>
              <w:top w:val="single" w:sz="12" w:space="0" w:color="auto"/>
              <w:bottom w:val="single" w:sz="12" w:space="0" w:color="auto"/>
            </w:tcBorders>
          </w:tcPr>
          <w:p w14:paraId="355CB779" w14:textId="77777777" w:rsidR="00A27CF2" w:rsidRPr="00047543" w:rsidRDefault="00A27CF2">
            <w:pPr>
              <w:spacing w:before="180" w:after="180"/>
              <w:ind w:right="-29"/>
              <w:jc w:val="center"/>
              <w:rPr>
                <w:noProof/>
                <w:sz w:val="18"/>
                <w:szCs w:val="18"/>
              </w:rPr>
            </w:pPr>
          </w:p>
        </w:tc>
        <w:tc>
          <w:tcPr>
            <w:tcW w:w="540" w:type="dxa"/>
            <w:tcBorders>
              <w:top w:val="single" w:sz="12" w:space="0" w:color="auto"/>
              <w:bottom w:val="single" w:sz="12" w:space="0" w:color="auto"/>
            </w:tcBorders>
          </w:tcPr>
          <w:p w14:paraId="40F77F1D" w14:textId="77777777" w:rsidR="00A27CF2" w:rsidRPr="00047543" w:rsidRDefault="00A27CF2">
            <w:pPr>
              <w:spacing w:before="180" w:after="180"/>
              <w:ind w:right="-29"/>
              <w:jc w:val="center"/>
              <w:rPr>
                <w:noProof/>
                <w:sz w:val="18"/>
                <w:szCs w:val="18"/>
              </w:rPr>
            </w:pPr>
          </w:p>
        </w:tc>
        <w:tc>
          <w:tcPr>
            <w:tcW w:w="720" w:type="dxa"/>
            <w:tcBorders>
              <w:top w:val="single" w:sz="12" w:space="0" w:color="auto"/>
              <w:bottom w:val="single" w:sz="12" w:space="0" w:color="auto"/>
            </w:tcBorders>
          </w:tcPr>
          <w:p w14:paraId="71D4536C" w14:textId="77777777" w:rsidR="00A27CF2" w:rsidRPr="00047543" w:rsidRDefault="00A27CF2">
            <w:pPr>
              <w:spacing w:before="180" w:after="180"/>
              <w:ind w:right="-29"/>
              <w:jc w:val="center"/>
              <w:rPr>
                <w:noProof/>
                <w:sz w:val="18"/>
                <w:szCs w:val="18"/>
              </w:rPr>
            </w:pPr>
          </w:p>
        </w:tc>
        <w:tc>
          <w:tcPr>
            <w:tcW w:w="720" w:type="dxa"/>
            <w:tcBorders>
              <w:top w:val="single" w:sz="12" w:space="0" w:color="auto"/>
              <w:bottom w:val="single" w:sz="12" w:space="0" w:color="auto"/>
            </w:tcBorders>
          </w:tcPr>
          <w:p w14:paraId="799158E8" w14:textId="77777777" w:rsidR="00A27CF2" w:rsidRPr="00047543" w:rsidRDefault="00A27CF2">
            <w:pPr>
              <w:spacing w:before="180" w:after="180"/>
              <w:ind w:right="-29"/>
              <w:jc w:val="center"/>
              <w:rPr>
                <w:noProof/>
                <w:sz w:val="18"/>
                <w:szCs w:val="18"/>
              </w:rPr>
            </w:pPr>
          </w:p>
        </w:tc>
        <w:tc>
          <w:tcPr>
            <w:tcW w:w="720" w:type="dxa"/>
            <w:tcBorders>
              <w:top w:val="single" w:sz="12" w:space="0" w:color="auto"/>
              <w:bottom w:val="single" w:sz="12" w:space="0" w:color="auto"/>
            </w:tcBorders>
          </w:tcPr>
          <w:p w14:paraId="580CB417" w14:textId="77777777" w:rsidR="00A27CF2" w:rsidRPr="00047543" w:rsidRDefault="00A27CF2">
            <w:pPr>
              <w:spacing w:before="180" w:after="180"/>
              <w:ind w:right="-29"/>
              <w:jc w:val="center"/>
              <w:rPr>
                <w:noProof/>
                <w:sz w:val="18"/>
                <w:szCs w:val="18"/>
              </w:rPr>
            </w:pPr>
          </w:p>
        </w:tc>
        <w:tc>
          <w:tcPr>
            <w:tcW w:w="900" w:type="dxa"/>
            <w:tcBorders>
              <w:top w:val="single" w:sz="12" w:space="0" w:color="auto"/>
              <w:bottom w:val="single" w:sz="12" w:space="0" w:color="auto"/>
            </w:tcBorders>
          </w:tcPr>
          <w:p w14:paraId="7A65C146" w14:textId="77777777" w:rsidR="00A27CF2" w:rsidRPr="00047543" w:rsidRDefault="00A27CF2">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2CB4A25A" w14:textId="77777777" w:rsidR="00A27CF2" w:rsidRPr="00047543" w:rsidRDefault="00A27CF2">
            <w:pPr>
              <w:spacing w:before="180" w:after="180"/>
              <w:ind w:right="-29"/>
              <w:jc w:val="center"/>
              <w:rPr>
                <w:noProof/>
                <w:sz w:val="18"/>
                <w:szCs w:val="18"/>
              </w:rPr>
            </w:pPr>
          </w:p>
        </w:tc>
        <w:tc>
          <w:tcPr>
            <w:tcW w:w="540" w:type="dxa"/>
            <w:tcBorders>
              <w:top w:val="single" w:sz="12" w:space="0" w:color="auto"/>
              <w:bottom w:val="single" w:sz="12" w:space="0" w:color="auto"/>
            </w:tcBorders>
          </w:tcPr>
          <w:p w14:paraId="28C51D5B" w14:textId="77777777" w:rsidR="00A27CF2" w:rsidRPr="00047543" w:rsidRDefault="00A27CF2">
            <w:pPr>
              <w:spacing w:before="180" w:after="180"/>
              <w:ind w:right="-29"/>
              <w:jc w:val="center"/>
              <w:rPr>
                <w:noProof/>
                <w:sz w:val="18"/>
                <w:szCs w:val="18"/>
              </w:rPr>
            </w:pPr>
          </w:p>
        </w:tc>
        <w:tc>
          <w:tcPr>
            <w:tcW w:w="648" w:type="dxa"/>
            <w:tcBorders>
              <w:top w:val="single" w:sz="12" w:space="0" w:color="auto"/>
              <w:bottom w:val="single" w:sz="12" w:space="0" w:color="auto"/>
            </w:tcBorders>
          </w:tcPr>
          <w:p w14:paraId="2D03EA8D" w14:textId="77777777" w:rsidR="00A27CF2" w:rsidRPr="00047543" w:rsidRDefault="00A27CF2">
            <w:pPr>
              <w:spacing w:before="180" w:after="180"/>
              <w:ind w:right="-29"/>
              <w:jc w:val="center"/>
              <w:rPr>
                <w:noProof/>
                <w:sz w:val="18"/>
                <w:szCs w:val="18"/>
              </w:rPr>
            </w:pPr>
          </w:p>
        </w:tc>
        <w:tc>
          <w:tcPr>
            <w:tcW w:w="432" w:type="dxa"/>
            <w:tcBorders>
              <w:top w:val="single" w:sz="12" w:space="0" w:color="auto"/>
              <w:bottom w:val="single" w:sz="12" w:space="0" w:color="auto"/>
            </w:tcBorders>
          </w:tcPr>
          <w:p w14:paraId="0A49E96F" w14:textId="77777777" w:rsidR="00A27CF2" w:rsidRPr="00047543" w:rsidRDefault="00A27CF2">
            <w:pPr>
              <w:spacing w:before="180" w:after="180"/>
              <w:ind w:right="-29"/>
              <w:jc w:val="center"/>
              <w:rPr>
                <w:noProof/>
                <w:sz w:val="18"/>
                <w:szCs w:val="18"/>
              </w:rPr>
            </w:pPr>
          </w:p>
        </w:tc>
        <w:tc>
          <w:tcPr>
            <w:tcW w:w="720" w:type="dxa"/>
            <w:tcBorders>
              <w:top w:val="single" w:sz="12" w:space="0" w:color="auto"/>
              <w:bottom w:val="single" w:sz="12" w:space="0" w:color="auto"/>
            </w:tcBorders>
          </w:tcPr>
          <w:p w14:paraId="508D025E" w14:textId="77777777" w:rsidR="00A27CF2" w:rsidRPr="00047543" w:rsidRDefault="00A27CF2">
            <w:pPr>
              <w:spacing w:before="180" w:after="180"/>
              <w:ind w:right="-29"/>
              <w:jc w:val="center"/>
              <w:rPr>
                <w:noProof/>
                <w:sz w:val="18"/>
                <w:szCs w:val="18"/>
              </w:rPr>
            </w:pPr>
          </w:p>
        </w:tc>
        <w:tc>
          <w:tcPr>
            <w:tcW w:w="540" w:type="dxa"/>
            <w:tcBorders>
              <w:top w:val="single" w:sz="12" w:space="0" w:color="auto"/>
              <w:bottom w:val="single" w:sz="12" w:space="0" w:color="auto"/>
            </w:tcBorders>
          </w:tcPr>
          <w:p w14:paraId="4CA0AF15" w14:textId="77777777" w:rsidR="00A27CF2" w:rsidRPr="00047543" w:rsidRDefault="00A27CF2">
            <w:pPr>
              <w:spacing w:before="180" w:after="180"/>
              <w:ind w:right="-29"/>
              <w:jc w:val="center"/>
              <w:rPr>
                <w:noProof/>
                <w:sz w:val="18"/>
                <w:szCs w:val="18"/>
              </w:rPr>
            </w:pPr>
          </w:p>
        </w:tc>
        <w:tc>
          <w:tcPr>
            <w:tcW w:w="720" w:type="dxa"/>
            <w:tcBorders>
              <w:top w:val="single" w:sz="12" w:space="0" w:color="auto"/>
              <w:bottom w:val="single" w:sz="12" w:space="0" w:color="auto"/>
            </w:tcBorders>
          </w:tcPr>
          <w:p w14:paraId="4B6997CA" w14:textId="77777777" w:rsidR="00A27CF2" w:rsidRPr="00047543" w:rsidRDefault="00A27CF2">
            <w:pPr>
              <w:spacing w:before="180" w:after="180"/>
              <w:ind w:right="-29"/>
              <w:jc w:val="center"/>
              <w:rPr>
                <w:noProof/>
                <w:sz w:val="18"/>
                <w:szCs w:val="18"/>
              </w:rPr>
            </w:pPr>
          </w:p>
        </w:tc>
        <w:tc>
          <w:tcPr>
            <w:tcW w:w="720" w:type="dxa"/>
            <w:tcBorders>
              <w:top w:val="single" w:sz="12" w:space="0" w:color="auto"/>
              <w:bottom w:val="single" w:sz="12" w:space="0" w:color="auto"/>
            </w:tcBorders>
          </w:tcPr>
          <w:p w14:paraId="2CF0EE16" w14:textId="77777777" w:rsidR="00A27CF2" w:rsidRPr="00047543" w:rsidRDefault="00A27CF2">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31EA8355" w14:textId="77777777" w:rsidR="00A27CF2" w:rsidRPr="00047543" w:rsidRDefault="00A27CF2">
            <w:pPr>
              <w:spacing w:before="180" w:after="180"/>
              <w:ind w:right="-29"/>
              <w:jc w:val="center"/>
              <w:rPr>
                <w:noProof/>
                <w:sz w:val="18"/>
                <w:szCs w:val="18"/>
              </w:rPr>
            </w:pPr>
          </w:p>
        </w:tc>
      </w:tr>
    </w:tbl>
    <w:p w14:paraId="4D0EE5DD" w14:textId="77777777" w:rsidR="00A27CF2" w:rsidRPr="00047543" w:rsidRDefault="00A27CF2" w:rsidP="00A27CF2">
      <w:pPr>
        <w:rPr>
          <w:noProof/>
        </w:rPr>
        <w:sectPr w:rsidR="00A27CF2" w:rsidRPr="00047543" w:rsidSect="003E44E5">
          <w:headerReference w:type="default" r:id="rId18"/>
          <w:footerReference w:type="default" r:id="rId19"/>
          <w:pgSz w:w="16840" w:h="11907" w:orient="landscape" w:code="9"/>
          <w:pgMar w:top="1134" w:right="1418" w:bottom="567" w:left="1418" w:header="709" w:footer="709" w:gutter="0"/>
          <w:cols w:space="708"/>
          <w:docGrid w:linePitch="360"/>
        </w:sectPr>
      </w:pPr>
    </w:p>
    <w:p w14:paraId="4F953C74" w14:textId="77777777" w:rsidR="00A27CF2" w:rsidRPr="00047543" w:rsidRDefault="00A27CF2" w:rsidP="00A27CF2">
      <w:pPr>
        <w:pStyle w:val="ManualHeading3"/>
        <w:rPr>
          <w:bCs/>
          <w:noProof/>
          <w:szCs w:val="24"/>
        </w:rPr>
      </w:pPr>
      <w:r w:rsidRPr="00047543">
        <w:rPr>
          <w:noProof/>
        </w:rPr>
        <w:t>3.2.3</w:t>
      </w:r>
      <w:r w:rsidRPr="00047543">
        <w:rPr>
          <w:noProof/>
        </w:rPr>
        <w:tab/>
        <w:t xml:space="preserve">Sammanfattning av beräknad inverkan på de administrativa anslagen </w:t>
      </w:r>
    </w:p>
    <w:p w14:paraId="2B3D20EF" w14:textId="77777777" w:rsidR="00A27CF2" w:rsidRPr="00047543" w:rsidRDefault="00A27CF2" w:rsidP="00A27CF2">
      <w:pPr>
        <w:pStyle w:val="ListDash1"/>
        <w:rPr>
          <w:noProof/>
        </w:rPr>
      </w:pPr>
      <w:r w:rsidRPr="00047543">
        <w:rPr>
          <w:rFonts w:ascii="Wingdings" w:hAnsi="Wingdings"/>
          <w:noProof/>
        </w:rPr>
        <w:t></w:t>
      </w:r>
      <w:r w:rsidRPr="00047543">
        <w:rPr>
          <w:noProof/>
        </w:rPr>
        <w:tab/>
        <w:t xml:space="preserve">Förslaget/initiativet kräver inte att anslag av administrativ natur tas i anspråk </w:t>
      </w:r>
    </w:p>
    <w:p w14:paraId="63252ECA" w14:textId="77777777" w:rsidR="00A27CF2" w:rsidRPr="00047543" w:rsidRDefault="00A27CF2" w:rsidP="00A27CF2">
      <w:pPr>
        <w:pStyle w:val="ListDash1"/>
        <w:rPr>
          <w:noProof/>
        </w:rPr>
      </w:pPr>
      <w:r w:rsidRPr="00047543">
        <w:rPr>
          <w:rFonts w:ascii="Wingdings" w:hAnsi="Wingdings"/>
          <w:noProof/>
        </w:rPr>
        <w:t></w:t>
      </w:r>
      <w:r w:rsidRPr="00047543">
        <w:rPr>
          <w:noProof/>
        </w:rPr>
        <w:tab/>
        <w:t>Förslaget/initiativet kräver att anslag av administrativ natur tas i anspråk enligt följande:</w:t>
      </w:r>
    </w:p>
    <w:p w14:paraId="2480DD8A" w14:textId="77777777" w:rsidR="00A27CF2" w:rsidRPr="00047543" w:rsidRDefault="00A27CF2" w:rsidP="00A27CF2">
      <w:pPr>
        <w:pStyle w:val="ManualHeading3"/>
        <w:rPr>
          <w:noProof/>
        </w:rPr>
      </w:pPr>
      <w:r w:rsidRPr="00047543">
        <w:rPr>
          <w:noProof/>
        </w:rPr>
        <w:t>3.2.3.1 Anslag i den antagna budgeten</w:t>
      </w:r>
    </w:p>
    <w:tbl>
      <w:tblPr>
        <w:tblW w:w="5000" w:type="pct"/>
        <w:tblLook w:val="04A0" w:firstRow="1" w:lastRow="0" w:firstColumn="1" w:lastColumn="0" w:noHBand="0" w:noVBand="1"/>
      </w:tblPr>
      <w:tblGrid>
        <w:gridCol w:w="4027"/>
        <w:gridCol w:w="1027"/>
        <w:gridCol w:w="1027"/>
        <w:gridCol w:w="1027"/>
        <w:gridCol w:w="1027"/>
        <w:gridCol w:w="1154"/>
      </w:tblGrid>
      <w:tr w:rsidR="00A27CF2" w:rsidRPr="00047543" w14:paraId="639A3C8B" w14:textId="77777777">
        <w:trPr>
          <w:trHeight w:val="300"/>
        </w:trPr>
        <w:tc>
          <w:tcPr>
            <w:tcW w:w="2167" w:type="pct"/>
            <w:vMerge w:val="restart"/>
            <w:tcBorders>
              <w:top w:val="single" w:sz="8" w:space="0" w:color="auto"/>
              <w:left w:val="single" w:sz="8" w:space="0" w:color="auto"/>
              <w:bottom w:val="single" w:sz="8" w:space="0" w:color="auto"/>
              <w:right w:val="single" w:sz="8" w:space="0" w:color="auto"/>
            </w:tcBorders>
            <w:vAlign w:val="center"/>
            <w:hideMark/>
          </w:tcPr>
          <w:p w14:paraId="7EBFCF05" w14:textId="77777777" w:rsidR="00A27CF2" w:rsidRPr="00047543" w:rsidRDefault="00A27CF2">
            <w:pPr>
              <w:spacing w:before="0" w:after="0"/>
              <w:jc w:val="center"/>
              <w:rPr>
                <w:b/>
                <w:bCs/>
                <w:noProof/>
                <w:color w:val="000000"/>
                <w:sz w:val="18"/>
                <w:szCs w:val="18"/>
              </w:rPr>
            </w:pPr>
            <w:r w:rsidRPr="00047543">
              <w:rPr>
                <w:b/>
                <w:noProof/>
                <w:color w:val="000000"/>
                <w:sz w:val="18"/>
              </w:rPr>
              <w:t>ANTAGNA ANSLAG</w:t>
            </w:r>
          </w:p>
        </w:tc>
        <w:tc>
          <w:tcPr>
            <w:tcW w:w="553" w:type="pct"/>
            <w:tcBorders>
              <w:top w:val="single" w:sz="8" w:space="0" w:color="auto"/>
              <w:left w:val="nil"/>
              <w:bottom w:val="single" w:sz="8" w:space="0" w:color="auto"/>
              <w:right w:val="single" w:sz="8" w:space="0" w:color="auto"/>
            </w:tcBorders>
            <w:vAlign w:val="center"/>
            <w:hideMark/>
          </w:tcPr>
          <w:p w14:paraId="1F75F57E"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553" w:type="pct"/>
            <w:tcBorders>
              <w:top w:val="single" w:sz="8" w:space="0" w:color="auto"/>
              <w:left w:val="nil"/>
              <w:bottom w:val="single" w:sz="8" w:space="0" w:color="auto"/>
              <w:right w:val="single" w:sz="8" w:space="0" w:color="auto"/>
            </w:tcBorders>
            <w:vAlign w:val="center"/>
            <w:hideMark/>
          </w:tcPr>
          <w:p w14:paraId="0B57B439"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553" w:type="pct"/>
            <w:tcBorders>
              <w:top w:val="single" w:sz="8" w:space="0" w:color="auto"/>
              <w:left w:val="nil"/>
              <w:bottom w:val="single" w:sz="8" w:space="0" w:color="auto"/>
              <w:right w:val="single" w:sz="8" w:space="0" w:color="auto"/>
            </w:tcBorders>
            <w:vAlign w:val="center"/>
            <w:hideMark/>
          </w:tcPr>
          <w:p w14:paraId="3EA9B331"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553" w:type="pct"/>
            <w:tcBorders>
              <w:top w:val="single" w:sz="8" w:space="0" w:color="auto"/>
              <w:left w:val="nil"/>
              <w:bottom w:val="single" w:sz="8" w:space="0" w:color="auto"/>
              <w:right w:val="single" w:sz="8" w:space="0" w:color="auto"/>
            </w:tcBorders>
            <w:vAlign w:val="center"/>
            <w:hideMark/>
          </w:tcPr>
          <w:p w14:paraId="0F4C3964"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622" w:type="pct"/>
            <w:vMerge w:val="restart"/>
            <w:tcBorders>
              <w:top w:val="single" w:sz="8" w:space="0" w:color="auto"/>
              <w:left w:val="single" w:sz="8" w:space="0" w:color="auto"/>
              <w:bottom w:val="single" w:sz="8" w:space="0" w:color="auto"/>
              <w:right w:val="single" w:sz="8" w:space="0" w:color="auto"/>
            </w:tcBorders>
            <w:vAlign w:val="center"/>
            <w:hideMark/>
          </w:tcPr>
          <w:p w14:paraId="7A427BF4" w14:textId="77777777" w:rsidR="00A27CF2" w:rsidRPr="00047543" w:rsidRDefault="00A27CF2">
            <w:pPr>
              <w:spacing w:before="0" w:after="0"/>
              <w:jc w:val="center"/>
              <w:rPr>
                <w:b/>
                <w:bCs/>
                <w:noProof/>
                <w:color w:val="000000"/>
                <w:sz w:val="18"/>
                <w:szCs w:val="18"/>
              </w:rPr>
            </w:pPr>
            <w:r w:rsidRPr="00047543">
              <w:rPr>
                <w:b/>
                <w:noProof/>
                <w:color w:val="000000"/>
                <w:sz w:val="18"/>
              </w:rPr>
              <w:t>TOTALT 2021–2027</w:t>
            </w:r>
          </w:p>
        </w:tc>
      </w:tr>
      <w:tr w:rsidR="00A27CF2" w:rsidRPr="00047543" w14:paraId="37AE19AA" w14:textId="77777777">
        <w:trPr>
          <w:trHeight w:val="300"/>
        </w:trPr>
        <w:tc>
          <w:tcPr>
            <w:tcW w:w="2167" w:type="pct"/>
            <w:vMerge/>
            <w:tcBorders>
              <w:top w:val="single" w:sz="8" w:space="0" w:color="auto"/>
              <w:left w:val="single" w:sz="8" w:space="0" w:color="auto"/>
              <w:bottom w:val="single" w:sz="8" w:space="0" w:color="auto"/>
              <w:right w:val="single" w:sz="8" w:space="0" w:color="auto"/>
            </w:tcBorders>
            <w:vAlign w:val="center"/>
            <w:hideMark/>
          </w:tcPr>
          <w:p w14:paraId="2F1198E8" w14:textId="77777777" w:rsidR="00A27CF2" w:rsidRPr="00047543" w:rsidRDefault="00A27CF2">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5123D226" w14:textId="77777777" w:rsidR="00A27CF2" w:rsidRPr="00047543" w:rsidRDefault="00A27CF2">
            <w:pPr>
              <w:spacing w:before="0" w:after="0"/>
              <w:jc w:val="center"/>
              <w:rPr>
                <w:b/>
                <w:bCs/>
                <w:noProof/>
                <w:color w:val="000000"/>
                <w:sz w:val="18"/>
                <w:szCs w:val="18"/>
              </w:rPr>
            </w:pPr>
            <w:r w:rsidRPr="00047543">
              <w:rPr>
                <w:b/>
                <w:noProof/>
                <w:color w:val="000000"/>
                <w:sz w:val="18"/>
              </w:rPr>
              <w:t>2024</w:t>
            </w:r>
          </w:p>
        </w:tc>
        <w:tc>
          <w:tcPr>
            <w:tcW w:w="553" w:type="pct"/>
            <w:tcBorders>
              <w:top w:val="nil"/>
              <w:left w:val="nil"/>
              <w:bottom w:val="single" w:sz="8" w:space="0" w:color="auto"/>
              <w:right w:val="single" w:sz="8" w:space="0" w:color="auto"/>
            </w:tcBorders>
            <w:vAlign w:val="center"/>
            <w:hideMark/>
          </w:tcPr>
          <w:p w14:paraId="6641DBC9" w14:textId="77777777" w:rsidR="00A27CF2" w:rsidRPr="00047543" w:rsidRDefault="00A27CF2">
            <w:pPr>
              <w:spacing w:before="0" w:after="0"/>
              <w:jc w:val="center"/>
              <w:rPr>
                <w:b/>
                <w:bCs/>
                <w:noProof/>
                <w:color w:val="000000"/>
                <w:sz w:val="18"/>
                <w:szCs w:val="18"/>
              </w:rPr>
            </w:pPr>
            <w:r w:rsidRPr="00047543">
              <w:rPr>
                <w:b/>
                <w:noProof/>
                <w:color w:val="000000"/>
                <w:sz w:val="18"/>
              </w:rPr>
              <w:t>2025</w:t>
            </w:r>
          </w:p>
        </w:tc>
        <w:tc>
          <w:tcPr>
            <w:tcW w:w="553" w:type="pct"/>
            <w:tcBorders>
              <w:top w:val="nil"/>
              <w:left w:val="nil"/>
              <w:bottom w:val="single" w:sz="8" w:space="0" w:color="auto"/>
              <w:right w:val="single" w:sz="8" w:space="0" w:color="auto"/>
            </w:tcBorders>
            <w:vAlign w:val="center"/>
            <w:hideMark/>
          </w:tcPr>
          <w:p w14:paraId="0799A203" w14:textId="77777777" w:rsidR="00A27CF2" w:rsidRPr="00047543" w:rsidRDefault="00A27CF2">
            <w:pPr>
              <w:spacing w:before="0" w:after="0"/>
              <w:jc w:val="center"/>
              <w:rPr>
                <w:b/>
                <w:bCs/>
                <w:noProof/>
                <w:color w:val="000000"/>
                <w:sz w:val="18"/>
                <w:szCs w:val="18"/>
              </w:rPr>
            </w:pPr>
            <w:r w:rsidRPr="00047543">
              <w:rPr>
                <w:b/>
                <w:noProof/>
                <w:color w:val="000000"/>
                <w:sz w:val="18"/>
              </w:rPr>
              <w:t>2026</w:t>
            </w:r>
          </w:p>
        </w:tc>
        <w:tc>
          <w:tcPr>
            <w:tcW w:w="553" w:type="pct"/>
            <w:tcBorders>
              <w:top w:val="nil"/>
              <w:left w:val="nil"/>
              <w:bottom w:val="single" w:sz="8" w:space="0" w:color="auto"/>
              <w:right w:val="single" w:sz="8" w:space="0" w:color="auto"/>
            </w:tcBorders>
            <w:vAlign w:val="center"/>
            <w:hideMark/>
          </w:tcPr>
          <w:p w14:paraId="2BE90776" w14:textId="77777777" w:rsidR="00A27CF2" w:rsidRPr="00047543" w:rsidRDefault="00A27CF2">
            <w:pPr>
              <w:spacing w:before="0" w:after="0"/>
              <w:jc w:val="center"/>
              <w:rPr>
                <w:b/>
                <w:bCs/>
                <w:noProof/>
                <w:color w:val="000000"/>
                <w:sz w:val="18"/>
                <w:szCs w:val="18"/>
              </w:rPr>
            </w:pPr>
            <w:r w:rsidRPr="00047543">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25D00074" w14:textId="77777777" w:rsidR="00A27CF2" w:rsidRPr="00047543" w:rsidRDefault="00A27CF2">
            <w:pPr>
              <w:spacing w:before="0" w:after="0"/>
              <w:jc w:val="left"/>
              <w:rPr>
                <w:b/>
                <w:bCs/>
                <w:noProof/>
                <w:color w:val="000000"/>
                <w:sz w:val="18"/>
                <w:szCs w:val="18"/>
                <w:lang w:eastAsia="en-IE"/>
              </w:rPr>
            </w:pPr>
          </w:p>
        </w:tc>
      </w:tr>
      <w:tr w:rsidR="00A27CF2" w:rsidRPr="00047543" w14:paraId="0D358207"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D1B5917" w14:textId="77777777" w:rsidR="00A27CF2" w:rsidRPr="00047543" w:rsidRDefault="00A27CF2">
            <w:pPr>
              <w:spacing w:before="0" w:after="0"/>
              <w:jc w:val="left"/>
              <w:rPr>
                <w:b/>
                <w:bCs/>
                <w:noProof/>
                <w:sz w:val="16"/>
                <w:szCs w:val="16"/>
              </w:rPr>
            </w:pPr>
            <w:r w:rsidRPr="00047543">
              <w:rPr>
                <w:b/>
                <w:noProof/>
                <w:sz w:val="16"/>
              </w:rPr>
              <w:t>RUBRIK 7</w:t>
            </w:r>
          </w:p>
        </w:tc>
      </w:tr>
      <w:tr w:rsidR="00A27CF2" w:rsidRPr="00047543" w14:paraId="1D9BD480"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58CA02A2" w14:textId="77777777" w:rsidR="00A27CF2" w:rsidRPr="00047543" w:rsidRDefault="00A27CF2">
            <w:pPr>
              <w:spacing w:before="0" w:after="0"/>
              <w:jc w:val="left"/>
              <w:rPr>
                <w:noProof/>
                <w:color w:val="000000"/>
                <w:sz w:val="16"/>
                <w:szCs w:val="16"/>
              </w:rPr>
            </w:pPr>
            <w:r w:rsidRPr="00047543">
              <w:rPr>
                <w:noProof/>
                <w:color w:val="000000"/>
                <w:sz w:val="16"/>
              </w:rPr>
              <w:t xml:space="preserve">Personalresurser </w:t>
            </w:r>
          </w:p>
        </w:tc>
        <w:tc>
          <w:tcPr>
            <w:tcW w:w="553" w:type="pct"/>
            <w:tcBorders>
              <w:top w:val="nil"/>
              <w:left w:val="nil"/>
              <w:bottom w:val="single" w:sz="8" w:space="0" w:color="auto"/>
              <w:right w:val="single" w:sz="8" w:space="0" w:color="auto"/>
            </w:tcBorders>
            <w:shd w:val="clear" w:color="000000" w:fill="D9D9D9"/>
            <w:vAlign w:val="center"/>
            <w:hideMark/>
          </w:tcPr>
          <w:p w14:paraId="58D3F49D"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65C1D3A"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6DA0D05"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6322F38"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1E4A25E0"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01AE265D"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7E33E8F8" w14:textId="77777777" w:rsidR="00A27CF2" w:rsidRPr="00047543" w:rsidRDefault="00A27CF2">
            <w:pPr>
              <w:spacing w:before="0" w:after="0"/>
              <w:jc w:val="left"/>
              <w:rPr>
                <w:noProof/>
                <w:color w:val="000000"/>
                <w:sz w:val="16"/>
                <w:szCs w:val="16"/>
              </w:rPr>
            </w:pPr>
            <w:r w:rsidRPr="00047543">
              <w:rPr>
                <w:noProof/>
                <w:color w:val="000000"/>
                <w:sz w:val="16"/>
              </w:rPr>
              <w:t xml:space="preserve">Övriga administrativa utgifter </w:t>
            </w:r>
          </w:p>
        </w:tc>
        <w:tc>
          <w:tcPr>
            <w:tcW w:w="553" w:type="pct"/>
            <w:tcBorders>
              <w:top w:val="nil"/>
              <w:left w:val="nil"/>
              <w:bottom w:val="single" w:sz="8" w:space="0" w:color="auto"/>
              <w:right w:val="single" w:sz="8" w:space="0" w:color="auto"/>
            </w:tcBorders>
            <w:shd w:val="clear" w:color="000000" w:fill="D9D9D9"/>
            <w:vAlign w:val="center"/>
            <w:hideMark/>
          </w:tcPr>
          <w:p w14:paraId="287D7452"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FE43BF0"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1DC5156"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C29207E"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0D049DA"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6AEC2283" w14:textId="7777777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11025C22" w14:textId="77777777" w:rsidR="00A27CF2" w:rsidRPr="00047543" w:rsidRDefault="00A27CF2">
            <w:pPr>
              <w:spacing w:before="0" w:after="0"/>
              <w:jc w:val="center"/>
              <w:rPr>
                <w:b/>
                <w:bCs/>
                <w:noProof/>
                <w:color w:val="000000"/>
                <w:sz w:val="16"/>
                <w:szCs w:val="16"/>
              </w:rPr>
            </w:pPr>
            <w:r w:rsidRPr="00047543">
              <w:rPr>
                <w:b/>
                <w:noProof/>
                <w:color w:val="000000"/>
                <w:sz w:val="16"/>
              </w:rPr>
              <w:t>Delsumma för RUBRIK 7</w:t>
            </w:r>
          </w:p>
        </w:tc>
        <w:tc>
          <w:tcPr>
            <w:tcW w:w="553" w:type="pct"/>
            <w:tcBorders>
              <w:top w:val="nil"/>
              <w:left w:val="nil"/>
              <w:bottom w:val="single" w:sz="8" w:space="0" w:color="auto"/>
              <w:right w:val="single" w:sz="8" w:space="0" w:color="auto"/>
            </w:tcBorders>
            <w:shd w:val="clear" w:color="000000" w:fill="D9D9D9"/>
            <w:vAlign w:val="center"/>
            <w:hideMark/>
          </w:tcPr>
          <w:p w14:paraId="22954D7C"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4CA6350"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7350E906"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20879C7"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1A347EAB"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746F4C49"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7FF4FBDD" w14:textId="77777777" w:rsidR="00A27CF2" w:rsidRPr="00047543" w:rsidRDefault="00A27CF2">
            <w:pPr>
              <w:spacing w:before="0" w:after="0"/>
              <w:jc w:val="left"/>
              <w:rPr>
                <w:b/>
                <w:bCs/>
                <w:noProof/>
                <w:sz w:val="16"/>
                <w:szCs w:val="16"/>
              </w:rPr>
            </w:pPr>
            <w:r w:rsidRPr="00047543">
              <w:rPr>
                <w:b/>
                <w:noProof/>
                <w:sz w:val="16"/>
              </w:rPr>
              <w:t>Utanför RUBRIK 7</w:t>
            </w:r>
          </w:p>
        </w:tc>
      </w:tr>
      <w:tr w:rsidR="00A27CF2" w:rsidRPr="00047543" w14:paraId="1C9C2753"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6CCE8839" w14:textId="77777777" w:rsidR="00A27CF2" w:rsidRPr="00047543" w:rsidRDefault="00A27CF2">
            <w:pPr>
              <w:spacing w:before="0" w:after="0"/>
              <w:jc w:val="left"/>
              <w:rPr>
                <w:noProof/>
                <w:color w:val="000000"/>
                <w:sz w:val="16"/>
                <w:szCs w:val="16"/>
              </w:rPr>
            </w:pPr>
            <w:r w:rsidRPr="00047543">
              <w:rPr>
                <w:noProof/>
                <w:color w:val="000000"/>
                <w:sz w:val="16"/>
              </w:rPr>
              <w:t xml:space="preserve">Personalresurser </w:t>
            </w:r>
          </w:p>
        </w:tc>
        <w:tc>
          <w:tcPr>
            <w:tcW w:w="553" w:type="pct"/>
            <w:tcBorders>
              <w:top w:val="nil"/>
              <w:left w:val="nil"/>
              <w:bottom w:val="single" w:sz="8" w:space="0" w:color="auto"/>
              <w:right w:val="single" w:sz="8" w:space="0" w:color="auto"/>
            </w:tcBorders>
            <w:shd w:val="clear" w:color="000000" w:fill="D9D9D9"/>
            <w:vAlign w:val="center"/>
            <w:hideMark/>
          </w:tcPr>
          <w:p w14:paraId="4A4CEEB7"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46EADA3"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50800D0"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F13E0B0"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89F9175"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6E267F2B"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2D9D4B55" w14:textId="77777777" w:rsidR="00A27CF2" w:rsidRPr="00047543" w:rsidRDefault="00A27CF2">
            <w:pPr>
              <w:spacing w:before="0" w:after="0"/>
              <w:jc w:val="left"/>
              <w:rPr>
                <w:noProof/>
                <w:color w:val="000000"/>
                <w:sz w:val="16"/>
                <w:szCs w:val="16"/>
              </w:rPr>
            </w:pPr>
            <w:r w:rsidRPr="00047543">
              <w:rPr>
                <w:noProof/>
                <w:color w:val="000000"/>
                <w:sz w:val="16"/>
              </w:rPr>
              <w:t>Andra utgifter av administrativ natur</w:t>
            </w:r>
          </w:p>
        </w:tc>
        <w:tc>
          <w:tcPr>
            <w:tcW w:w="553" w:type="pct"/>
            <w:tcBorders>
              <w:top w:val="nil"/>
              <w:left w:val="nil"/>
              <w:bottom w:val="single" w:sz="8" w:space="0" w:color="auto"/>
              <w:right w:val="single" w:sz="8" w:space="0" w:color="auto"/>
            </w:tcBorders>
            <w:shd w:val="clear" w:color="000000" w:fill="D9D9D9"/>
            <w:vAlign w:val="center"/>
            <w:hideMark/>
          </w:tcPr>
          <w:p w14:paraId="065FCDDB"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468F319"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942C3D2"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15F42E7"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7E967C2B"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0301C865" w14:textId="77777777">
        <w:trPr>
          <w:trHeight w:val="300"/>
        </w:trPr>
        <w:tc>
          <w:tcPr>
            <w:tcW w:w="2167" w:type="pct"/>
            <w:tcBorders>
              <w:top w:val="nil"/>
              <w:left w:val="single" w:sz="8" w:space="0" w:color="auto"/>
              <w:bottom w:val="single" w:sz="8" w:space="0" w:color="auto"/>
              <w:right w:val="single" w:sz="8" w:space="0" w:color="auto"/>
            </w:tcBorders>
            <w:shd w:val="clear" w:color="000000" w:fill="CCCCCC"/>
            <w:vAlign w:val="center"/>
            <w:hideMark/>
          </w:tcPr>
          <w:p w14:paraId="55E99712" w14:textId="77777777" w:rsidR="00A27CF2" w:rsidRPr="00047543" w:rsidRDefault="00A27CF2">
            <w:pPr>
              <w:spacing w:before="0" w:after="0"/>
              <w:jc w:val="center"/>
              <w:rPr>
                <w:b/>
                <w:bCs/>
                <w:noProof/>
                <w:color w:val="000000"/>
                <w:sz w:val="16"/>
                <w:szCs w:val="16"/>
              </w:rPr>
            </w:pPr>
            <w:r w:rsidRPr="00047543">
              <w:rPr>
                <w:b/>
                <w:noProof/>
                <w:color w:val="000000"/>
                <w:sz w:val="16"/>
              </w:rPr>
              <w:t>Delsumma utanför RUBRIK 7</w:t>
            </w:r>
          </w:p>
        </w:tc>
        <w:tc>
          <w:tcPr>
            <w:tcW w:w="553" w:type="pct"/>
            <w:tcBorders>
              <w:top w:val="nil"/>
              <w:left w:val="nil"/>
              <w:bottom w:val="single" w:sz="8" w:space="0" w:color="auto"/>
              <w:right w:val="single" w:sz="8" w:space="0" w:color="auto"/>
            </w:tcBorders>
            <w:shd w:val="clear" w:color="000000" w:fill="D9D9D9"/>
            <w:vAlign w:val="center"/>
            <w:hideMark/>
          </w:tcPr>
          <w:p w14:paraId="7D557084"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1CA7622"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F22CBB1"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4ED413B"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2CEC5EE8"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7BD0FFFB"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7671838F" w14:textId="77777777" w:rsidR="00A27CF2" w:rsidRPr="00047543" w:rsidRDefault="00A27CF2">
            <w:pPr>
              <w:spacing w:before="0" w:after="0"/>
              <w:jc w:val="center"/>
              <w:rPr>
                <w:noProof/>
                <w:color w:val="000000"/>
                <w:sz w:val="16"/>
                <w:szCs w:val="16"/>
              </w:rPr>
            </w:pPr>
            <w:r w:rsidRPr="00047543">
              <w:rPr>
                <w:noProof/>
                <w:color w:val="000000"/>
                <w:sz w:val="16"/>
              </w:rPr>
              <w:t xml:space="preserve"> </w:t>
            </w:r>
          </w:p>
        </w:tc>
      </w:tr>
      <w:tr w:rsidR="00A27CF2" w:rsidRPr="00047543" w14:paraId="77507963" w14:textId="77777777">
        <w:trPr>
          <w:trHeight w:val="300"/>
        </w:trPr>
        <w:tc>
          <w:tcPr>
            <w:tcW w:w="2167" w:type="pct"/>
            <w:tcBorders>
              <w:top w:val="nil"/>
              <w:left w:val="single" w:sz="8" w:space="0" w:color="auto"/>
              <w:bottom w:val="single" w:sz="8" w:space="0" w:color="auto"/>
              <w:right w:val="single" w:sz="8" w:space="0" w:color="auto"/>
            </w:tcBorders>
            <w:vAlign w:val="center"/>
            <w:hideMark/>
          </w:tcPr>
          <w:p w14:paraId="1BF93AD8" w14:textId="77777777" w:rsidR="00A27CF2" w:rsidRPr="00047543" w:rsidRDefault="00A27CF2">
            <w:pPr>
              <w:spacing w:before="0" w:after="0"/>
              <w:jc w:val="center"/>
              <w:rPr>
                <w:b/>
                <w:bCs/>
                <w:noProof/>
                <w:color w:val="000000"/>
                <w:sz w:val="16"/>
                <w:szCs w:val="16"/>
              </w:rPr>
            </w:pPr>
            <w:r w:rsidRPr="00047543">
              <w:rPr>
                <w:b/>
                <w:noProof/>
                <w:color w:val="000000"/>
                <w:sz w:val="16"/>
              </w:rPr>
              <w:t>TOTALT</w:t>
            </w:r>
          </w:p>
        </w:tc>
        <w:tc>
          <w:tcPr>
            <w:tcW w:w="553" w:type="pct"/>
            <w:tcBorders>
              <w:top w:val="nil"/>
              <w:left w:val="nil"/>
              <w:bottom w:val="single" w:sz="8" w:space="0" w:color="auto"/>
              <w:right w:val="single" w:sz="8" w:space="0" w:color="auto"/>
            </w:tcBorders>
            <w:shd w:val="clear" w:color="000000" w:fill="D9D9D9"/>
            <w:vAlign w:val="center"/>
            <w:hideMark/>
          </w:tcPr>
          <w:p w14:paraId="43533148"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9967590"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C29106B"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E67C36B"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4DC0C4F3"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bl>
    <w:p w14:paraId="654DC65F" w14:textId="77777777" w:rsidR="00A27CF2" w:rsidRPr="00047543" w:rsidRDefault="00A27CF2" w:rsidP="00A27CF2">
      <w:pPr>
        <w:pStyle w:val="ManualHeading3"/>
        <w:rPr>
          <w:noProof/>
        </w:rPr>
      </w:pPr>
      <w:r w:rsidRPr="00047543">
        <w:rPr>
          <w:noProof/>
        </w:rPr>
        <w:t>3.2.3.2</w:t>
      </w:r>
      <w:r w:rsidRPr="00047543">
        <w:rPr>
          <w:noProof/>
        </w:rPr>
        <w:tab/>
        <w:t>Anslag från externa inkomster avsatta för särskilda ändamål</w:t>
      </w:r>
    </w:p>
    <w:tbl>
      <w:tblPr>
        <w:tblW w:w="5000" w:type="pct"/>
        <w:tblLook w:val="04A0" w:firstRow="1" w:lastRow="0" w:firstColumn="1" w:lastColumn="0" w:noHBand="0" w:noVBand="1"/>
      </w:tblPr>
      <w:tblGrid>
        <w:gridCol w:w="4025"/>
        <w:gridCol w:w="1027"/>
        <w:gridCol w:w="1027"/>
        <w:gridCol w:w="1027"/>
        <w:gridCol w:w="1027"/>
        <w:gridCol w:w="1156"/>
      </w:tblGrid>
      <w:tr w:rsidR="00A27CF2" w:rsidRPr="00047543" w14:paraId="67F2309E" w14:textId="77777777">
        <w:trPr>
          <w:trHeight w:val="300"/>
        </w:trPr>
        <w:tc>
          <w:tcPr>
            <w:tcW w:w="2166" w:type="pct"/>
            <w:vMerge w:val="restart"/>
            <w:tcBorders>
              <w:top w:val="single" w:sz="8" w:space="0" w:color="auto"/>
              <w:left w:val="single" w:sz="8" w:space="0" w:color="auto"/>
              <w:bottom w:val="single" w:sz="8" w:space="0" w:color="000000"/>
              <w:right w:val="single" w:sz="8" w:space="0" w:color="auto"/>
            </w:tcBorders>
            <w:vAlign w:val="center"/>
            <w:hideMark/>
          </w:tcPr>
          <w:p w14:paraId="73C00AA4" w14:textId="77777777" w:rsidR="00A27CF2" w:rsidRPr="00047543" w:rsidRDefault="00A27CF2">
            <w:pPr>
              <w:spacing w:before="0" w:after="0"/>
              <w:jc w:val="center"/>
              <w:rPr>
                <w:b/>
                <w:bCs/>
                <w:noProof/>
                <w:color w:val="000000"/>
                <w:sz w:val="18"/>
                <w:szCs w:val="18"/>
              </w:rPr>
            </w:pPr>
            <w:r w:rsidRPr="00047543">
              <w:rPr>
                <w:b/>
                <w:noProof/>
                <w:color w:val="000000"/>
                <w:sz w:val="18"/>
              </w:rPr>
              <w:t>EXTERNA INKOMSTER AVSATTA FÖR SÄRSKILDA ÄNDAMÅL</w:t>
            </w:r>
          </w:p>
        </w:tc>
        <w:tc>
          <w:tcPr>
            <w:tcW w:w="553" w:type="pct"/>
            <w:tcBorders>
              <w:top w:val="single" w:sz="8" w:space="0" w:color="auto"/>
              <w:left w:val="nil"/>
              <w:bottom w:val="nil"/>
              <w:right w:val="single" w:sz="8" w:space="0" w:color="auto"/>
            </w:tcBorders>
            <w:vAlign w:val="center"/>
            <w:hideMark/>
          </w:tcPr>
          <w:p w14:paraId="29653781"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553" w:type="pct"/>
            <w:tcBorders>
              <w:top w:val="single" w:sz="8" w:space="0" w:color="auto"/>
              <w:left w:val="nil"/>
              <w:bottom w:val="nil"/>
              <w:right w:val="single" w:sz="8" w:space="0" w:color="auto"/>
            </w:tcBorders>
            <w:vAlign w:val="center"/>
            <w:hideMark/>
          </w:tcPr>
          <w:p w14:paraId="2B0F2881"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553" w:type="pct"/>
            <w:tcBorders>
              <w:top w:val="single" w:sz="8" w:space="0" w:color="auto"/>
              <w:left w:val="nil"/>
              <w:bottom w:val="nil"/>
              <w:right w:val="single" w:sz="8" w:space="0" w:color="auto"/>
            </w:tcBorders>
            <w:vAlign w:val="center"/>
            <w:hideMark/>
          </w:tcPr>
          <w:p w14:paraId="7F91B221"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553" w:type="pct"/>
            <w:tcBorders>
              <w:top w:val="single" w:sz="8" w:space="0" w:color="auto"/>
              <w:left w:val="nil"/>
              <w:bottom w:val="nil"/>
              <w:right w:val="single" w:sz="8" w:space="0" w:color="auto"/>
            </w:tcBorders>
            <w:vAlign w:val="center"/>
            <w:hideMark/>
          </w:tcPr>
          <w:p w14:paraId="136B90F4"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622" w:type="pct"/>
            <w:vMerge w:val="restart"/>
            <w:tcBorders>
              <w:top w:val="single" w:sz="8" w:space="0" w:color="auto"/>
              <w:left w:val="single" w:sz="8" w:space="0" w:color="auto"/>
              <w:bottom w:val="single" w:sz="8" w:space="0" w:color="000000"/>
              <w:right w:val="single" w:sz="8" w:space="0" w:color="auto"/>
            </w:tcBorders>
            <w:vAlign w:val="center"/>
            <w:hideMark/>
          </w:tcPr>
          <w:p w14:paraId="20A4A8F3" w14:textId="77777777" w:rsidR="00A27CF2" w:rsidRPr="00047543" w:rsidRDefault="00A27CF2">
            <w:pPr>
              <w:spacing w:before="0" w:after="0"/>
              <w:jc w:val="center"/>
              <w:rPr>
                <w:b/>
                <w:bCs/>
                <w:noProof/>
                <w:color w:val="000000"/>
                <w:sz w:val="18"/>
                <w:szCs w:val="18"/>
              </w:rPr>
            </w:pPr>
            <w:r w:rsidRPr="00047543">
              <w:rPr>
                <w:b/>
                <w:noProof/>
                <w:color w:val="000000"/>
                <w:sz w:val="18"/>
              </w:rPr>
              <w:t>TOTALT 2021–2027</w:t>
            </w:r>
          </w:p>
        </w:tc>
      </w:tr>
      <w:tr w:rsidR="00A27CF2" w:rsidRPr="00047543" w14:paraId="67D4C716" w14:textId="77777777">
        <w:trPr>
          <w:trHeight w:val="300"/>
        </w:trPr>
        <w:tc>
          <w:tcPr>
            <w:tcW w:w="2166" w:type="pct"/>
            <w:vMerge/>
            <w:tcBorders>
              <w:top w:val="single" w:sz="8" w:space="0" w:color="auto"/>
              <w:left w:val="single" w:sz="8" w:space="0" w:color="auto"/>
              <w:bottom w:val="single" w:sz="8" w:space="0" w:color="auto"/>
              <w:right w:val="single" w:sz="8" w:space="0" w:color="auto"/>
            </w:tcBorders>
            <w:vAlign w:val="center"/>
            <w:hideMark/>
          </w:tcPr>
          <w:p w14:paraId="513FFC08" w14:textId="77777777" w:rsidR="00A27CF2" w:rsidRPr="00047543" w:rsidRDefault="00A27CF2">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1EB4A88F" w14:textId="77777777" w:rsidR="00A27CF2" w:rsidRPr="00047543" w:rsidRDefault="00A27CF2">
            <w:pPr>
              <w:spacing w:before="0" w:after="0"/>
              <w:jc w:val="center"/>
              <w:rPr>
                <w:b/>
                <w:bCs/>
                <w:noProof/>
                <w:color w:val="000000"/>
                <w:sz w:val="18"/>
                <w:szCs w:val="18"/>
              </w:rPr>
            </w:pPr>
            <w:r w:rsidRPr="00047543">
              <w:rPr>
                <w:b/>
                <w:noProof/>
                <w:color w:val="000000"/>
                <w:sz w:val="18"/>
              </w:rPr>
              <w:t>2024</w:t>
            </w:r>
          </w:p>
        </w:tc>
        <w:tc>
          <w:tcPr>
            <w:tcW w:w="553" w:type="pct"/>
            <w:tcBorders>
              <w:top w:val="nil"/>
              <w:left w:val="nil"/>
              <w:bottom w:val="single" w:sz="8" w:space="0" w:color="auto"/>
              <w:right w:val="single" w:sz="8" w:space="0" w:color="auto"/>
            </w:tcBorders>
            <w:vAlign w:val="center"/>
            <w:hideMark/>
          </w:tcPr>
          <w:p w14:paraId="13B32DC6" w14:textId="77777777" w:rsidR="00A27CF2" w:rsidRPr="00047543" w:rsidRDefault="00A27CF2">
            <w:pPr>
              <w:spacing w:before="0" w:after="0"/>
              <w:jc w:val="center"/>
              <w:rPr>
                <w:b/>
                <w:bCs/>
                <w:noProof/>
                <w:color w:val="000000"/>
                <w:sz w:val="18"/>
                <w:szCs w:val="18"/>
              </w:rPr>
            </w:pPr>
            <w:r w:rsidRPr="00047543">
              <w:rPr>
                <w:b/>
                <w:noProof/>
                <w:color w:val="000000"/>
                <w:sz w:val="18"/>
              </w:rPr>
              <w:t>2025</w:t>
            </w:r>
          </w:p>
        </w:tc>
        <w:tc>
          <w:tcPr>
            <w:tcW w:w="553" w:type="pct"/>
            <w:tcBorders>
              <w:top w:val="nil"/>
              <w:left w:val="nil"/>
              <w:bottom w:val="single" w:sz="8" w:space="0" w:color="auto"/>
              <w:right w:val="single" w:sz="8" w:space="0" w:color="auto"/>
            </w:tcBorders>
            <w:vAlign w:val="center"/>
            <w:hideMark/>
          </w:tcPr>
          <w:p w14:paraId="5BEFC4C4" w14:textId="77777777" w:rsidR="00A27CF2" w:rsidRPr="00047543" w:rsidRDefault="00A27CF2">
            <w:pPr>
              <w:spacing w:before="0" w:after="0"/>
              <w:jc w:val="center"/>
              <w:rPr>
                <w:b/>
                <w:bCs/>
                <w:noProof/>
                <w:color w:val="000000"/>
                <w:sz w:val="18"/>
                <w:szCs w:val="18"/>
              </w:rPr>
            </w:pPr>
            <w:r w:rsidRPr="00047543">
              <w:rPr>
                <w:b/>
                <w:noProof/>
                <w:color w:val="000000"/>
                <w:sz w:val="18"/>
              </w:rPr>
              <w:t>2026</w:t>
            </w:r>
          </w:p>
        </w:tc>
        <w:tc>
          <w:tcPr>
            <w:tcW w:w="553" w:type="pct"/>
            <w:tcBorders>
              <w:top w:val="nil"/>
              <w:left w:val="nil"/>
              <w:bottom w:val="single" w:sz="8" w:space="0" w:color="auto"/>
              <w:right w:val="single" w:sz="8" w:space="0" w:color="auto"/>
            </w:tcBorders>
            <w:vAlign w:val="center"/>
            <w:hideMark/>
          </w:tcPr>
          <w:p w14:paraId="185C8A1E" w14:textId="77777777" w:rsidR="00A27CF2" w:rsidRPr="00047543" w:rsidRDefault="00A27CF2">
            <w:pPr>
              <w:spacing w:before="0" w:after="0"/>
              <w:jc w:val="center"/>
              <w:rPr>
                <w:b/>
                <w:bCs/>
                <w:noProof/>
                <w:color w:val="000000"/>
                <w:sz w:val="18"/>
                <w:szCs w:val="18"/>
              </w:rPr>
            </w:pPr>
            <w:r w:rsidRPr="00047543">
              <w:rPr>
                <w:b/>
                <w:noProof/>
                <w:color w:val="000000"/>
                <w:sz w:val="18"/>
              </w:rPr>
              <w:t>2027</w:t>
            </w:r>
          </w:p>
        </w:tc>
        <w:tc>
          <w:tcPr>
            <w:tcW w:w="622" w:type="pct"/>
            <w:vMerge/>
            <w:tcBorders>
              <w:top w:val="single" w:sz="8" w:space="0" w:color="auto"/>
              <w:left w:val="single" w:sz="8" w:space="0" w:color="auto"/>
              <w:bottom w:val="single" w:sz="8" w:space="0" w:color="auto"/>
              <w:right w:val="single" w:sz="8" w:space="0" w:color="auto"/>
            </w:tcBorders>
            <w:vAlign w:val="center"/>
            <w:hideMark/>
          </w:tcPr>
          <w:p w14:paraId="312B5E7E" w14:textId="77777777" w:rsidR="00A27CF2" w:rsidRPr="00047543" w:rsidRDefault="00A27CF2">
            <w:pPr>
              <w:spacing w:before="0" w:after="0"/>
              <w:jc w:val="left"/>
              <w:rPr>
                <w:b/>
                <w:bCs/>
                <w:noProof/>
                <w:color w:val="000000"/>
                <w:sz w:val="18"/>
                <w:szCs w:val="18"/>
                <w:lang w:eastAsia="en-IE"/>
              </w:rPr>
            </w:pPr>
          </w:p>
        </w:tc>
      </w:tr>
      <w:tr w:rsidR="00A27CF2" w:rsidRPr="00047543" w14:paraId="6E4F2CD9"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68E6837C" w14:textId="77777777" w:rsidR="00A27CF2" w:rsidRPr="00047543" w:rsidRDefault="00A27CF2">
            <w:pPr>
              <w:spacing w:before="0" w:after="0"/>
              <w:jc w:val="left"/>
              <w:rPr>
                <w:b/>
                <w:bCs/>
                <w:noProof/>
                <w:sz w:val="16"/>
                <w:szCs w:val="16"/>
              </w:rPr>
            </w:pPr>
            <w:r w:rsidRPr="00047543">
              <w:rPr>
                <w:b/>
                <w:noProof/>
                <w:sz w:val="16"/>
              </w:rPr>
              <w:t>RUBRIK 7</w:t>
            </w:r>
          </w:p>
        </w:tc>
      </w:tr>
      <w:tr w:rsidR="00A27CF2" w:rsidRPr="00047543" w14:paraId="018E2702"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6E7863E2" w14:textId="77777777" w:rsidR="00A27CF2" w:rsidRPr="00047543" w:rsidRDefault="00A27CF2">
            <w:pPr>
              <w:spacing w:before="0" w:after="0"/>
              <w:jc w:val="left"/>
              <w:rPr>
                <w:noProof/>
                <w:color w:val="000000"/>
                <w:sz w:val="16"/>
                <w:szCs w:val="16"/>
              </w:rPr>
            </w:pPr>
            <w:r w:rsidRPr="00047543">
              <w:rPr>
                <w:noProof/>
                <w:color w:val="000000"/>
                <w:sz w:val="16"/>
              </w:rPr>
              <w:t xml:space="preserve">Personalresurser </w:t>
            </w:r>
          </w:p>
        </w:tc>
        <w:tc>
          <w:tcPr>
            <w:tcW w:w="553" w:type="pct"/>
            <w:tcBorders>
              <w:top w:val="nil"/>
              <w:left w:val="nil"/>
              <w:bottom w:val="single" w:sz="8" w:space="0" w:color="auto"/>
              <w:right w:val="single" w:sz="8" w:space="0" w:color="auto"/>
            </w:tcBorders>
            <w:shd w:val="clear" w:color="000000" w:fill="D9D9D9"/>
            <w:vAlign w:val="center"/>
            <w:hideMark/>
          </w:tcPr>
          <w:p w14:paraId="1B9CDA67"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B735A49"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35B9D8D"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CB80DF4"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2BFC1A6A"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0287F6B5"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457B2AAE" w14:textId="77777777" w:rsidR="00A27CF2" w:rsidRPr="00047543" w:rsidRDefault="00A27CF2">
            <w:pPr>
              <w:spacing w:before="0" w:after="0"/>
              <w:jc w:val="left"/>
              <w:rPr>
                <w:noProof/>
                <w:color w:val="000000"/>
                <w:sz w:val="16"/>
                <w:szCs w:val="16"/>
              </w:rPr>
            </w:pPr>
            <w:r w:rsidRPr="00047543">
              <w:rPr>
                <w:noProof/>
                <w:color w:val="000000"/>
                <w:sz w:val="16"/>
              </w:rPr>
              <w:t xml:space="preserve">Övriga administrativa utgifter </w:t>
            </w:r>
          </w:p>
        </w:tc>
        <w:tc>
          <w:tcPr>
            <w:tcW w:w="553" w:type="pct"/>
            <w:tcBorders>
              <w:top w:val="nil"/>
              <w:left w:val="nil"/>
              <w:bottom w:val="single" w:sz="8" w:space="0" w:color="auto"/>
              <w:right w:val="single" w:sz="8" w:space="0" w:color="auto"/>
            </w:tcBorders>
            <w:shd w:val="clear" w:color="000000" w:fill="D9D9D9"/>
            <w:vAlign w:val="center"/>
            <w:hideMark/>
          </w:tcPr>
          <w:p w14:paraId="21211C79"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E4E02EF"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61D34E68"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273E5D8"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33453ED3"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02076571" w14:textId="77777777">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14:paraId="35101DE6" w14:textId="77777777" w:rsidR="00A27CF2" w:rsidRPr="00047543" w:rsidRDefault="00A27CF2">
            <w:pPr>
              <w:spacing w:before="0" w:after="0"/>
              <w:jc w:val="center"/>
              <w:rPr>
                <w:b/>
                <w:bCs/>
                <w:noProof/>
                <w:color w:val="000000"/>
                <w:sz w:val="16"/>
                <w:szCs w:val="16"/>
              </w:rPr>
            </w:pPr>
            <w:r w:rsidRPr="00047543">
              <w:rPr>
                <w:b/>
                <w:noProof/>
                <w:color w:val="000000"/>
                <w:sz w:val="16"/>
              </w:rPr>
              <w:t>Delsumma för RUBRIK 7</w:t>
            </w:r>
          </w:p>
        </w:tc>
        <w:tc>
          <w:tcPr>
            <w:tcW w:w="553" w:type="pct"/>
            <w:tcBorders>
              <w:top w:val="nil"/>
              <w:left w:val="nil"/>
              <w:bottom w:val="single" w:sz="8" w:space="0" w:color="auto"/>
              <w:right w:val="single" w:sz="8" w:space="0" w:color="auto"/>
            </w:tcBorders>
            <w:shd w:val="clear" w:color="000000" w:fill="D9D9D9"/>
            <w:vAlign w:val="center"/>
            <w:hideMark/>
          </w:tcPr>
          <w:p w14:paraId="4657D779"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2F22269"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E1EEDBD"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3932C19"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500F9D03"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45895A1C"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70CB625C" w14:textId="77777777" w:rsidR="00A27CF2" w:rsidRPr="00047543" w:rsidRDefault="00A27CF2">
            <w:pPr>
              <w:spacing w:before="0" w:after="0"/>
              <w:jc w:val="left"/>
              <w:rPr>
                <w:b/>
                <w:bCs/>
                <w:noProof/>
                <w:sz w:val="16"/>
                <w:szCs w:val="16"/>
              </w:rPr>
            </w:pPr>
            <w:r w:rsidRPr="00047543">
              <w:rPr>
                <w:b/>
                <w:noProof/>
                <w:sz w:val="16"/>
              </w:rPr>
              <w:t>Utanför RUBRIK 7</w:t>
            </w:r>
          </w:p>
        </w:tc>
      </w:tr>
      <w:tr w:rsidR="00A27CF2" w:rsidRPr="00047543" w14:paraId="3C241FDF"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4152CA4D" w14:textId="77777777" w:rsidR="00A27CF2" w:rsidRPr="00047543" w:rsidRDefault="00A27CF2">
            <w:pPr>
              <w:spacing w:before="0" w:after="0"/>
              <w:jc w:val="left"/>
              <w:rPr>
                <w:noProof/>
                <w:color w:val="000000"/>
                <w:sz w:val="16"/>
                <w:szCs w:val="16"/>
              </w:rPr>
            </w:pPr>
            <w:r w:rsidRPr="00047543">
              <w:rPr>
                <w:noProof/>
                <w:color w:val="000000"/>
                <w:sz w:val="16"/>
              </w:rPr>
              <w:t xml:space="preserve">Personalresurser </w:t>
            </w:r>
          </w:p>
        </w:tc>
        <w:tc>
          <w:tcPr>
            <w:tcW w:w="553" w:type="pct"/>
            <w:tcBorders>
              <w:top w:val="nil"/>
              <w:left w:val="nil"/>
              <w:bottom w:val="single" w:sz="8" w:space="0" w:color="auto"/>
              <w:right w:val="single" w:sz="8" w:space="0" w:color="auto"/>
            </w:tcBorders>
            <w:shd w:val="clear" w:color="000000" w:fill="D9D9D9"/>
            <w:vAlign w:val="center"/>
            <w:hideMark/>
          </w:tcPr>
          <w:p w14:paraId="2027B58E"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E6CCA4D"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E99AAEA"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83E9CAB"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650CEE70"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0AF80BF3" w14:textId="77777777">
        <w:trPr>
          <w:trHeight w:val="300"/>
        </w:trPr>
        <w:tc>
          <w:tcPr>
            <w:tcW w:w="2166" w:type="pct"/>
            <w:tcBorders>
              <w:top w:val="nil"/>
              <w:left w:val="single" w:sz="8" w:space="0" w:color="auto"/>
              <w:bottom w:val="single" w:sz="8" w:space="0" w:color="auto"/>
              <w:right w:val="single" w:sz="8" w:space="0" w:color="auto"/>
            </w:tcBorders>
            <w:vAlign w:val="center"/>
            <w:hideMark/>
          </w:tcPr>
          <w:p w14:paraId="50E7780A" w14:textId="77777777" w:rsidR="00A27CF2" w:rsidRPr="00047543" w:rsidRDefault="00A27CF2">
            <w:pPr>
              <w:spacing w:before="0" w:after="0"/>
              <w:jc w:val="left"/>
              <w:rPr>
                <w:noProof/>
                <w:color w:val="000000"/>
                <w:sz w:val="16"/>
                <w:szCs w:val="16"/>
              </w:rPr>
            </w:pPr>
            <w:r w:rsidRPr="00047543">
              <w:rPr>
                <w:noProof/>
                <w:color w:val="000000"/>
                <w:sz w:val="16"/>
              </w:rPr>
              <w:t>Andra utgifter av administrativ natur</w:t>
            </w:r>
          </w:p>
        </w:tc>
        <w:tc>
          <w:tcPr>
            <w:tcW w:w="553" w:type="pct"/>
            <w:tcBorders>
              <w:top w:val="nil"/>
              <w:left w:val="nil"/>
              <w:bottom w:val="single" w:sz="8" w:space="0" w:color="auto"/>
              <w:right w:val="single" w:sz="8" w:space="0" w:color="auto"/>
            </w:tcBorders>
            <w:shd w:val="clear" w:color="000000" w:fill="D9D9D9"/>
            <w:vAlign w:val="center"/>
            <w:hideMark/>
          </w:tcPr>
          <w:p w14:paraId="5AF50327"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486E21D"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459D1813"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6B16AD1"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4F5BAC91"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50A626ED" w14:textId="77777777">
        <w:trPr>
          <w:trHeight w:val="300"/>
        </w:trPr>
        <w:tc>
          <w:tcPr>
            <w:tcW w:w="2166" w:type="pct"/>
            <w:tcBorders>
              <w:top w:val="nil"/>
              <w:left w:val="single" w:sz="8" w:space="0" w:color="auto"/>
              <w:bottom w:val="single" w:sz="8" w:space="0" w:color="auto"/>
              <w:right w:val="single" w:sz="8" w:space="0" w:color="auto"/>
            </w:tcBorders>
            <w:shd w:val="clear" w:color="000000" w:fill="CCCCCC"/>
            <w:vAlign w:val="center"/>
            <w:hideMark/>
          </w:tcPr>
          <w:p w14:paraId="68EF1183" w14:textId="77777777" w:rsidR="00A27CF2" w:rsidRPr="00047543" w:rsidRDefault="00A27CF2">
            <w:pPr>
              <w:spacing w:before="0" w:after="0"/>
              <w:jc w:val="center"/>
              <w:rPr>
                <w:b/>
                <w:bCs/>
                <w:noProof/>
                <w:color w:val="000000"/>
                <w:sz w:val="16"/>
                <w:szCs w:val="16"/>
              </w:rPr>
            </w:pPr>
            <w:r w:rsidRPr="00047543">
              <w:rPr>
                <w:b/>
                <w:noProof/>
                <w:color w:val="000000"/>
                <w:sz w:val="16"/>
              </w:rPr>
              <w:t>Delsumma utanför RUBRIK 7</w:t>
            </w:r>
          </w:p>
        </w:tc>
        <w:tc>
          <w:tcPr>
            <w:tcW w:w="553" w:type="pct"/>
            <w:tcBorders>
              <w:top w:val="nil"/>
              <w:left w:val="nil"/>
              <w:bottom w:val="single" w:sz="8" w:space="0" w:color="auto"/>
              <w:right w:val="single" w:sz="8" w:space="0" w:color="auto"/>
            </w:tcBorders>
            <w:shd w:val="clear" w:color="000000" w:fill="D9D9D9"/>
            <w:vAlign w:val="center"/>
            <w:hideMark/>
          </w:tcPr>
          <w:p w14:paraId="367FBD2F"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D8991CF"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01AB94F5"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2E7E3DEB"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622" w:type="pct"/>
            <w:tcBorders>
              <w:top w:val="nil"/>
              <w:left w:val="nil"/>
              <w:bottom w:val="single" w:sz="8" w:space="0" w:color="auto"/>
              <w:right w:val="single" w:sz="8" w:space="0" w:color="auto"/>
            </w:tcBorders>
            <w:shd w:val="clear" w:color="000000" w:fill="D9D9D9"/>
            <w:vAlign w:val="center"/>
            <w:hideMark/>
          </w:tcPr>
          <w:p w14:paraId="3C1A1BB8"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02CA0891"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11303E13" w14:textId="77777777" w:rsidR="00A27CF2" w:rsidRPr="00047543" w:rsidRDefault="00A27CF2">
            <w:pPr>
              <w:spacing w:before="0" w:after="0"/>
              <w:jc w:val="center"/>
              <w:rPr>
                <w:noProof/>
                <w:color w:val="000000"/>
                <w:sz w:val="16"/>
                <w:szCs w:val="16"/>
              </w:rPr>
            </w:pPr>
            <w:r w:rsidRPr="00047543">
              <w:rPr>
                <w:noProof/>
                <w:color w:val="000000"/>
                <w:sz w:val="16"/>
              </w:rPr>
              <w:t xml:space="preserve"> </w:t>
            </w:r>
          </w:p>
        </w:tc>
      </w:tr>
      <w:tr w:rsidR="00A27CF2" w:rsidRPr="00047543" w14:paraId="338C67B8" w14:textId="77777777">
        <w:trPr>
          <w:trHeight w:val="312"/>
        </w:trPr>
        <w:tc>
          <w:tcPr>
            <w:tcW w:w="2166" w:type="pct"/>
            <w:tcBorders>
              <w:top w:val="single" w:sz="12" w:space="0" w:color="auto"/>
              <w:left w:val="single" w:sz="12" w:space="0" w:color="auto"/>
              <w:bottom w:val="single" w:sz="12" w:space="0" w:color="auto"/>
              <w:right w:val="single" w:sz="8" w:space="0" w:color="auto"/>
            </w:tcBorders>
            <w:vAlign w:val="center"/>
            <w:hideMark/>
          </w:tcPr>
          <w:p w14:paraId="1BB755DB" w14:textId="77777777" w:rsidR="00A27CF2" w:rsidRPr="00047543" w:rsidRDefault="00A27CF2">
            <w:pPr>
              <w:spacing w:before="0" w:after="0"/>
              <w:jc w:val="center"/>
              <w:rPr>
                <w:b/>
                <w:bCs/>
                <w:noProof/>
                <w:color w:val="000000"/>
                <w:sz w:val="16"/>
                <w:szCs w:val="16"/>
              </w:rPr>
            </w:pPr>
            <w:r w:rsidRPr="00047543">
              <w:rPr>
                <w:b/>
                <w:noProof/>
                <w:color w:val="000000"/>
                <w:sz w:val="16"/>
              </w:rPr>
              <w:t>TOTALT</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6365685C"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44616BEF"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687699D8"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553" w:type="pct"/>
            <w:tcBorders>
              <w:top w:val="single" w:sz="12" w:space="0" w:color="auto"/>
              <w:left w:val="nil"/>
              <w:bottom w:val="single" w:sz="12" w:space="0" w:color="auto"/>
              <w:right w:val="single" w:sz="8" w:space="0" w:color="auto"/>
            </w:tcBorders>
            <w:shd w:val="clear" w:color="000000" w:fill="D9D9D9"/>
            <w:vAlign w:val="center"/>
            <w:hideMark/>
          </w:tcPr>
          <w:p w14:paraId="28F8F47F"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622" w:type="pct"/>
            <w:tcBorders>
              <w:top w:val="single" w:sz="12" w:space="0" w:color="auto"/>
              <w:left w:val="nil"/>
              <w:bottom w:val="single" w:sz="12" w:space="0" w:color="auto"/>
              <w:right w:val="single" w:sz="8" w:space="0" w:color="auto"/>
            </w:tcBorders>
            <w:shd w:val="clear" w:color="000000" w:fill="D9D9D9"/>
            <w:vAlign w:val="center"/>
            <w:hideMark/>
          </w:tcPr>
          <w:p w14:paraId="71C87DBB"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bl>
    <w:p w14:paraId="2C73D031" w14:textId="77777777" w:rsidR="00A27CF2" w:rsidRPr="00047543" w:rsidRDefault="00A27CF2" w:rsidP="00A27CF2">
      <w:pPr>
        <w:pStyle w:val="ManualHeading3"/>
        <w:rPr>
          <w:noProof/>
        </w:rPr>
      </w:pPr>
      <w:r w:rsidRPr="00047543">
        <w:rPr>
          <w:noProof/>
        </w:rPr>
        <w:t>3.2.3.3</w:t>
      </w:r>
      <w:r w:rsidRPr="00047543">
        <w:rPr>
          <w:noProof/>
        </w:rPr>
        <w:tab/>
        <w:t>Totala anslag</w:t>
      </w:r>
    </w:p>
    <w:tbl>
      <w:tblPr>
        <w:tblW w:w="8680" w:type="dxa"/>
        <w:tblLook w:val="04A0" w:firstRow="1" w:lastRow="0" w:firstColumn="1" w:lastColumn="0" w:noHBand="0" w:noVBand="1"/>
      </w:tblPr>
      <w:tblGrid>
        <w:gridCol w:w="3760"/>
        <w:gridCol w:w="960"/>
        <w:gridCol w:w="960"/>
        <w:gridCol w:w="960"/>
        <w:gridCol w:w="960"/>
        <w:gridCol w:w="1080"/>
      </w:tblGrid>
      <w:tr w:rsidR="00A27CF2" w:rsidRPr="00047543" w14:paraId="52012AD2" w14:textId="77777777">
        <w:trPr>
          <w:trHeight w:val="519"/>
        </w:trPr>
        <w:tc>
          <w:tcPr>
            <w:tcW w:w="3760" w:type="dxa"/>
            <w:vMerge w:val="restart"/>
            <w:tcBorders>
              <w:top w:val="single" w:sz="8" w:space="0" w:color="auto"/>
              <w:left w:val="single" w:sz="8" w:space="0" w:color="auto"/>
              <w:bottom w:val="single" w:sz="8" w:space="0" w:color="000000"/>
              <w:right w:val="single" w:sz="8" w:space="0" w:color="auto"/>
            </w:tcBorders>
            <w:vAlign w:val="center"/>
            <w:hideMark/>
          </w:tcPr>
          <w:p w14:paraId="7206B32D" w14:textId="77777777" w:rsidR="00A27CF2" w:rsidRPr="00047543" w:rsidRDefault="00A27CF2">
            <w:pPr>
              <w:spacing w:before="0" w:after="0"/>
              <w:jc w:val="center"/>
              <w:rPr>
                <w:b/>
                <w:bCs/>
                <w:noProof/>
                <w:color w:val="000000"/>
                <w:sz w:val="18"/>
                <w:szCs w:val="18"/>
              </w:rPr>
            </w:pPr>
            <w:r w:rsidRPr="00047543">
              <w:rPr>
                <w:b/>
                <w:noProof/>
                <w:color w:val="000000"/>
                <w:sz w:val="18"/>
              </w:rPr>
              <w:t>TOTALA</w:t>
            </w:r>
            <w:r w:rsidRPr="00047543">
              <w:rPr>
                <w:noProof/>
              </w:rPr>
              <w:t xml:space="preserve"> </w:t>
            </w:r>
            <w:r w:rsidRPr="00047543">
              <w:rPr>
                <w:noProof/>
              </w:rPr>
              <w:cr/>
            </w:r>
            <w:r w:rsidRPr="00047543">
              <w:rPr>
                <w:noProof/>
              </w:rPr>
              <w:br/>
            </w:r>
            <w:r w:rsidRPr="00047543">
              <w:rPr>
                <w:b/>
                <w:noProof/>
                <w:color w:val="000000"/>
                <w:sz w:val="18"/>
              </w:rPr>
              <w:t>ANTAGNA ANSLAG + EXTERNA INKOMSTER AVSATTA FÖR SÄRSKILDA ÄNDAMÅL</w:t>
            </w:r>
          </w:p>
        </w:tc>
        <w:tc>
          <w:tcPr>
            <w:tcW w:w="960" w:type="dxa"/>
            <w:tcBorders>
              <w:top w:val="single" w:sz="8" w:space="0" w:color="auto"/>
              <w:left w:val="nil"/>
              <w:bottom w:val="nil"/>
              <w:right w:val="single" w:sz="8" w:space="0" w:color="auto"/>
            </w:tcBorders>
            <w:vAlign w:val="center"/>
            <w:hideMark/>
          </w:tcPr>
          <w:p w14:paraId="0614BB37"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960" w:type="dxa"/>
            <w:tcBorders>
              <w:top w:val="single" w:sz="8" w:space="0" w:color="auto"/>
              <w:left w:val="nil"/>
              <w:bottom w:val="nil"/>
              <w:right w:val="single" w:sz="8" w:space="0" w:color="auto"/>
            </w:tcBorders>
            <w:vAlign w:val="center"/>
            <w:hideMark/>
          </w:tcPr>
          <w:p w14:paraId="645ED5D1"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960" w:type="dxa"/>
            <w:tcBorders>
              <w:top w:val="single" w:sz="8" w:space="0" w:color="auto"/>
              <w:left w:val="nil"/>
              <w:bottom w:val="nil"/>
              <w:right w:val="single" w:sz="8" w:space="0" w:color="auto"/>
            </w:tcBorders>
            <w:vAlign w:val="center"/>
            <w:hideMark/>
          </w:tcPr>
          <w:p w14:paraId="253D8C8B"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960" w:type="dxa"/>
            <w:tcBorders>
              <w:top w:val="single" w:sz="8" w:space="0" w:color="auto"/>
              <w:left w:val="nil"/>
              <w:bottom w:val="nil"/>
              <w:right w:val="single" w:sz="8" w:space="0" w:color="auto"/>
            </w:tcBorders>
            <w:vAlign w:val="center"/>
            <w:hideMark/>
          </w:tcPr>
          <w:p w14:paraId="45456D43" w14:textId="77777777" w:rsidR="00A27CF2" w:rsidRPr="00047543" w:rsidRDefault="00A27CF2">
            <w:pPr>
              <w:spacing w:before="0" w:after="0"/>
              <w:jc w:val="center"/>
              <w:rPr>
                <w:noProof/>
                <w:color w:val="000000"/>
                <w:sz w:val="18"/>
                <w:szCs w:val="18"/>
              </w:rPr>
            </w:pPr>
            <w:r w:rsidRPr="00047543">
              <w:rPr>
                <w:noProof/>
                <w:color w:val="000000"/>
                <w:sz w:val="18"/>
              </w:rPr>
              <w:t>År</w:t>
            </w:r>
          </w:p>
        </w:tc>
        <w:tc>
          <w:tcPr>
            <w:tcW w:w="1080" w:type="dxa"/>
            <w:vMerge w:val="restart"/>
            <w:tcBorders>
              <w:top w:val="single" w:sz="8" w:space="0" w:color="auto"/>
              <w:left w:val="single" w:sz="8" w:space="0" w:color="auto"/>
              <w:bottom w:val="single" w:sz="8" w:space="0" w:color="000000"/>
              <w:right w:val="single" w:sz="8" w:space="0" w:color="auto"/>
            </w:tcBorders>
            <w:vAlign w:val="center"/>
            <w:hideMark/>
          </w:tcPr>
          <w:p w14:paraId="137D8918" w14:textId="77777777" w:rsidR="00A27CF2" w:rsidRPr="00047543" w:rsidRDefault="00A27CF2">
            <w:pPr>
              <w:spacing w:before="0" w:after="0"/>
              <w:jc w:val="center"/>
              <w:rPr>
                <w:b/>
                <w:bCs/>
                <w:noProof/>
                <w:color w:val="000000"/>
                <w:sz w:val="18"/>
                <w:szCs w:val="18"/>
              </w:rPr>
            </w:pPr>
            <w:r w:rsidRPr="00047543">
              <w:rPr>
                <w:b/>
                <w:noProof/>
                <w:color w:val="000000"/>
                <w:sz w:val="18"/>
              </w:rPr>
              <w:t>TOTALT 2021–2027</w:t>
            </w:r>
          </w:p>
        </w:tc>
      </w:tr>
      <w:tr w:rsidR="00A27CF2" w:rsidRPr="00047543" w14:paraId="4A460835" w14:textId="77777777">
        <w:trPr>
          <w:trHeight w:val="519"/>
        </w:trPr>
        <w:tc>
          <w:tcPr>
            <w:tcW w:w="3760" w:type="dxa"/>
            <w:vMerge/>
            <w:tcBorders>
              <w:top w:val="single" w:sz="8" w:space="0" w:color="auto"/>
              <w:left w:val="single" w:sz="8" w:space="0" w:color="auto"/>
              <w:bottom w:val="single" w:sz="8" w:space="0" w:color="auto"/>
              <w:right w:val="single" w:sz="8" w:space="0" w:color="auto"/>
            </w:tcBorders>
            <w:vAlign w:val="center"/>
            <w:hideMark/>
          </w:tcPr>
          <w:p w14:paraId="11D4909C" w14:textId="77777777" w:rsidR="00A27CF2" w:rsidRPr="00047543" w:rsidRDefault="00A27CF2">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vAlign w:val="center"/>
            <w:hideMark/>
          </w:tcPr>
          <w:p w14:paraId="22BC6DBE" w14:textId="77777777" w:rsidR="00A27CF2" w:rsidRPr="00047543" w:rsidRDefault="00A27CF2">
            <w:pPr>
              <w:spacing w:before="0" w:after="0"/>
              <w:jc w:val="center"/>
              <w:rPr>
                <w:b/>
                <w:bCs/>
                <w:noProof/>
                <w:color w:val="000000"/>
                <w:sz w:val="18"/>
                <w:szCs w:val="18"/>
              </w:rPr>
            </w:pPr>
            <w:r w:rsidRPr="00047543">
              <w:rPr>
                <w:b/>
                <w:noProof/>
                <w:color w:val="000000"/>
                <w:sz w:val="18"/>
              </w:rPr>
              <w:t>2024</w:t>
            </w:r>
          </w:p>
        </w:tc>
        <w:tc>
          <w:tcPr>
            <w:tcW w:w="960" w:type="dxa"/>
            <w:tcBorders>
              <w:top w:val="nil"/>
              <w:left w:val="nil"/>
              <w:bottom w:val="single" w:sz="8" w:space="0" w:color="auto"/>
              <w:right w:val="single" w:sz="8" w:space="0" w:color="auto"/>
            </w:tcBorders>
            <w:vAlign w:val="center"/>
            <w:hideMark/>
          </w:tcPr>
          <w:p w14:paraId="31CAC6ED" w14:textId="77777777" w:rsidR="00A27CF2" w:rsidRPr="00047543" w:rsidRDefault="00A27CF2">
            <w:pPr>
              <w:spacing w:before="0" w:after="0"/>
              <w:jc w:val="center"/>
              <w:rPr>
                <w:b/>
                <w:bCs/>
                <w:noProof/>
                <w:color w:val="000000"/>
                <w:sz w:val="18"/>
                <w:szCs w:val="18"/>
              </w:rPr>
            </w:pPr>
            <w:r w:rsidRPr="00047543">
              <w:rPr>
                <w:b/>
                <w:noProof/>
                <w:color w:val="000000"/>
                <w:sz w:val="18"/>
              </w:rPr>
              <w:t>2025</w:t>
            </w:r>
          </w:p>
        </w:tc>
        <w:tc>
          <w:tcPr>
            <w:tcW w:w="960" w:type="dxa"/>
            <w:tcBorders>
              <w:top w:val="nil"/>
              <w:left w:val="nil"/>
              <w:bottom w:val="single" w:sz="8" w:space="0" w:color="auto"/>
              <w:right w:val="single" w:sz="8" w:space="0" w:color="auto"/>
            </w:tcBorders>
            <w:vAlign w:val="center"/>
            <w:hideMark/>
          </w:tcPr>
          <w:p w14:paraId="4B3E2EB7" w14:textId="77777777" w:rsidR="00A27CF2" w:rsidRPr="00047543" w:rsidRDefault="00A27CF2">
            <w:pPr>
              <w:spacing w:before="0" w:after="0"/>
              <w:jc w:val="center"/>
              <w:rPr>
                <w:b/>
                <w:bCs/>
                <w:noProof/>
                <w:color w:val="000000"/>
                <w:sz w:val="18"/>
                <w:szCs w:val="18"/>
              </w:rPr>
            </w:pPr>
            <w:r w:rsidRPr="00047543">
              <w:rPr>
                <w:b/>
                <w:noProof/>
                <w:color w:val="000000"/>
                <w:sz w:val="18"/>
              </w:rPr>
              <w:t>2026</w:t>
            </w:r>
          </w:p>
        </w:tc>
        <w:tc>
          <w:tcPr>
            <w:tcW w:w="960" w:type="dxa"/>
            <w:tcBorders>
              <w:top w:val="nil"/>
              <w:left w:val="nil"/>
              <w:bottom w:val="single" w:sz="8" w:space="0" w:color="auto"/>
              <w:right w:val="single" w:sz="8" w:space="0" w:color="auto"/>
            </w:tcBorders>
            <w:vAlign w:val="center"/>
            <w:hideMark/>
          </w:tcPr>
          <w:p w14:paraId="2B92FA4C" w14:textId="77777777" w:rsidR="00A27CF2" w:rsidRPr="00047543" w:rsidRDefault="00A27CF2">
            <w:pPr>
              <w:spacing w:before="0" w:after="0"/>
              <w:jc w:val="center"/>
              <w:rPr>
                <w:b/>
                <w:bCs/>
                <w:noProof/>
                <w:color w:val="000000"/>
                <w:sz w:val="18"/>
                <w:szCs w:val="18"/>
              </w:rPr>
            </w:pPr>
            <w:r w:rsidRPr="00047543">
              <w:rPr>
                <w:b/>
                <w:noProof/>
                <w:color w:val="000000"/>
                <w:sz w:val="18"/>
              </w:rPr>
              <w:t>2027</w:t>
            </w:r>
          </w:p>
        </w:tc>
        <w:tc>
          <w:tcPr>
            <w:tcW w:w="1080" w:type="dxa"/>
            <w:vMerge/>
            <w:tcBorders>
              <w:top w:val="single" w:sz="8" w:space="0" w:color="auto"/>
              <w:left w:val="single" w:sz="8" w:space="0" w:color="auto"/>
              <w:bottom w:val="single" w:sz="8" w:space="0" w:color="auto"/>
              <w:right w:val="single" w:sz="8" w:space="0" w:color="auto"/>
            </w:tcBorders>
            <w:vAlign w:val="center"/>
            <w:hideMark/>
          </w:tcPr>
          <w:p w14:paraId="40990AF4" w14:textId="77777777" w:rsidR="00A27CF2" w:rsidRPr="00047543" w:rsidRDefault="00A27CF2">
            <w:pPr>
              <w:spacing w:before="0" w:after="0"/>
              <w:jc w:val="left"/>
              <w:rPr>
                <w:b/>
                <w:bCs/>
                <w:noProof/>
                <w:color w:val="000000"/>
                <w:sz w:val="18"/>
                <w:szCs w:val="18"/>
                <w:lang w:eastAsia="en-IE"/>
              </w:rPr>
            </w:pPr>
          </w:p>
        </w:tc>
      </w:tr>
      <w:tr w:rsidR="00A27CF2" w:rsidRPr="00047543" w14:paraId="072294AF" w14:textId="77777777">
        <w:trPr>
          <w:trHeight w:val="300"/>
        </w:trPr>
        <w:tc>
          <w:tcPr>
            <w:tcW w:w="8680" w:type="dxa"/>
            <w:gridSpan w:val="6"/>
            <w:tcBorders>
              <w:top w:val="single" w:sz="8" w:space="0" w:color="auto"/>
              <w:left w:val="single" w:sz="8" w:space="0" w:color="auto"/>
              <w:bottom w:val="single" w:sz="8" w:space="0" w:color="auto"/>
              <w:right w:val="single" w:sz="4" w:space="0" w:color="auto"/>
            </w:tcBorders>
            <w:vAlign w:val="center"/>
            <w:hideMark/>
          </w:tcPr>
          <w:p w14:paraId="7BB5C3B9" w14:textId="77777777" w:rsidR="00A27CF2" w:rsidRPr="00047543" w:rsidRDefault="00A27CF2">
            <w:pPr>
              <w:spacing w:before="0" w:after="0"/>
              <w:jc w:val="left"/>
              <w:rPr>
                <w:b/>
                <w:bCs/>
                <w:noProof/>
                <w:sz w:val="16"/>
                <w:szCs w:val="16"/>
              </w:rPr>
            </w:pPr>
            <w:r w:rsidRPr="00047543">
              <w:rPr>
                <w:b/>
                <w:noProof/>
                <w:sz w:val="16"/>
              </w:rPr>
              <w:t>RUBRIK 7</w:t>
            </w:r>
          </w:p>
        </w:tc>
      </w:tr>
      <w:tr w:rsidR="00A27CF2" w:rsidRPr="00047543" w14:paraId="5656CD81"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54AEB672" w14:textId="77777777" w:rsidR="00A27CF2" w:rsidRPr="00047543" w:rsidRDefault="00A27CF2">
            <w:pPr>
              <w:spacing w:before="0" w:after="0"/>
              <w:jc w:val="left"/>
              <w:rPr>
                <w:noProof/>
                <w:color w:val="000000"/>
                <w:sz w:val="16"/>
                <w:szCs w:val="16"/>
              </w:rPr>
            </w:pPr>
            <w:r w:rsidRPr="00047543">
              <w:rPr>
                <w:noProof/>
                <w:color w:val="000000"/>
                <w:sz w:val="16"/>
              </w:rPr>
              <w:t xml:space="preserve">Personalresurser </w:t>
            </w:r>
          </w:p>
        </w:tc>
        <w:tc>
          <w:tcPr>
            <w:tcW w:w="960" w:type="dxa"/>
            <w:tcBorders>
              <w:top w:val="nil"/>
              <w:left w:val="nil"/>
              <w:bottom w:val="single" w:sz="8" w:space="0" w:color="auto"/>
              <w:right w:val="single" w:sz="8" w:space="0" w:color="auto"/>
            </w:tcBorders>
            <w:shd w:val="clear" w:color="000000" w:fill="D9D9D9"/>
            <w:vAlign w:val="center"/>
            <w:hideMark/>
          </w:tcPr>
          <w:p w14:paraId="4D9A0815"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2934F136"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F166773"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98BA7E1"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0DB43B62"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152760BD"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5B16C2D3" w14:textId="77777777" w:rsidR="00A27CF2" w:rsidRPr="00047543" w:rsidRDefault="00A27CF2">
            <w:pPr>
              <w:spacing w:before="0" w:after="0"/>
              <w:jc w:val="left"/>
              <w:rPr>
                <w:noProof/>
                <w:color w:val="000000"/>
                <w:sz w:val="16"/>
                <w:szCs w:val="16"/>
              </w:rPr>
            </w:pPr>
            <w:r w:rsidRPr="00047543">
              <w:rPr>
                <w:noProof/>
                <w:color w:val="000000"/>
                <w:sz w:val="16"/>
              </w:rPr>
              <w:t xml:space="preserve">Övriga administrativa utgifter </w:t>
            </w:r>
          </w:p>
        </w:tc>
        <w:tc>
          <w:tcPr>
            <w:tcW w:w="960" w:type="dxa"/>
            <w:tcBorders>
              <w:top w:val="nil"/>
              <w:left w:val="nil"/>
              <w:bottom w:val="single" w:sz="8" w:space="0" w:color="auto"/>
              <w:right w:val="single" w:sz="8" w:space="0" w:color="auto"/>
            </w:tcBorders>
            <w:shd w:val="clear" w:color="000000" w:fill="D9D9D9"/>
            <w:vAlign w:val="center"/>
            <w:hideMark/>
          </w:tcPr>
          <w:p w14:paraId="133D0740"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274BD9A0"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23E88B85"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2B3D303B"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657002C6"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254769BC" w14:textId="77777777">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14:paraId="22B70156" w14:textId="77777777" w:rsidR="00A27CF2" w:rsidRPr="00047543" w:rsidRDefault="00A27CF2">
            <w:pPr>
              <w:spacing w:before="0" w:after="0"/>
              <w:jc w:val="center"/>
              <w:rPr>
                <w:b/>
                <w:bCs/>
                <w:noProof/>
                <w:color w:val="000000"/>
                <w:sz w:val="16"/>
                <w:szCs w:val="16"/>
              </w:rPr>
            </w:pPr>
            <w:r w:rsidRPr="00047543">
              <w:rPr>
                <w:b/>
                <w:noProof/>
                <w:color w:val="000000"/>
                <w:sz w:val="16"/>
              </w:rPr>
              <w:t>Delsumma för RUBRIK 7</w:t>
            </w:r>
          </w:p>
        </w:tc>
        <w:tc>
          <w:tcPr>
            <w:tcW w:w="960" w:type="dxa"/>
            <w:tcBorders>
              <w:top w:val="nil"/>
              <w:left w:val="nil"/>
              <w:bottom w:val="single" w:sz="8" w:space="0" w:color="auto"/>
              <w:right w:val="single" w:sz="8" w:space="0" w:color="auto"/>
            </w:tcBorders>
            <w:shd w:val="clear" w:color="000000" w:fill="D9D9D9"/>
            <w:vAlign w:val="center"/>
            <w:hideMark/>
          </w:tcPr>
          <w:p w14:paraId="61BB0F71"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04C3BAA"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799CBE3"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122FA938"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497B9672"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6023E10C" w14:textId="77777777">
        <w:trPr>
          <w:trHeight w:val="300"/>
        </w:trPr>
        <w:tc>
          <w:tcPr>
            <w:tcW w:w="8680" w:type="dxa"/>
            <w:gridSpan w:val="6"/>
            <w:tcBorders>
              <w:top w:val="single" w:sz="8" w:space="0" w:color="auto"/>
              <w:left w:val="single" w:sz="8" w:space="0" w:color="auto"/>
              <w:bottom w:val="single" w:sz="8" w:space="0" w:color="auto"/>
              <w:right w:val="single" w:sz="4" w:space="0" w:color="auto"/>
            </w:tcBorders>
            <w:vAlign w:val="center"/>
            <w:hideMark/>
          </w:tcPr>
          <w:p w14:paraId="3FB00E5D" w14:textId="77777777" w:rsidR="00A27CF2" w:rsidRPr="00047543" w:rsidRDefault="00A27CF2">
            <w:pPr>
              <w:spacing w:before="0" w:after="0"/>
              <w:jc w:val="left"/>
              <w:rPr>
                <w:b/>
                <w:bCs/>
                <w:noProof/>
                <w:sz w:val="16"/>
                <w:szCs w:val="16"/>
              </w:rPr>
            </w:pPr>
            <w:r w:rsidRPr="00047543">
              <w:rPr>
                <w:b/>
                <w:noProof/>
                <w:sz w:val="16"/>
              </w:rPr>
              <w:t>Utanför RUBRIK 7</w:t>
            </w:r>
          </w:p>
        </w:tc>
      </w:tr>
      <w:tr w:rsidR="00A27CF2" w:rsidRPr="00047543" w14:paraId="545A0B46"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5B7D6C57" w14:textId="77777777" w:rsidR="00A27CF2" w:rsidRPr="00047543" w:rsidRDefault="00A27CF2">
            <w:pPr>
              <w:spacing w:before="0" w:after="0"/>
              <w:jc w:val="left"/>
              <w:rPr>
                <w:noProof/>
                <w:color w:val="000000"/>
                <w:sz w:val="16"/>
                <w:szCs w:val="16"/>
              </w:rPr>
            </w:pPr>
            <w:r w:rsidRPr="00047543">
              <w:rPr>
                <w:noProof/>
                <w:color w:val="000000"/>
                <w:sz w:val="16"/>
              </w:rPr>
              <w:t xml:space="preserve">Personalresurser </w:t>
            </w:r>
          </w:p>
        </w:tc>
        <w:tc>
          <w:tcPr>
            <w:tcW w:w="960" w:type="dxa"/>
            <w:tcBorders>
              <w:top w:val="nil"/>
              <w:left w:val="nil"/>
              <w:bottom w:val="single" w:sz="8" w:space="0" w:color="auto"/>
              <w:right w:val="single" w:sz="8" w:space="0" w:color="auto"/>
            </w:tcBorders>
            <w:shd w:val="clear" w:color="000000" w:fill="D9D9D9"/>
            <w:vAlign w:val="center"/>
            <w:hideMark/>
          </w:tcPr>
          <w:p w14:paraId="75B21D6B"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D1F8D94"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4E873C68"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5255339"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73F68BB1"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0A3C7312" w14:textId="77777777">
        <w:trPr>
          <w:trHeight w:val="300"/>
        </w:trPr>
        <w:tc>
          <w:tcPr>
            <w:tcW w:w="3760" w:type="dxa"/>
            <w:tcBorders>
              <w:top w:val="nil"/>
              <w:left w:val="single" w:sz="8" w:space="0" w:color="auto"/>
              <w:bottom w:val="single" w:sz="8" w:space="0" w:color="auto"/>
              <w:right w:val="single" w:sz="8" w:space="0" w:color="auto"/>
            </w:tcBorders>
            <w:vAlign w:val="center"/>
            <w:hideMark/>
          </w:tcPr>
          <w:p w14:paraId="1D6F4D94" w14:textId="77777777" w:rsidR="00A27CF2" w:rsidRPr="00047543" w:rsidRDefault="00A27CF2">
            <w:pPr>
              <w:spacing w:before="0" w:after="0"/>
              <w:jc w:val="left"/>
              <w:rPr>
                <w:noProof/>
                <w:color w:val="000000"/>
                <w:sz w:val="16"/>
                <w:szCs w:val="16"/>
              </w:rPr>
            </w:pPr>
            <w:r w:rsidRPr="00047543">
              <w:rPr>
                <w:noProof/>
                <w:color w:val="000000"/>
                <w:sz w:val="16"/>
              </w:rPr>
              <w:t>Andra utgifter av administrativ natur</w:t>
            </w:r>
          </w:p>
        </w:tc>
        <w:tc>
          <w:tcPr>
            <w:tcW w:w="960" w:type="dxa"/>
            <w:tcBorders>
              <w:top w:val="nil"/>
              <w:left w:val="nil"/>
              <w:bottom w:val="single" w:sz="8" w:space="0" w:color="auto"/>
              <w:right w:val="single" w:sz="8" w:space="0" w:color="auto"/>
            </w:tcBorders>
            <w:shd w:val="clear" w:color="000000" w:fill="D9D9D9"/>
            <w:vAlign w:val="center"/>
            <w:hideMark/>
          </w:tcPr>
          <w:p w14:paraId="51FFF5BD"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3833EBB"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3D0A7B6D"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562DE93A" w14:textId="77777777" w:rsidR="00A27CF2" w:rsidRPr="00047543" w:rsidRDefault="00A27CF2">
            <w:pPr>
              <w:spacing w:before="0" w:after="0"/>
              <w:jc w:val="right"/>
              <w:rPr>
                <w:noProof/>
                <w:color w:val="000000"/>
                <w:sz w:val="16"/>
                <w:szCs w:val="16"/>
              </w:rPr>
            </w:pPr>
            <w:r w:rsidRPr="00047543">
              <w:rPr>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3A592DBD"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7D0975E5" w14:textId="77777777">
        <w:trPr>
          <w:trHeight w:val="300"/>
        </w:trPr>
        <w:tc>
          <w:tcPr>
            <w:tcW w:w="3760" w:type="dxa"/>
            <w:tcBorders>
              <w:top w:val="nil"/>
              <w:left w:val="single" w:sz="8" w:space="0" w:color="auto"/>
              <w:bottom w:val="single" w:sz="8" w:space="0" w:color="auto"/>
              <w:right w:val="single" w:sz="8" w:space="0" w:color="auto"/>
            </w:tcBorders>
            <w:shd w:val="clear" w:color="000000" w:fill="CCCCCC"/>
            <w:vAlign w:val="center"/>
            <w:hideMark/>
          </w:tcPr>
          <w:p w14:paraId="4C1730FC" w14:textId="77777777" w:rsidR="00A27CF2" w:rsidRPr="00047543" w:rsidRDefault="00A27CF2">
            <w:pPr>
              <w:spacing w:before="0" w:after="0"/>
              <w:jc w:val="center"/>
              <w:rPr>
                <w:b/>
                <w:bCs/>
                <w:noProof/>
                <w:color w:val="000000"/>
                <w:sz w:val="16"/>
                <w:szCs w:val="16"/>
              </w:rPr>
            </w:pPr>
            <w:r w:rsidRPr="00047543">
              <w:rPr>
                <w:b/>
                <w:noProof/>
                <w:color w:val="000000"/>
                <w:sz w:val="16"/>
              </w:rPr>
              <w:t>Delsumma utanför RUBRIK 7</w:t>
            </w:r>
          </w:p>
        </w:tc>
        <w:tc>
          <w:tcPr>
            <w:tcW w:w="960" w:type="dxa"/>
            <w:tcBorders>
              <w:top w:val="nil"/>
              <w:left w:val="nil"/>
              <w:bottom w:val="single" w:sz="8" w:space="0" w:color="auto"/>
              <w:right w:val="single" w:sz="8" w:space="0" w:color="auto"/>
            </w:tcBorders>
            <w:shd w:val="clear" w:color="000000" w:fill="D9D9D9"/>
            <w:vAlign w:val="center"/>
            <w:hideMark/>
          </w:tcPr>
          <w:p w14:paraId="30BF1D46"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2ED2C539"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66E4D76C"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960" w:type="dxa"/>
            <w:tcBorders>
              <w:top w:val="nil"/>
              <w:left w:val="nil"/>
              <w:bottom w:val="single" w:sz="8" w:space="0" w:color="auto"/>
              <w:right w:val="single" w:sz="8" w:space="0" w:color="auto"/>
            </w:tcBorders>
            <w:shd w:val="clear" w:color="000000" w:fill="D9D9D9"/>
            <w:vAlign w:val="center"/>
            <w:hideMark/>
          </w:tcPr>
          <w:p w14:paraId="74294184"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1080" w:type="dxa"/>
            <w:tcBorders>
              <w:top w:val="nil"/>
              <w:left w:val="nil"/>
              <w:bottom w:val="single" w:sz="8" w:space="0" w:color="auto"/>
              <w:right w:val="single" w:sz="8" w:space="0" w:color="auto"/>
            </w:tcBorders>
            <w:shd w:val="clear" w:color="000000" w:fill="D9D9D9"/>
            <w:vAlign w:val="center"/>
            <w:hideMark/>
          </w:tcPr>
          <w:p w14:paraId="6DC36BBF"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r w:rsidR="00A27CF2" w:rsidRPr="00047543" w14:paraId="7282510F" w14:textId="77777777">
        <w:trPr>
          <w:trHeight w:val="300"/>
        </w:trPr>
        <w:tc>
          <w:tcPr>
            <w:tcW w:w="8680" w:type="dxa"/>
            <w:gridSpan w:val="6"/>
            <w:tcBorders>
              <w:top w:val="single" w:sz="8" w:space="0" w:color="auto"/>
              <w:left w:val="single" w:sz="8" w:space="0" w:color="auto"/>
              <w:bottom w:val="single" w:sz="8" w:space="0" w:color="auto"/>
              <w:right w:val="single" w:sz="4" w:space="0" w:color="auto"/>
            </w:tcBorders>
            <w:noWrap/>
            <w:vAlign w:val="center"/>
            <w:hideMark/>
          </w:tcPr>
          <w:p w14:paraId="6EFCC79A" w14:textId="77777777" w:rsidR="00A27CF2" w:rsidRPr="00047543" w:rsidRDefault="00A27CF2">
            <w:pPr>
              <w:spacing w:before="0" w:after="0"/>
              <w:jc w:val="center"/>
              <w:rPr>
                <w:noProof/>
                <w:color w:val="000000"/>
                <w:sz w:val="16"/>
                <w:szCs w:val="16"/>
              </w:rPr>
            </w:pPr>
            <w:r w:rsidRPr="00047543">
              <w:rPr>
                <w:noProof/>
                <w:color w:val="000000"/>
                <w:sz w:val="16"/>
              </w:rPr>
              <w:t xml:space="preserve"> </w:t>
            </w:r>
          </w:p>
        </w:tc>
      </w:tr>
      <w:tr w:rsidR="00A27CF2" w:rsidRPr="00047543" w14:paraId="46F6BB0A" w14:textId="77777777">
        <w:trPr>
          <w:trHeight w:val="312"/>
        </w:trPr>
        <w:tc>
          <w:tcPr>
            <w:tcW w:w="3760" w:type="dxa"/>
            <w:tcBorders>
              <w:top w:val="single" w:sz="12" w:space="0" w:color="auto"/>
              <w:left w:val="single" w:sz="12" w:space="0" w:color="auto"/>
              <w:bottom w:val="single" w:sz="12" w:space="0" w:color="auto"/>
              <w:right w:val="single" w:sz="8" w:space="0" w:color="auto"/>
            </w:tcBorders>
            <w:vAlign w:val="center"/>
            <w:hideMark/>
          </w:tcPr>
          <w:p w14:paraId="0C6C9EDE" w14:textId="77777777" w:rsidR="00A27CF2" w:rsidRPr="00047543" w:rsidRDefault="00A27CF2">
            <w:pPr>
              <w:spacing w:before="0" w:after="0"/>
              <w:jc w:val="center"/>
              <w:rPr>
                <w:b/>
                <w:bCs/>
                <w:noProof/>
                <w:color w:val="000000"/>
                <w:sz w:val="16"/>
                <w:szCs w:val="16"/>
              </w:rPr>
            </w:pPr>
            <w:r w:rsidRPr="00047543">
              <w:rPr>
                <w:b/>
                <w:noProof/>
                <w:color w:val="000000"/>
                <w:sz w:val="16"/>
              </w:rPr>
              <w:t>TOTALT</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3E176C36"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239F2AFC"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2C40D772"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960" w:type="dxa"/>
            <w:tcBorders>
              <w:top w:val="single" w:sz="12" w:space="0" w:color="auto"/>
              <w:left w:val="nil"/>
              <w:bottom w:val="single" w:sz="12" w:space="0" w:color="auto"/>
              <w:right w:val="single" w:sz="8" w:space="0" w:color="auto"/>
            </w:tcBorders>
            <w:shd w:val="clear" w:color="000000" w:fill="D9D9D9"/>
            <w:vAlign w:val="center"/>
            <w:hideMark/>
          </w:tcPr>
          <w:p w14:paraId="4E95F858"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c>
          <w:tcPr>
            <w:tcW w:w="1080" w:type="dxa"/>
            <w:tcBorders>
              <w:top w:val="single" w:sz="12" w:space="0" w:color="auto"/>
              <w:left w:val="nil"/>
              <w:bottom w:val="single" w:sz="12" w:space="0" w:color="auto"/>
              <w:right w:val="single" w:sz="8" w:space="0" w:color="auto"/>
            </w:tcBorders>
            <w:shd w:val="clear" w:color="000000" w:fill="D9D9D9"/>
            <w:vAlign w:val="center"/>
            <w:hideMark/>
          </w:tcPr>
          <w:p w14:paraId="6A653031" w14:textId="77777777" w:rsidR="00A27CF2" w:rsidRPr="00047543" w:rsidRDefault="00A27CF2">
            <w:pPr>
              <w:spacing w:before="0" w:after="0"/>
              <w:jc w:val="right"/>
              <w:rPr>
                <w:b/>
                <w:bCs/>
                <w:noProof/>
                <w:color w:val="000000"/>
                <w:sz w:val="16"/>
                <w:szCs w:val="16"/>
              </w:rPr>
            </w:pPr>
            <w:r w:rsidRPr="00047543">
              <w:rPr>
                <w:b/>
                <w:noProof/>
                <w:color w:val="000000"/>
                <w:sz w:val="16"/>
              </w:rPr>
              <w:t>0,000</w:t>
            </w:r>
          </w:p>
        </w:tc>
      </w:tr>
    </w:tbl>
    <w:p w14:paraId="7769C392" w14:textId="77777777" w:rsidR="00A27CF2" w:rsidRPr="00047543" w:rsidRDefault="00A27CF2" w:rsidP="00A27CF2">
      <w:pPr>
        <w:rPr>
          <w:noProof/>
          <w:sz w:val="22"/>
          <w:szCs w:val="28"/>
        </w:rPr>
      </w:pPr>
      <w:r w:rsidRPr="00047543">
        <w:rPr>
          <w:noProof/>
          <w:sz w:val="22"/>
        </w:rPr>
        <w:t>Personalbehov och andra utgifter av administrativ natur ska täckas genom anslag inom generaldirektoratet som redan har avdelats för att förvalta åtgärden i fråga, eller genom en omfördelning av personal inom generaldirektoratet, samt vid behov kompletterat med ytterligare resurser som kan tilldelas det förvaltande generaldirektoratet som ett led i det årliga förfarandet för tilldelning av anslag och med hänsyn tagen till begränsningar i fråga om budgetmedel.</w:t>
      </w:r>
    </w:p>
    <w:p w14:paraId="2F80B88B" w14:textId="77777777" w:rsidR="00A27CF2" w:rsidRPr="00047543" w:rsidRDefault="00A27CF2" w:rsidP="00A27CF2">
      <w:pPr>
        <w:pStyle w:val="ManualHeading3"/>
        <w:rPr>
          <w:bCs/>
          <w:noProof/>
          <w:szCs w:val="24"/>
        </w:rPr>
      </w:pPr>
      <w:r w:rsidRPr="00047543">
        <w:rPr>
          <w:noProof/>
        </w:rPr>
        <w:t>3.2.4</w:t>
      </w:r>
      <w:r w:rsidRPr="00047543">
        <w:rPr>
          <w:noProof/>
        </w:rPr>
        <w:tab/>
        <w:t xml:space="preserve">Beräknat personalbehov </w:t>
      </w:r>
    </w:p>
    <w:p w14:paraId="78348AAE" w14:textId="77777777" w:rsidR="00A27CF2" w:rsidRPr="00047543" w:rsidRDefault="00A27CF2" w:rsidP="00A27CF2">
      <w:pPr>
        <w:pStyle w:val="ListDash1"/>
        <w:rPr>
          <w:noProof/>
        </w:rPr>
      </w:pPr>
      <w:r w:rsidRPr="00047543">
        <w:rPr>
          <w:rFonts w:ascii="Wingdings" w:hAnsi="Wingdings"/>
          <w:noProof/>
        </w:rPr>
        <w:t></w:t>
      </w:r>
      <w:r w:rsidRPr="00047543">
        <w:rPr>
          <w:noProof/>
        </w:rPr>
        <w:tab/>
        <w:t xml:space="preserve">Förslaget/initiativet kräver inte att personalresurser tas i anspråk </w:t>
      </w:r>
    </w:p>
    <w:p w14:paraId="12B91B6B" w14:textId="77777777" w:rsidR="00A27CF2" w:rsidRPr="00047543" w:rsidRDefault="00A27CF2" w:rsidP="00A27CF2">
      <w:pPr>
        <w:pStyle w:val="ListDash1"/>
        <w:rPr>
          <w:noProof/>
        </w:rPr>
      </w:pPr>
      <w:r w:rsidRPr="00047543">
        <w:rPr>
          <w:rFonts w:ascii="Wingdings" w:hAnsi="Wingdings"/>
          <w:noProof/>
        </w:rPr>
        <w:t></w:t>
      </w:r>
      <w:r w:rsidRPr="00047543">
        <w:rPr>
          <w:noProof/>
        </w:rPr>
        <w:tab/>
        <w:t>Förslaget/initiativet kräver att personalresurser tas i anspråk enligt följande:</w:t>
      </w:r>
    </w:p>
    <w:p w14:paraId="625D820E" w14:textId="77777777" w:rsidR="00A27CF2" w:rsidRPr="00047543" w:rsidRDefault="00A27CF2" w:rsidP="00A27CF2">
      <w:pPr>
        <w:pStyle w:val="ManualHeading3"/>
        <w:rPr>
          <w:noProof/>
        </w:rPr>
      </w:pPr>
      <w:r w:rsidRPr="00047543">
        <w:rPr>
          <w:noProof/>
        </w:rPr>
        <w:t>3.2.4.1</w:t>
      </w:r>
      <w:r w:rsidRPr="00047543">
        <w:rPr>
          <w:noProof/>
        </w:rPr>
        <w:tab/>
        <w:t>Finansierat med den antagna budgeten</w:t>
      </w:r>
    </w:p>
    <w:p w14:paraId="3853370B" w14:textId="77777777" w:rsidR="00A27CF2" w:rsidRPr="00047543" w:rsidRDefault="00A27CF2" w:rsidP="00A27CF2">
      <w:pPr>
        <w:spacing w:after="60"/>
        <w:jc w:val="right"/>
        <w:rPr>
          <w:i/>
          <w:noProof/>
          <w:sz w:val="20"/>
        </w:rPr>
      </w:pPr>
      <w:r w:rsidRPr="00047543">
        <w:rPr>
          <w:i/>
          <w:noProof/>
          <w:sz w:val="20"/>
        </w:rPr>
        <w:t>Beräkningarna ska anges i heltidsekvivalenter</w:t>
      </w:r>
    </w:p>
    <w:p w14:paraId="6B73604F" w14:textId="77777777" w:rsidR="00A27CF2" w:rsidRPr="00047543" w:rsidRDefault="00A27CF2" w:rsidP="00A27CF2">
      <w:pPr>
        <w:pStyle w:val="Text1"/>
        <w:spacing w:before="60" w:after="60"/>
        <w:ind w:left="-426" w:right="-427"/>
        <w:rPr>
          <w:b/>
          <w:noProof/>
          <w:sz w:val="18"/>
          <w:szCs w:val="18"/>
        </w:rPr>
      </w:pPr>
    </w:p>
    <w:tbl>
      <w:tblPr>
        <w:tblW w:w="5000" w:type="pct"/>
        <w:tblLook w:val="04A0" w:firstRow="1" w:lastRow="0" w:firstColumn="1" w:lastColumn="0" w:noHBand="0" w:noVBand="1"/>
      </w:tblPr>
      <w:tblGrid>
        <w:gridCol w:w="1513"/>
        <w:gridCol w:w="3898"/>
        <w:gridCol w:w="970"/>
        <w:gridCol w:w="970"/>
        <w:gridCol w:w="970"/>
        <w:gridCol w:w="968"/>
      </w:tblGrid>
      <w:tr w:rsidR="00A27CF2" w:rsidRPr="00047543" w14:paraId="24643078" w14:textId="77777777">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4442A332" w14:textId="77777777" w:rsidR="00A27CF2" w:rsidRPr="00047543" w:rsidRDefault="00A27CF2">
            <w:pPr>
              <w:spacing w:before="0" w:after="0"/>
              <w:jc w:val="center"/>
              <w:rPr>
                <w:b/>
                <w:bCs/>
                <w:noProof/>
                <w:color w:val="000000"/>
                <w:sz w:val="18"/>
                <w:szCs w:val="18"/>
              </w:rPr>
            </w:pPr>
            <w:r w:rsidRPr="00047543">
              <w:rPr>
                <w:b/>
                <w:noProof/>
                <w:color w:val="000000"/>
                <w:sz w:val="18"/>
              </w:rPr>
              <w:t>ANTAGNA ANSLAG</w:t>
            </w:r>
          </w:p>
        </w:tc>
        <w:tc>
          <w:tcPr>
            <w:tcW w:w="522" w:type="pct"/>
            <w:tcBorders>
              <w:top w:val="single" w:sz="8" w:space="0" w:color="auto"/>
              <w:left w:val="nil"/>
              <w:bottom w:val="nil"/>
              <w:right w:val="single" w:sz="8" w:space="0" w:color="auto"/>
            </w:tcBorders>
            <w:vAlign w:val="center"/>
            <w:hideMark/>
          </w:tcPr>
          <w:p w14:paraId="4B7B8F9A"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22" w:type="pct"/>
            <w:tcBorders>
              <w:top w:val="single" w:sz="8" w:space="0" w:color="auto"/>
              <w:left w:val="nil"/>
              <w:bottom w:val="nil"/>
              <w:right w:val="single" w:sz="8" w:space="0" w:color="auto"/>
            </w:tcBorders>
            <w:vAlign w:val="center"/>
            <w:hideMark/>
          </w:tcPr>
          <w:p w14:paraId="5E40EA00"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22" w:type="pct"/>
            <w:tcBorders>
              <w:top w:val="single" w:sz="8" w:space="0" w:color="auto"/>
              <w:left w:val="nil"/>
              <w:bottom w:val="nil"/>
              <w:right w:val="single" w:sz="8" w:space="0" w:color="auto"/>
            </w:tcBorders>
            <w:vAlign w:val="center"/>
            <w:hideMark/>
          </w:tcPr>
          <w:p w14:paraId="7B5DE0C8"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22" w:type="pct"/>
            <w:tcBorders>
              <w:top w:val="single" w:sz="8" w:space="0" w:color="auto"/>
              <w:left w:val="nil"/>
              <w:bottom w:val="nil"/>
              <w:right w:val="single" w:sz="8" w:space="0" w:color="auto"/>
            </w:tcBorders>
            <w:vAlign w:val="center"/>
            <w:hideMark/>
          </w:tcPr>
          <w:p w14:paraId="5B85503E" w14:textId="77777777" w:rsidR="00A27CF2" w:rsidRPr="00047543" w:rsidRDefault="00A27CF2">
            <w:pPr>
              <w:spacing w:before="0" w:after="0"/>
              <w:jc w:val="center"/>
              <w:rPr>
                <w:noProof/>
                <w:color w:val="000000"/>
                <w:sz w:val="20"/>
                <w:szCs w:val="20"/>
              </w:rPr>
            </w:pPr>
            <w:r w:rsidRPr="00047543">
              <w:rPr>
                <w:noProof/>
                <w:color w:val="000000"/>
                <w:sz w:val="20"/>
              </w:rPr>
              <w:t>År</w:t>
            </w:r>
          </w:p>
        </w:tc>
      </w:tr>
      <w:tr w:rsidR="00A27CF2" w:rsidRPr="00047543" w14:paraId="7441AD4B" w14:textId="77777777">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32A42C2F" w14:textId="77777777" w:rsidR="00A27CF2" w:rsidRPr="00047543" w:rsidRDefault="00A27CF2">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5F3FD094"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522" w:type="pct"/>
            <w:tcBorders>
              <w:top w:val="nil"/>
              <w:left w:val="nil"/>
              <w:bottom w:val="single" w:sz="8" w:space="0" w:color="auto"/>
              <w:right w:val="single" w:sz="8" w:space="0" w:color="auto"/>
            </w:tcBorders>
            <w:vAlign w:val="center"/>
            <w:hideMark/>
          </w:tcPr>
          <w:p w14:paraId="2E319EE0"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522" w:type="pct"/>
            <w:tcBorders>
              <w:top w:val="nil"/>
              <w:left w:val="nil"/>
              <w:bottom w:val="single" w:sz="8" w:space="0" w:color="auto"/>
              <w:right w:val="single" w:sz="8" w:space="0" w:color="auto"/>
            </w:tcBorders>
            <w:vAlign w:val="center"/>
            <w:hideMark/>
          </w:tcPr>
          <w:p w14:paraId="40A8BA70"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522" w:type="pct"/>
            <w:tcBorders>
              <w:top w:val="nil"/>
              <w:left w:val="nil"/>
              <w:bottom w:val="single" w:sz="8" w:space="0" w:color="auto"/>
              <w:right w:val="single" w:sz="8" w:space="0" w:color="auto"/>
            </w:tcBorders>
            <w:vAlign w:val="center"/>
            <w:hideMark/>
          </w:tcPr>
          <w:p w14:paraId="240523F8"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r>
      <w:tr w:rsidR="00A27CF2" w:rsidRPr="00047543" w14:paraId="61B47D6C"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16A20C09" w14:textId="77777777" w:rsidR="00A27CF2" w:rsidRPr="00047543" w:rsidRDefault="00A27CF2">
            <w:pPr>
              <w:spacing w:before="0" w:after="0"/>
              <w:jc w:val="left"/>
              <w:rPr>
                <w:rFonts w:ascii="Wingdings" w:hAnsi="Wingdings" w:cs="Calibri"/>
                <w:b/>
                <w:bCs/>
                <w:noProof/>
                <w:color w:val="000000"/>
                <w:sz w:val="16"/>
                <w:szCs w:val="16"/>
              </w:rPr>
            </w:pPr>
            <w:r w:rsidRPr="00047543">
              <w:rPr>
                <w:rFonts w:ascii="Wingdings" w:hAnsi="Wingdings"/>
                <w:b/>
                <w:noProof/>
                <w:color w:val="000000"/>
                <w:sz w:val="16"/>
              </w:rPr>
              <w:t></w:t>
            </w:r>
            <w:r w:rsidRPr="00047543">
              <w:rPr>
                <w:b/>
                <w:noProof/>
                <w:color w:val="000000"/>
                <w:sz w:val="16"/>
              </w:rPr>
              <w:t xml:space="preserve"> Tjänster som tas upp i tjänsteförteckningen (tjänstemän och tillfälligt anställda)</w:t>
            </w:r>
          </w:p>
        </w:tc>
      </w:tr>
      <w:tr w:rsidR="00A27CF2" w:rsidRPr="00047543" w14:paraId="2098B9E4"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43C955D"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20 01 02 01</w:t>
            </w:r>
            <w:r w:rsidRPr="00047543">
              <w:rPr>
                <w:rFonts w:ascii="Arial Narrow" w:hAnsi="Arial Narrow"/>
                <w:noProof/>
                <w:color w:val="000000"/>
                <w:sz w:val="20"/>
              </w:rPr>
              <w:t xml:space="preserve"> </w:t>
            </w:r>
            <w:r w:rsidRPr="00047543">
              <w:rPr>
                <w:noProof/>
                <w:color w:val="000000"/>
              </w:rPr>
              <w:t xml:space="preserve"> </w:t>
            </w:r>
            <w:r w:rsidRPr="00047543">
              <w:rPr>
                <w:noProof/>
                <w:color w:val="000000"/>
                <w:sz w:val="16"/>
              </w:rPr>
              <w:t>(vid huvudkontoret eller vid kommissionens kontor i medlemsstaterna)</w:t>
            </w:r>
          </w:p>
        </w:tc>
        <w:tc>
          <w:tcPr>
            <w:tcW w:w="522" w:type="pct"/>
            <w:tcBorders>
              <w:top w:val="nil"/>
              <w:left w:val="nil"/>
              <w:bottom w:val="single" w:sz="8" w:space="0" w:color="auto"/>
              <w:right w:val="single" w:sz="8" w:space="0" w:color="auto"/>
            </w:tcBorders>
            <w:shd w:val="clear" w:color="000000" w:fill="D9D9D9"/>
            <w:vAlign w:val="center"/>
            <w:hideMark/>
          </w:tcPr>
          <w:p w14:paraId="033AF7AA"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83BF74C"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F8ADD79"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D5F6B01"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07C14768"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E201FF8"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01 02 03 (EU:s delegationer)</w:t>
            </w:r>
          </w:p>
        </w:tc>
        <w:tc>
          <w:tcPr>
            <w:tcW w:w="522" w:type="pct"/>
            <w:tcBorders>
              <w:top w:val="nil"/>
              <w:left w:val="nil"/>
              <w:bottom w:val="single" w:sz="8" w:space="0" w:color="auto"/>
              <w:right w:val="single" w:sz="8" w:space="0" w:color="auto"/>
            </w:tcBorders>
            <w:shd w:val="clear" w:color="000000" w:fill="D9D9D9"/>
            <w:vAlign w:val="center"/>
            <w:hideMark/>
          </w:tcPr>
          <w:p w14:paraId="51773327"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4F232A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A8D7E64"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136A0BC"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08D8763F"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CDD24F8"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01 01 01 01</w:t>
            </w:r>
            <w:r w:rsidRPr="00047543">
              <w:rPr>
                <w:rFonts w:ascii="Arial Narrow" w:hAnsi="Arial Narrow"/>
                <w:noProof/>
                <w:color w:val="000000"/>
                <w:sz w:val="20"/>
              </w:rPr>
              <w:t xml:space="preserve"> </w:t>
            </w:r>
            <w:r w:rsidRPr="00047543">
              <w:rPr>
                <w:noProof/>
                <w:color w:val="000000"/>
                <w:sz w:val="16"/>
              </w:rPr>
              <w:t>(indirekta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14:paraId="6ADFFCCE"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DF26C50"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8320E1B"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35401DE"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0CDD6CD9"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33D0522"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01 01 01 11 (direkta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14:paraId="06FAD6AD"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00A5EEC"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8E866CB"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6BC322B"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20DF0F02"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5A5706A"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Andra budgetposter (ange vilka)</w:t>
            </w:r>
          </w:p>
        </w:tc>
        <w:tc>
          <w:tcPr>
            <w:tcW w:w="522" w:type="pct"/>
            <w:tcBorders>
              <w:top w:val="nil"/>
              <w:left w:val="nil"/>
              <w:bottom w:val="single" w:sz="8" w:space="0" w:color="auto"/>
              <w:right w:val="single" w:sz="8" w:space="0" w:color="auto"/>
            </w:tcBorders>
            <w:shd w:val="clear" w:color="000000" w:fill="D9D9D9"/>
            <w:vAlign w:val="center"/>
            <w:hideMark/>
          </w:tcPr>
          <w:p w14:paraId="56D65318"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73EAF95"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AE2EE9A"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EE84D02"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0EB7F8E3"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84F8BEE" w14:textId="77777777" w:rsidR="00A27CF2" w:rsidRPr="00047543" w:rsidRDefault="00A27CF2">
            <w:pPr>
              <w:spacing w:before="0" w:after="0"/>
              <w:jc w:val="left"/>
              <w:rPr>
                <w:rFonts w:ascii="Wingdings" w:hAnsi="Wingdings" w:cs="Calibri"/>
                <w:b/>
                <w:bCs/>
                <w:noProof/>
                <w:color w:val="000000"/>
                <w:sz w:val="16"/>
                <w:szCs w:val="16"/>
              </w:rPr>
            </w:pPr>
            <w:r w:rsidRPr="00047543">
              <w:rPr>
                <w:rFonts w:ascii="Calibri" w:hAnsi="Calibri"/>
                <w:b/>
                <w:noProof/>
                <w:color w:val="000000"/>
                <w:sz w:val="16"/>
              </w:rPr>
              <w:t>•</w:t>
            </w:r>
            <w:r w:rsidRPr="00047543">
              <w:rPr>
                <w:b/>
                <w:noProof/>
                <w:color w:val="000000"/>
                <w:sz w:val="16"/>
              </w:rPr>
              <w:t xml:space="preserve"> Extern personal (heltidsekvivalenter)</w:t>
            </w:r>
          </w:p>
        </w:tc>
      </w:tr>
      <w:tr w:rsidR="00A27CF2" w:rsidRPr="00047543" w14:paraId="5D36954B"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2D3E49F"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20 02 01</w:t>
            </w:r>
            <w:r w:rsidRPr="00047543">
              <w:rPr>
                <w:noProof/>
                <w:color w:val="000000"/>
              </w:rPr>
              <w:t xml:space="preserve"> </w:t>
            </w:r>
            <w:r w:rsidRPr="00047543">
              <w:rPr>
                <w:noProof/>
                <w:color w:val="000000"/>
                <w:sz w:val="16"/>
              </w:rPr>
              <w:t>(kontraktsanställda och nationella experter finansierade genom ramanslaget)</w:t>
            </w:r>
          </w:p>
        </w:tc>
        <w:tc>
          <w:tcPr>
            <w:tcW w:w="522" w:type="pct"/>
            <w:tcBorders>
              <w:top w:val="nil"/>
              <w:left w:val="nil"/>
              <w:bottom w:val="single" w:sz="8" w:space="0" w:color="auto"/>
              <w:right w:val="single" w:sz="8" w:space="0" w:color="auto"/>
            </w:tcBorders>
            <w:shd w:val="clear" w:color="000000" w:fill="D9D9D9"/>
            <w:vAlign w:val="center"/>
            <w:hideMark/>
          </w:tcPr>
          <w:p w14:paraId="55F67E87"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C60E7EB"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CAE0B45"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BF33B4C"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5DFA5FBF"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120A516A"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02 03 (kontraktsanställda, lokalanställda, nationella experter och unga experter som tjänstgör vid EU:s delegationer)</w:t>
            </w:r>
          </w:p>
        </w:tc>
        <w:tc>
          <w:tcPr>
            <w:tcW w:w="522" w:type="pct"/>
            <w:tcBorders>
              <w:top w:val="nil"/>
              <w:left w:val="nil"/>
              <w:bottom w:val="single" w:sz="8" w:space="0" w:color="auto"/>
              <w:right w:val="single" w:sz="8" w:space="0" w:color="auto"/>
            </w:tcBorders>
            <w:shd w:val="clear" w:color="000000" w:fill="D9D9D9"/>
            <w:vAlign w:val="center"/>
            <w:hideMark/>
          </w:tcPr>
          <w:p w14:paraId="30E209F4"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AA4A330"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9156891"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5594D61"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6DE40047" w14:textId="77777777">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69381699" w14:textId="77777777" w:rsidR="00A27CF2" w:rsidRPr="00047543" w:rsidRDefault="00A27CF2">
            <w:pPr>
              <w:spacing w:before="0" w:after="0"/>
              <w:jc w:val="center"/>
              <w:rPr>
                <w:noProof/>
                <w:color w:val="000000"/>
                <w:sz w:val="16"/>
                <w:szCs w:val="16"/>
              </w:rPr>
            </w:pPr>
            <w:r w:rsidRPr="00047543">
              <w:rPr>
                <w:noProof/>
                <w:color w:val="000000"/>
                <w:sz w:val="16"/>
              </w:rPr>
              <w:t>Post för admin. stöd</w:t>
            </w:r>
            <w:r w:rsidRPr="00047543">
              <w:rPr>
                <w:noProof/>
              </w:rPr>
              <w:t xml:space="preserve"> </w:t>
            </w:r>
            <w:r w:rsidRPr="00047543">
              <w:rPr>
                <w:noProof/>
              </w:rPr>
              <w:cr/>
            </w:r>
            <w:r w:rsidRPr="00047543">
              <w:rPr>
                <w:noProof/>
              </w:rPr>
              <w:br/>
            </w:r>
            <w:r w:rsidRPr="00047543">
              <w:rPr>
                <w:noProof/>
                <w:color w:val="000000"/>
                <w:sz w:val="16"/>
              </w:rPr>
              <w:t>[XX.01.YY.YY]</w:t>
            </w:r>
          </w:p>
        </w:tc>
        <w:tc>
          <w:tcPr>
            <w:tcW w:w="2098" w:type="pct"/>
            <w:tcBorders>
              <w:top w:val="nil"/>
              <w:left w:val="nil"/>
              <w:bottom w:val="single" w:sz="8" w:space="0" w:color="auto"/>
              <w:right w:val="single" w:sz="8" w:space="0" w:color="auto"/>
            </w:tcBorders>
            <w:vAlign w:val="center"/>
            <w:hideMark/>
          </w:tcPr>
          <w:p w14:paraId="27C7E139"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 vid huvudkontoret</w:t>
            </w:r>
          </w:p>
        </w:tc>
        <w:tc>
          <w:tcPr>
            <w:tcW w:w="522" w:type="pct"/>
            <w:tcBorders>
              <w:top w:val="nil"/>
              <w:left w:val="nil"/>
              <w:bottom w:val="single" w:sz="8" w:space="0" w:color="auto"/>
              <w:right w:val="single" w:sz="8" w:space="0" w:color="auto"/>
            </w:tcBorders>
            <w:shd w:val="clear" w:color="000000" w:fill="D9D9D9"/>
            <w:vAlign w:val="center"/>
            <w:hideMark/>
          </w:tcPr>
          <w:p w14:paraId="3A1801ED"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60EC01B"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EECB1F0"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9730DC5"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3376C4B3" w14:textId="77777777">
        <w:trPr>
          <w:trHeight w:val="300"/>
        </w:trPr>
        <w:tc>
          <w:tcPr>
            <w:tcW w:w="815" w:type="pct"/>
            <w:vMerge/>
            <w:tcBorders>
              <w:top w:val="nil"/>
              <w:left w:val="single" w:sz="8" w:space="0" w:color="auto"/>
              <w:bottom w:val="single" w:sz="8" w:space="0" w:color="auto"/>
              <w:right w:val="single" w:sz="8" w:space="0" w:color="auto"/>
            </w:tcBorders>
            <w:vAlign w:val="center"/>
            <w:hideMark/>
          </w:tcPr>
          <w:p w14:paraId="5EEB8918" w14:textId="77777777" w:rsidR="00A27CF2" w:rsidRPr="00047543" w:rsidRDefault="00A27CF2">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0CF74DBD"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 xml:space="preserve">- vid EU:s delegationer </w:t>
            </w:r>
          </w:p>
        </w:tc>
        <w:tc>
          <w:tcPr>
            <w:tcW w:w="522" w:type="pct"/>
            <w:tcBorders>
              <w:top w:val="nil"/>
              <w:left w:val="nil"/>
              <w:bottom w:val="single" w:sz="8" w:space="0" w:color="auto"/>
              <w:right w:val="single" w:sz="8" w:space="0" w:color="auto"/>
            </w:tcBorders>
            <w:shd w:val="clear" w:color="000000" w:fill="D9D9D9"/>
            <w:vAlign w:val="center"/>
            <w:hideMark/>
          </w:tcPr>
          <w:p w14:paraId="066E1458"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80F2ECA"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982C56A"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8DC38AA"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57DFB426"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E64D314"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01 01 01 02</w:t>
            </w:r>
            <w:r w:rsidRPr="00047543">
              <w:rPr>
                <w:rFonts w:ascii="Arial Narrow" w:hAnsi="Arial Narrow"/>
                <w:noProof/>
                <w:color w:val="000000"/>
                <w:sz w:val="20"/>
              </w:rPr>
              <w:t xml:space="preserve"> </w:t>
            </w:r>
            <w:r w:rsidRPr="00047543">
              <w:rPr>
                <w:noProof/>
                <w:color w:val="000000"/>
              </w:rPr>
              <w:t xml:space="preserve"> </w:t>
            </w:r>
            <w:r w:rsidRPr="00047543">
              <w:rPr>
                <w:noProof/>
                <w:color w:val="000000"/>
                <w:sz w:val="16"/>
              </w:rPr>
              <w:t>(kontraktsanställda och nationella experter – indirekta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14:paraId="2D028E1E"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612E572"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DF92A5F"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ADB3DD3"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79851402"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C0EF03E"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 xml:space="preserve"> 01 01 01 12 (kontraktsanställda och nationella experter – 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14:paraId="24235D95"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BC9D58C"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912537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F18125C"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7D157A44"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15D8099"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Andra budgetposter (ange vilka) – rubrik 7</w:t>
            </w:r>
          </w:p>
        </w:tc>
        <w:tc>
          <w:tcPr>
            <w:tcW w:w="522" w:type="pct"/>
            <w:tcBorders>
              <w:top w:val="nil"/>
              <w:left w:val="nil"/>
              <w:bottom w:val="single" w:sz="8" w:space="0" w:color="auto"/>
              <w:right w:val="single" w:sz="8" w:space="0" w:color="auto"/>
            </w:tcBorders>
            <w:shd w:val="clear" w:color="000000" w:fill="D9D9D9"/>
            <w:vAlign w:val="center"/>
            <w:hideMark/>
          </w:tcPr>
          <w:p w14:paraId="7B1B2866"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BE9C172"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1AF297A"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7D6F8DA"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0865E8FB"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C006FF3"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Andra budgetposter (ange vilka) – utanför rubrik 7</w:t>
            </w:r>
          </w:p>
        </w:tc>
        <w:tc>
          <w:tcPr>
            <w:tcW w:w="522" w:type="pct"/>
            <w:tcBorders>
              <w:top w:val="nil"/>
              <w:left w:val="nil"/>
              <w:bottom w:val="single" w:sz="8" w:space="0" w:color="auto"/>
              <w:right w:val="single" w:sz="8" w:space="0" w:color="auto"/>
            </w:tcBorders>
            <w:shd w:val="clear" w:color="000000" w:fill="D9D9D9"/>
            <w:vAlign w:val="center"/>
            <w:hideMark/>
          </w:tcPr>
          <w:p w14:paraId="77D390D2"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A67B670"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7CE9AC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C140DE5"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5A8E5738"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8A7900B" w14:textId="77777777" w:rsidR="00A27CF2" w:rsidRPr="00047543" w:rsidRDefault="00A27CF2">
            <w:pPr>
              <w:spacing w:before="0" w:after="0"/>
              <w:ind w:firstLineChars="100" w:firstLine="160"/>
              <w:jc w:val="left"/>
              <w:rPr>
                <w:b/>
                <w:bCs/>
                <w:noProof/>
                <w:color w:val="000000"/>
                <w:sz w:val="16"/>
                <w:szCs w:val="16"/>
              </w:rPr>
            </w:pPr>
            <w:r w:rsidRPr="00047543">
              <w:rPr>
                <w:b/>
                <w:noProof/>
                <w:color w:val="000000"/>
                <w:sz w:val="16"/>
              </w:rPr>
              <w:t>TOTALT</w:t>
            </w:r>
          </w:p>
        </w:tc>
        <w:tc>
          <w:tcPr>
            <w:tcW w:w="522" w:type="pct"/>
            <w:tcBorders>
              <w:top w:val="nil"/>
              <w:left w:val="nil"/>
              <w:bottom w:val="single" w:sz="8" w:space="0" w:color="auto"/>
              <w:right w:val="single" w:sz="8" w:space="0" w:color="auto"/>
            </w:tcBorders>
            <w:shd w:val="clear" w:color="000000" w:fill="D9D9D9"/>
            <w:vAlign w:val="center"/>
            <w:hideMark/>
          </w:tcPr>
          <w:p w14:paraId="5F4DCBF0"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6959D24"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4BA3794"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6F3303D"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r>
    </w:tbl>
    <w:p w14:paraId="21B4EEFD" w14:textId="77777777" w:rsidR="00A27CF2" w:rsidRPr="00047543" w:rsidRDefault="00A27CF2" w:rsidP="00A27CF2">
      <w:pPr>
        <w:pStyle w:val="ManualHeading3"/>
        <w:rPr>
          <w:noProof/>
        </w:rPr>
      </w:pPr>
      <w:r w:rsidRPr="00047543">
        <w:rPr>
          <w:noProof/>
        </w:rPr>
        <w:t>3.2.4.2</w:t>
      </w:r>
      <w:r w:rsidRPr="00047543">
        <w:rPr>
          <w:noProof/>
        </w:rPr>
        <w:tab/>
        <w:t>Finansierat med externa inkomster avsatta för särskilda ändamål</w:t>
      </w:r>
    </w:p>
    <w:tbl>
      <w:tblPr>
        <w:tblW w:w="5000" w:type="pct"/>
        <w:tblLook w:val="04A0" w:firstRow="1" w:lastRow="0" w:firstColumn="1" w:lastColumn="0" w:noHBand="0" w:noVBand="1"/>
      </w:tblPr>
      <w:tblGrid>
        <w:gridCol w:w="1513"/>
        <w:gridCol w:w="3898"/>
        <w:gridCol w:w="970"/>
        <w:gridCol w:w="970"/>
        <w:gridCol w:w="970"/>
        <w:gridCol w:w="968"/>
      </w:tblGrid>
      <w:tr w:rsidR="00A27CF2" w:rsidRPr="00047543" w14:paraId="18F3DAC9" w14:textId="77777777">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35412C1D" w14:textId="77777777" w:rsidR="00A27CF2" w:rsidRPr="00047543" w:rsidRDefault="00A27CF2">
            <w:pPr>
              <w:spacing w:before="0" w:after="0"/>
              <w:jc w:val="center"/>
              <w:rPr>
                <w:b/>
                <w:bCs/>
                <w:noProof/>
                <w:color w:val="000000"/>
                <w:sz w:val="18"/>
                <w:szCs w:val="18"/>
              </w:rPr>
            </w:pPr>
            <w:r w:rsidRPr="00047543">
              <w:rPr>
                <w:b/>
                <w:noProof/>
                <w:color w:val="000000"/>
                <w:sz w:val="18"/>
              </w:rPr>
              <w:t>EXTERNA INKOMSTER AVSATTA FÖR SÄRSKILDA ÄNDAMÅL</w:t>
            </w:r>
          </w:p>
        </w:tc>
        <w:tc>
          <w:tcPr>
            <w:tcW w:w="522" w:type="pct"/>
            <w:tcBorders>
              <w:top w:val="single" w:sz="8" w:space="0" w:color="auto"/>
              <w:left w:val="nil"/>
              <w:bottom w:val="nil"/>
              <w:right w:val="single" w:sz="8" w:space="0" w:color="auto"/>
            </w:tcBorders>
            <w:vAlign w:val="center"/>
            <w:hideMark/>
          </w:tcPr>
          <w:p w14:paraId="204623F6"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22" w:type="pct"/>
            <w:tcBorders>
              <w:top w:val="single" w:sz="8" w:space="0" w:color="auto"/>
              <w:left w:val="nil"/>
              <w:bottom w:val="nil"/>
              <w:right w:val="single" w:sz="8" w:space="0" w:color="auto"/>
            </w:tcBorders>
            <w:vAlign w:val="center"/>
            <w:hideMark/>
          </w:tcPr>
          <w:p w14:paraId="3DDE5C86"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22" w:type="pct"/>
            <w:tcBorders>
              <w:top w:val="single" w:sz="8" w:space="0" w:color="auto"/>
              <w:left w:val="nil"/>
              <w:bottom w:val="nil"/>
              <w:right w:val="single" w:sz="8" w:space="0" w:color="auto"/>
            </w:tcBorders>
            <w:vAlign w:val="center"/>
            <w:hideMark/>
          </w:tcPr>
          <w:p w14:paraId="16905773"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522" w:type="pct"/>
            <w:tcBorders>
              <w:top w:val="single" w:sz="8" w:space="0" w:color="auto"/>
              <w:left w:val="nil"/>
              <w:bottom w:val="nil"/>
              <w:right w:val="single" w:sz="8" w:space="0" w:color="auto"/>
            </w:tcBorders>
            <w:vAlign w:val="center"/>
            <w:hideMark/>
          </w:tcPr>
          <w:p w14:paraId="3A77974B" w14:textId="77777777" w:rsidR="00A27CF2" w:rsidRPr="00047543" w:rsidRDefault="00A27CF2">
            <w:pPr>
              <w:spacing w:before="0" w:after="0"/>
              <w:jc w:val="center"/>
              <w:rPr>
                <w:noProof/>
                <w:color w:val="000000"/>
                <w:sz w:val="20"/>
                <w:szCs w:val="20"/>
              </w:rPr>
            </w:pPr>
            <w:r w:rsidRPr="00047543">
              <w:rPr>
                <w:noProof/>
                <w:color w:val="000000"/>
                <w:sz w:val="20"/>
              </w:rPr>
              <w:t>År</w:t>
            </w:r>
          </w:p>
        </w:tc>
      </w:tr>
      <w:tr w:rsidR="00A27CF2" w:rsidRPr="00047543" w14:paraId="17901C70" w14:textId="77777777">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5E1D0FE2" w14:textId="77777777" w:rsidR="00A27CF2" w:rsidRPr="00047543" w:rsidRDefault="00A27CF2">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1BF73A27"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522" w:type="pct"/>
            <w:tcBorders>
              <w:top w:val="nil"/>
              <w:left w:val="nil"/>
              <w:bottom w:val="single" w:sz="8" w:space="0" w:color="auto"/>
              <w:right w:val="single" w:sz="8" w:space="0" w:color="auto"/>
            </w:tcBorders>
            <w:vAlign w:val="center"/>
            <w:hideMark/>
          </w:tcPr>
          <w:p w14:paraId="767EB6F7"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522" w:type="pct"/>
            <w:tcBorders>
              <w:top w:val="nil"/>
              <w:left w:val="nil"/>
              <w:bottom w:val="single" w:sz="8" w:space="0" w:color="auto"/>
              <w:right w:val="single" w:sz="8" w:space="0" w:color="auto"/>
            </w:tcBorders>
            <w:vAlign w:val="center"/>
            <w:hideMark/>
          </w:tcPr>
          <w:p w14:paraId="763E28E6"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522" w:type="pct"/>
            <w:tcBorders>
              <w:top w:val="nil"/>
              <w:left w:val="nil"/>
              <w:bottom w:val="single" w:sz="8" w:space="0" w:color="auto"/>
              <w:right w:val="single" w:sz="8" w:space="0" w:color="auto"/>
            </w:tcBorders>
            <w:vAlign w:val="center"/>
            <w:hideMark/>
          </w:tcPr>
          <w:p w14:paraId="49B3F378"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r>
      <w:tr w:rsidR="00A27CF2" w:rsidRPr="00047543" w14:paraId="1CC9D307"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0E9FA000" w14:textId="77777777" w:rsidR="00A27CF2" w:rsidRPr="00047543" w:rsidRDefault="00A27CF2">
            <w:pPr>
              <w:spacing w:before="0" w:after="0"/>
              <w:jc w:val="left"/>
              <w:rPr>
                <w:rFonts w:ascii="Wingdings" w:hAnsi="Wingdings" w:cs="Calibri"/>
                <w:b/>
                <w:bCs/>
                <w:noProof/>
                <w:color w:val="000000"/>
                <w:sz w:val="16"/>
                <w:szCs w:val="16"/>
              </w:rPr>
            </w:pPr>
            <w:r w:rsidRPr="00047543">
              <w:rPr>
                <w:rFonts w:ascii="Wingdings" w:hAnsi="Wingdings"/>
                <w:b/>
                <w:noProof/>
                <w:color w:val="000000"/>
                <w:sz w:val="16"/>
              </w:rPr>
              <w:t></w:t>
            </w:r>
            <w:r w:rsidRPr="00047543">
              <w:rPr>
                <w:b/>
                <w:noProof/>
                <w:color w:val="000000"/>
                <w:sz w:val="16"/>
              </w:rPr>
              <w:t xml:space="preserve"> Tjänster som tas upp i tjänsteförteckningen (tjänstemän och tillfälligt anställda)</w:t>
            </w:r>
          </w:p>
        </w:tc>
      </w:tr>
      <w:tr w:rsidR="00A27CF2" w:rsidRPr="00047543" w14:paraId="2B414E3C"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5B181C6"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20 01 02 01</w:t>
            </w:r>
            <w:r w:rsidRPr="00047543">
              <w:rPr>
                <w:rFonts w:ascii="Arial Narrow" w:hAnsi="Arial Narrow"/>
                <w:noProof/>
                <w:color w:val="000000"/>
                <w:sz w:val="20"/>
              </w:rPr>
              <w:t xml:space="preserve"> </w:t>
            </w:r>
            <w:r w:rsidRPr="00047543">
              <w:rPr>
                <w:noProof/>
                <w:color w:val="000000"/>
              </w:rPr>
              <w:t xml:space="preserve"> </w:t>
            </w:r>
            <w:r w:rsidRPr="00047543">
              <w:rPr>
                <w:noProof/>
                <w:color w:val="000000"/>
                <w:sz w:val="16"/>
              </w:rPr>
              <w:t>(vid huvudkontoret eller vid kommissionens kontor i medlemsstaterna)</w:t>
            </w:r>
          </w:p>
        </w:tc>
        <w:tc>
          <w:tcPr>
            <w:tcW w:w="522" w:type="pct"/>
            <w:tcBorders>
              <w:top w:val="nil"/>
              <w:left w:val="nil"/>
              <w:bottom w:val="single" w:sz="8" w:space="0" w:color="auto"/>
              <w:right w:val="single" w:sz="8" w:space="0" w:color="auto"/>
            </w:tcBorders>
            <w:shd w:val="clear" w:color="000000" w:fill="D9D9D9"/>
            <w:vAlign w:val="center"/>
            <w:hideMark/>
          </w:tcPr>
          <w:p w14:paraId="05CC2E5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519CBC5"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9AAFF16"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008C383"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06C96C58"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3631EE1"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01 02 03 (EU:s delegationer)</w:t>
            </w:r>
          </w:p>
        </w:tc>
        <w:tc>
          <w:tcPr>
            <w:tcW w:w="522" w:type="pct"/>
            <w:tcBorders>
              <w:top w:val="nil"/>
              <w:left w:val="nil"/>
              <w:bottom w:val="single" w:sz="8" w:space="0" w:color="auto"/>
              <w:right w:val="single" w:sz="8" w:space="0" w:color="auto"/>
            </w:tcBorders>
            <w:shd w:val="clear" w:color="000000" w:fill="D9D9D9"/>
            <w:vAlign w:val="center"/>
            <w:hideMark/>
          </w:tcPr>
          <w:p w14:paraId="0CA4515E"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6D23C66"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A63BFD7"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FC36A14"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2594C45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84E0ECF"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01 01 01 01 (indirekta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14:paraId="659B06CB"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76093A8"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F0D5BD1"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E8814D9"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0E43B066"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73C1816"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01 01 01 11 (direkta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14:paraId="3774FAD4"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DC77401"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7BA0DCD"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7B0373C"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4640C35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5D2E3FD"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Andra budgetposter (ange vilka)</w:t>
            </w:r>
          </w:p>
        </w:tc>
        <w:tc>
          <w:tcPr>
            <w:tcW w:w="522" w:type="pct"/>
            <w:tcBorders>
              <w:top w:val="nil"/>
              <w:left w:val="nil"/>
              <w:bottom w:val="single" w:sz="8" w:space="0" w:color="auto"/>
              <w:right w:val="single" w:sz="8" w:space="0" w:color="auto"/>
            </w:tcBorders>
            <w:shd w:val="clear" w:color="000000" w:fill="D9D9D9"/>
            <w:vAlign w:val="center"/>
            <w:hideMark/>
          </w:tcPr>
          <w:p w14:paraId="16813DD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72D841E"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8326325"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01239D1"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20D92BBC" w14:textId="77777777">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3D91E3B3" w14:textId="77777777" w:rsidR="00A27CF2" w:rsidRPr="00047543" w:rsidRDefault="00A27CF2">
            <w:pPr>
              <w:spacing w:before="0" w:after="0"/>
              <w:jc w:val="left"/>
              <w:rPr>
                <w:rFonts w:ascii="Wingdings" w:hAnsi="Wingdings" w:cs="Calibri"/>
                <w:b/>
                <w:bCs/>
                <w:noProof/>
                <w:color w:val="000000"/>
                <w:sz w:val="16"/>
                <w:szCs w:val="16"/>
              </w:rPr>
            </w:pPr>
            <w:r w:rsidRPr="00047543">
              <w:rPr>
                <w:rFonts w:ascii="Calibri" w:hAnsi="Calibri"/>
                <w:b/>
                <w:noProof/>
                <w:color w:val="000000"/>
                <w:sz w:val="16"/>
              </w:rPr>
              <w:t>•</w:t>
            </w:r>
            <w:r w:rsidRPr="00047543">
              <w:rPr>
                <w:b/>
                <w:noProof/>
                <w:color w:val="000000"/>
                <w:sz w:val="16"/>
              </w:rPr>
              <w:t xml:space="preserve"> Extern personal (heltidsekvivalenter)</w:t>
            </w:r>
          </w:p>
        </w:tc>
      </w:tr>
      <w:tr w:rsidR="00A27CF2" w:rsidRPr="00047543" w14:paraId="5404B924"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66F9FBE"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20 02 01</w:t>
            </w:r>
            <w:r w:rsidRPr="00047543">
              <w:rPr>
                <w:noProof/>
                <w:color w:val="000000"/>
              </w:rPr>
              <w:t xml:space="preserve"> </w:t>
            </w:r>
            <w:r w:rsidRPr="00047543">
              <w:rPr>
                <w:noProof/>
                <w:color w:val="000000"/>
                <w:sz w:val="16"/>
              </w:rPr>
              <w:t>(kontraktsanställda och nationella experter finansierade genom ramanslaget)</w:t>
            </w:r>
          </w:p>
        </w:tc>
        <w:tc>
          <w:tcPr>
            <w:tcW w:w="522" w:type="pct"/>
            <w:tcBorders>
              <w:top w:val="nil"/>
              <w:left w:val="nil"/>
              <w:bottom w:val="single" w:sz="8" w:space="0" w:color="auto"/>
              <w:right w:val="single" w:sz="8" w:space="0" w:color="auto"/>
            </w:tcBorders>
            <w:shd w:val="clear" w:color="000000" w:fill="D9D9D9"/>
            <w:vAlign w:val="center"/>
            <w:hideMark/>
          </w:tcPr>
          <w:p w14:paraId="43500AB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0B74439"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1C13EAF"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D8EA2B5"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22923B91"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43F8D8B"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02 03 (kontraktsanställda, lokalanställda, nationella experter och unga experter som tjänstgör vid EU:s delegationer)</w:t>
            </w:r>
          </w:p>
        </w:tc>
        <w:tc>
          <w:tcPr>
            <w:tcW w:w="522" w:type="pct"/>
            <w:tcBorders>
              <w:top w:val="nil"/>
              <w:left w:val="nil"/>
              <w:bottom w:val="single" w:sz="8" w:space="0" w:color="auto"/>
              <w:right w:val="single" w:sz="8" w:space="0" w:color="auto"/>
            </w:tcBorders>
            <w:shd w:val="clear" w:color="000000" w:fill="D9D9D9"/>
            <w:vAlign w:val="center"/>
            <w:hideMark/>
          </w:tcPr>
          <w:p w14:paraId="2525E3D1"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9A185FE"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49E3C8A"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58536C0"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60C996DE" w14:textId="77777777">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5F03FF04" w14:textId="77777777" w:rsidR="00A27CF2" w:rsidRPr="00047543" w:rsidRDefault="00A27CF2">
            <w:pPr>
              <w:spacing w:before="0" w:after="0"/>
              <w:jc w:val="center"/>
              <w:rPr>
                <w:noProof/>
                <w:color w:val="000000"/>
                <w:sz w:val="16"/>
                <w:szCs w:val="16"/>
              </w:rPr>
            </w:pPr>
            <w:r w:rsidRPr="00047543">
              <w:rPr>
                <w:noProof/>
                <w:color w:val="000000"/>
                <w:sz w:val="16"/>
              </w:rPr>
              <w:t>Post för admin. stöd</w:t>
            </w:r>
            <w:r w:rsidRPr="00047543">
              <w:rPr>
                <w:noProof/>
              </w:rPr>
              <w:cr/>
            </w:r>
            <w:r w:rsidRPr="00047543">
              <w:rPr>
                <w:noProof/>
              </w:rPr>
              <w:br/>
            </w:r>
            <w:r w:rsidRPr="00047543">
              <w:rPr>
                <w:noProof/>
                <w:color w:val="000000"/>
                <w:sz w:val="16"/>
              </w:rPr>
              <w:t>[XX.01.YY.YY]</w:t>
            </w:r>
          </w:p>
        </w:tc>
        <w:tc>
          <w:tcPr>
            <w:tcW w:w="2098" w:type="pct"/>
            <w:tcBorders>
              <w:top w:val="nil"/>
              <w:left w:val="nil"/>
              <w:bottom w:val="single" w:sz="8" w:space="0" w:color="auto"/>
              <w:right w:val="single" w:sz="8" w:space="0" w:color="auto"/>
            </w:tcBorders>
            <w:vAlign w:val="center"/>
            <w:hideMark/>
          </w:tcPr>
          <w:p w14:paraId="375B3863"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 vid huvudkontoret</w:t>
            </w:r>
          </w:p>
        </w:tc>
        <w:tc>
          <w:tcPr>
            <w:tcW w:w="522" w:type="pct"/>
            <w:tcBorders>
              <w:top w:val="nil"/>
              <w:left w:val="nil"/>
              <w:bottom w:val="single" w:sz="8" w:space="0" w:color="auto"/>
              <w:right w:val="single" w:sz="8" w:space="0" w:color="auto"/>
            </w:tcBorders>
            <w:shd w:val="clear" w:color="000000" w:fill="D9D9D9"/>
            <w:vAlign w:val="center"/>
            <w:hideMark/>
          </w:tcPr>
          <w:p w14:paraId="418EF21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3E9A104"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4D2CF5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66877D2"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747BC01D" w14:textId="77777777">
        <w:trPr>
          <w:trHeight w:val="300"/>
        </w:trPr>
        <w:tc>
          <w:tcPr>
            <w:tcW w:w="815" w:type="pct"/>
            <w:vMerge/>
            <w:tcBorders>
              <w:top w:val="nil"/>
              <w:left w:val="single" w:sz="8" w:space="0" w:color="auto"/>
              <w:bottom w:val="single" w:sz="8" w:space="0" w:color="auto"/>
              <w:right w:val="single" w:sz="8" w:space="0" w:color="auto"/>
            </w:tcBorders>
            <w:vAlign w:val="center"/>
            <w:hideMark/>
          </w:tcPr>
          <w:p w14:paraId="30ADABD9" w14:textId="77777777" w:rsidR="00A27CF2" w:rsidRPr="00047543" w:rsidRDefault="00A27CF2">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11A67E93"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 xml:space="preserve">- vid EU:s delegationer </w:t>
            </w:r>
          </w:p>
        </w:tc>
        <w:tc>
          <w:tcPr>
            <w:tcW w:w="522" w:type="pct"/>
            <w:tcBorders>
              <w:top w:val="nil"/>
              <w:left w:val="nil"/>
              <w:bottom w:val="single" w:sz="8" w:space="0" w:color="auto"/>
              <w:right w:val="single" w:sz="8" w:space="0" w:color="auto"/>
            </w:tcBorders>
            <w:shd w:val="clear" w:color="000000" w:fill="D9D9D9"/>
            <w:vAlign w:val="center"/>
            <w:hideMark/>
          </w:tcPr>
          <w:p w14:paraId="3B527F9B"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6F62B9B"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CF3D265"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0DB348D"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47613736"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A860FE6"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01 01 01 02</w:t>
            </w:r>
            <w:r w:rsidRPr="00047543">
              <w:rPr>
                <w:rFonts w:ascii="Arial Narrow" w:hAnsi="Arial Narrow"/>
                <w:noProof/>
                <w:color w:val="000000"/>
                <w:sz w:val="20"/>
              </w:rPr>
              <w:t xml:space="preserve"> </w:t>
            </w:r>
            <w:r w:rsidRPr="00047543">
              <w:rPr>
                <w:noProof/>
                <w:color w:val="000000"/>
              </w:rPr>
              <w:t xml:space="preserve"> </w:t>
            </w:r>
            <w:r w:rsidRPr="00047543">
              <w:rPr>
                <w:noProof/>
                <w:color w:val="000000"/>
                <w:sz w:val="16"/>
              </w:rPr>
              <w:t>(kontraktsanställda och nationella experter – indirekta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14:paraId="141CB736"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CAD3F20"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D5B846C"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AF3D5E4"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49D2D662"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778FF2F9"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 xml:space="preserve"> 01 01 01 12 (kontraktsanställda och nationella experter – direkta forskningsåtgärder)</w:t>
            </w:r>
          </w:p>
        </w:tc>
        <w:tc>
          <w:tcPr>
            <w:tcW w:w="522" w:type="pct"/>
            <w:tcBorders>
              <w:top w:val="nil"/>
              <w:left w:val="nil"/>
              <w:bottom w:val="single" w:sz="8" w:space="0" w:color="auto"/>
              <w:right w:val="single" w:sz="8" w:space="0" w:color="auto"/>
            </w:tcBorders>
            <w:shd w:val="clear" w:color="000000" w:fill="D9D9D9"/>
            <w:vAlign w:val="center"/>
            <w:hideMark/>
          </w:tcPr>
          <w:p w14:paraId="68692AEC"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5A0924D"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C196366"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5070837"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318F8E57"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3877547B"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Andra budgetposter (ange vilka) – rubrik 7</w:t>
            </w:r>
          </w:p>
        </w:tc>
        <w:tc>
          <w:tcPr>
            <w:tcW w:w="522" w:type="pct"/>
            <w:tcBorders>
              <w:top w:val="nil"/>
              <w:left w:val="nil"/>
              <w:bottom w:val="single" w:sz="8" w:space="0" w:color="auto"/>
              <w:right w:val="single" w:sz="8" w:space="0" w:color="auto"/>
            </w:tcBorders>
            <w:shd w:val="clear" w:color="000000" w:fill="D9D9D9"/>
            <w:vAlign w:val="center"/>
            <w:hideMark/>
          </w:tcPr>
          <w:p w14:paraId="54F0B538"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1650A9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C536C18"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7667B27"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6651DF4A"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B546D27"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Andra budgetposter (ange vilka) – utanför rubrik 7</w:t>
            </w:r>
          </w:p>
        </w:tc>
        <w:tc>
          <w:tcPr>
            <w:tcW w:w="522" w:type="pct"/>
            <w:tcBorders>
              <w:top w:val="nil"/>
              <w:left w:val="nil"/>
              <w:bottom w:val="single" w:sz="8" w:space="0" w:color="auto"/>
              <w:right w:val="single" w:sz="8" w:space="0" w:color="auto"/>
            </w:tcBorders>
            <w:shd w:val="clear" w:color="000000" w:fill="D9D9D9"/>
            <w:vAlign w:val="center"/>
            <w:hideMark/>
          </w:tcPr>
          <w:p w14:paraId="20EC714C"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9C33B77"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1CD0951"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1EB2E08"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2DBFD827" w14:textId="77777777">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DF019C8" w14:textId="77777777" w:rsidR="00A27CF2" w:rsidRPr="00047543" w:rsidRDefault="00A27CF2">
            <w:pPr>
              <w:spacing w:before="0" w:after="0"/>
              <w:ind w:firstLineChars="100" w:firstLine="160"/>
              <w:jc w:val="left"/>
              <w:rPr>
                <w:b/>
                <w:bCs/>
                <w:noProof/>
                <w:color w:val="000000"/>
                <w:sz w:val="16"/>
                <w:szCs w:val="16"/>
              </w:rPr>
            </w:pPr>
            <w:r w:rsidRPr="00047543">
              <w:rPr>
                <w:b/>
                <w:noProof/>
                <w:color w:val="000000"/>
                <w:sz w:val="16"/>
              </w:rPr>
              <w:t>TOTALT</w:t>
            </w:r>
          </w:p>
        </w:tc>
        <w:tc>
          <w:tcPr>
            <w:tcW w:w="522" w:type="pct"/>
            <w:tcBorders>
              <w:top w:val="nil"/>
              <w:left w:val="nil"/>
              <w:bottom w:val="single" w:sz="8" w:space="0" w:color="auto"/>
              <w:right w:val="single" w:sz="8" w:space="0" w:color="auto"/>
            </w:tcBorders>
            <w:shd w:val="clear" w:color="000000" w:fill="D9D9D9"/>
            <w:vAlign w:val="center"/>
            <w:hideMark/>
          </w:tcPr>
          <w:p w14:paraId="2F1A102F"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5EB9EBD"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B356CF7"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BA1EAF7"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r>
    </w:tbl>
    <w:p w14:paraId="33D42284" w14:textId="77777777" w:rsidR="00A27CF2" w:rsidRPr="00047543" w:rsidRDefault="00A27CF2" w:rsidP="00A27CF2">
      <w:pPr>
        <w:pStyle w:val="ManualHeading3"/>
        <w:rPr>
          <w:noProof/>
        </w:rPr>
      </w:pPr>
      <w:r w:rsidRPr="00047543">
        <w:rPr>
          <w:noProof/>
        </w:rPr>
        <w:t>3.2.4.3</w:t>
      </w:r>
      <w:r w:rsidRPr="00047543">
        <w:rPr>
          <w:noProof/>
        </w:rPr>
        <w:tab/>
        <w:t>Totalt personalbehov</w:t>
      </w:r>
    </w:p>
    <w:tbl>
      <w:tblPr>
        <w:tblW w:w="9200" w:type="dxa"/>
        <w:tblLook w:val="04A0" w:firstRow="1" w:lastRow="0" w:firstColumn="1" w:lastColumn="0" w:noHBand="0" w:noVBand="1"/>
      </w:tblPr>
      <w:tblGrid>
        <w:gridCol w:w="1500"/>
        <w:gridCol w:w="3860"/>
        <w:gridCol w:w="960"/>
        <w:gridCol w:w="960"/>
        <w:gridCol w:w="960"/>
        <w:gridCol w:w="960"/>
      </w:tblGrid>
      <w:tr w:rsidR="00A27CF2" w:rsidRPr="00047543" w14:paraId="662E6D16" w14:textId="77777777">
        <w:trPr>
          <w:trHeight w:val="492"/>
        </w:trPr>
        <w:tc>
          <w:tcPr>
            <w:tcW w:w="536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6C3CED54" w14:textId="77777777" w:rsidR="00A27CF2" w:rsidRPr="00047543" w:rsidRDefault="00A27CF2">
            <w:pPr>
              <w:spacing w:before="0" w:after="0"/>
              <w:jc w:val="center"/>
              <w:rPr>
                <w:b/>
                <w:bCs/>
                <w:noProof/>
                <w:color w:val="000000"/>
                <w:sz w:val="18"/>
                <w:szCs w:val="18"/>
              </w:rPr>
            </w:pPr>
            <w:r w:rsidRPr="00047543">
              <w:rPr>
                <w:b/>
                <w:noProof/>
                <w:color w:val="000000"/>
                <w:sz w:val="18"/>
              </w:rPr>
              <w:t>TOTALA ANTAGNA ANSLAG + EXTERNA INKOMSTER AVSATTA FÖR SÄRSKILDA ÄNDAMÅL</w:t>
            </w:r>
          </w:p>
        </w:tc>
        <w:tc>
          <w:tcPr>
            <w:tcW w:w="960" w:type="dxa"/>
            <w:tcBorders>
              <w:top w:val="single" w:sz="8" w:space="0" w:color="auto"/>
              <w:left w:val="nil"/>
              <w:bottom w:val="nil"/>
              <w:right w:val="single" w:sz="8" w:space="0" w:color="auto"/>
            </w:tcBorders>
            <w:vAlign w:val="center"/>
            <w:hideMark/>
          </w:tcPr>
          <w:p w14:paraId="7869A560"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960" w:type="dxa"/>
            <w:tcBorders>
              <w:top w:val="single" w:sz="8" w:space="0" w:color="auto"/>
              <w:left w:val="nil"/>
              <w:bottom w:val="nil"/>
              <w:right w:val="single" w:sz="8" w:space="0" w:color="auto"/>
            </w:tcBorders>
            <w:vAlign w:val="center"/>
            <w:hideMark/>
          </w:tcPr>
          <w:p w14:paraId="07FA4971"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960" w:type="dxa"/>
            <w:tcBorders>
              <w:top w:val="single" w:sz="8" w:space="0" w:color="auto"/>
              <w:left w:val="nil"/>
              <w:bottom w:val="nil"/>
              <w:right w:val="single" w:sz="8" w:space="0" w:color="auto"/>
            </w:tcBorders>
            <w:vAlign w:val="center"/>
            <w:hideMark/>
          </w:tcPr>
          <w:p w14:paraId="27E02761" w14:textId="77777777" w:rsidR="00A27CF2" w:rsidRPr="00047543" w:rsidRDefault="00A27CF2">
            <w:pPr>
              <w:spacing w:before="0" w:after="0"/>
              <w:jc w:val="center"/>
              <w:rPr>
                <w:noProof/>
                <w:color w:val="000000"/>
                <w:sz w:val="20"/>
                <w:szCs w:val="20"/>
              </w:rPr>
            </w:pPr>
            <w:r w:rsidRPr="00047543">
              <w:rPr>
                <w:noProof/>
                <w:color w:val="000000"/>
                <w:sz w:val="20"/>
              </w:rPr>
              <w:t>År</w:t>
            </w:r>
          </w:p>
        </w:tc>
        <w:tc>
          <w:tcPr>
            <w:tcW w:w="960" w:type="dxa"/>
            <w:tcBorders>
              <w:top w:val="single" w:sz="8" w:space="0" w:color="auto"/>
              <w:left w:val="nil"/>
              <w:bottom w:val="nil"/>
              <w:right w:val="single" w:sz="8" w:space="0" w:color="auto"/>
            </w:tcBorders>
            <w:vAlign w:val="center"/>
            <w:hideMark/>
          </w:tcPr>
          <w:p w14:paraId="5D5377F9" w14:textId="77777777" w:rsidR="00A27CF2" w:rsidRPr="00047543" w:rsidRDefault="00A27CF2">
            <w:pPr>
              <w:spacing w:before="0" w:after="0"/>
              <w:jc w:val="center"/>
              <w:rPr>
                <w:noProof/>
                <w:color w:val="000000"/>
                <w:sz w:val="20"/>
                <w:szCs w:val="20"/>
              </w:rPr>
            </w:pPr>
            <w:r w:rsidRPr="00047543">
              <w:rPr>
                <w:noProof/>
                <w:color w:val="000000"/>
                <w:sz w:val="20"/>
              </w:rPr>
              <w:t>År</w:t>
            </w:r>
          </w:p>
        </w:tc>
      </w:tr>
      <w:tr w:rsidR="00A27CF2" w:rsidRPr="00047543" w14:paraId="09959C9B" w14:textId="77777777">
        <w:trPr>
          <w:trHeight w:val="492"/>
        </w:trPr>
        <w:tc>
          <w:tcPr>
            <w:tcW w:w="5360" w:type="dxa"/>
            <w:gridSpan w:val="2"/>
            <w:vMerge/>
            <w:tcBorders>
              <w:top w:val="single" w:sz="8" w:space="0" w:color="auto"/>
              <w:left w:val="single" w:sz="8" w:space="0" w:color="auto"/>
              <w:bottom w:val="single" w:sz="8" w:space="0" w:color="auto"/>
              <w:right w:val="single" w:sz="8" w:space="0" w:color="000000"/>
            </w:tcBorders>
            <w:vAlign w:val="center"/>
            <w:hideMark/>
          </w:tcPr>
          <w:p w14:paraId="1E1BD8D5" w14:textId="77777777" w:rsidR="00A27CF2" w:rsidRPr="00047543" w:rsidRDefault="00A27CF2">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vAlign w:val="center"/>
            <w:hideMark/>
          </w:tcPr>
          <w:p w14:paraId="2D5A362D" w14:textId="77777777" w:rsidR="00A27CF2" w:rsidRPr="00047543" w:rsidRDefault="00A27CF2">
            <w:pPr>
              <w:spacing w:before="0" w:after="0"/>
              <w:jc w:val="center"/>
              <w:rPr>
                <w:b/>
                <w:bCs/>
                <w:noProof/>
                <w:color w:val="000000"/>
                <w:sz w:val="20"/>
                <w:szCs w:val="20"/>
              </w:rPr>
            </w:pPr>
            <w:r w:rsidRPr="00047543">
              <w:rPr>
                <w:b/>
                <w:noProof/>
                <w:color w:val="000000"/>
                <w:sz w:val="20"/>
              </w:rPr>
              <w:t>2024</w:t>
            </w:r>
          </w:p>
        </w:tc>
        <w:tc>
          <w:tcPr>
            <w:tcW w:w="960" w:type="dxa"/>
            <w:tcBorders>
              <w:top w:val="nil"/>
              <w:left w:val="nil"/>
              <w:bottom w:val="single" w:sz="8" w:space="0" w:color="auto"/>
              <w:right w:val="single" w:sz="8" w:space="0" w:color="auto"/>
            </w:tcBorders>
            <w:vAlign w:val="center"/>
            <w:hideMark/>
          </w:tcPr>
          <w:p w14:paraId="78DD2B2B" w14:textId="77777777" w:rsidR="00A27CF2" w:rsidRPr="00047543" w:rsidRDefault="00A27CF2">
            <w:pPr>
              <w:spacing w:before="0" w:after="0"/>
              <w:jc w:val="center"/>
              <w:rPr>
                <w:b/>
                <w:bCs/>
                <w:noProof/>
                <w:color w:val="000000"/>
                <w:sz w:val="20"/>
                <w:szCs w:val="20"/>
              </w:rPr>
            </w:pPr>
            <w:r w:rsidRPr="00047543">
              <w:rPr>
                <w:b/>
                <w:noProof/>
                <w:color w:val="000000"/>
                <w:sz w:val="20"/>
              </w:rPr>
              <w:t>2025</w:t>
            </w:r>
          </w:p>
        </w:tc>
        <w:tc>
          <w:tcPr>
            <w:tcW w:w="960" w:type="dxa"/>
            <w:tcBorders>
              <w:top w:val="nil"/>
              <w:left w:val="nil"/>
              <w:bottom w:val="single" w:sz="8" w:space="0" w:color="auto"/>
              <w:right w:val="single" w:sz="8" w:space="0" w:color="auto"/>
            </w:tcBorders>
            <w:vAlign w:val="center"/>
            <w:hideMark/>
          </w:tcPr>
          <w:p w14:paraId="57CE141E" w14:textId="77777777" w:rsidR="00A27CF2" w:rsidRPr="00047543" w:rsidRDefault="00A27CF2">
            <w:pPr>
              <w:spacing w:before="0" w:after="0"/>
              <w:jc w:val="center"/>
              <w:rPr>
                <w:b/>
                <w:bCs/>
                <w:noProof/>
                <w:color w:val="000000"/>
                <w:sz w:val="20"/>
                <w:szCs w:val="20"/>
              </w:rPr>
            </w:pPr>
            <w:r w:rsidRPr="00047543">
              <w:rPr>
                <w:b/>
                <w:noProof/>
                <w:color w:val="000000"/>
                <w:sz w:val="20"/>
              </w:rPr>
              <w:t>2026</w:t>
            </w:r>
          </w:p>
        </w:tc>
        <w:tc>
          <w:tcPr>
            <w:tcW w:w="960" w:type="dxa"/>
            <w:tcBorders>
              <w:top w:val="nil"/>
              <w:left w:val="nil"/>
              <w:bottom w:val="single" w:sz="8" w:space="0" w:color="auto"/>
              <w:right w:val="single" w:sz="8" w:space="0" w:color="auto"/>
            </w:tcBorders>
            <w:vAlign w:val="center"/>
            <w:hideMark/>
          </w:tcPr>
          <w:p w14:paraId="17E6BAB6" w14:textId="77777777" w:rsidR="00A27CF2" w:rsidRPr="00047543" w:rsidRDefault="00A27CF2">
            <w:pPr>
              <w:spacing w:before="0" w:after="0"/>
              <w:jc w:val="center"/>
              <w:rPr>
                <w:b/>
                <w:bCs/>
                <w:noProof/>
                <w:color w:val="000000"/>
                <w:sz w:val="20"/>
                <w:szCs w:val="20"/>
              </w:rPr>
            </w:pPr>
            <w:r w:rsidRPr="00047543">
              <w:rPr>
                <w:b/>
                <w:noProof/>
                <w:color w:val="000000"/>
                <w:sz w:val="20"/>
              </w:rPr>
              <w:t>2027</w:t>
            </w:r>
          </w:p>
        </w:tc>
      </w:tr>
      <w:tr w:rsidR="00A27CF2" w:rsidRPr="00047543" w14:paraId="2B264466" w14:textId="77777777">
        <w:trPr>
          <w:trHeight w:val="300"/>
        </w:trPr>
        <w:tc>
          <w:tcPr>
            <w:tcW w:w="9200" w:type="dxa"/>
            <w:gridSpan w:val="6"/>
            <w:tcBorders>
              <w:top w:val="single" w:sz="8" w:space="0" w:color="auto"/>
              <w:left w:val="single" w:sz="8" w:space="0" w:color="auto"/>
              <w:bottom w:val="single" w:sz="8" w:space="0" w:color="auto"/>
              <w:right w:val="single" w:sz="4" w:space="0" w:color="auto"/>
            </w:tcBorders>
            <w:vAlign w:val="center"/>
            <w:hideMark/>
          </w:tcPr>
          <w:p w14:paraId="4BA59A89" w14:textId="77777777" w:rsidR="00A27CF2" w:rsidRPr="00047543" w:rsidRDefault="00A27CF2">
            <w:pPr>
              <w:spacing w:before="0" w:after="0"/>
              <w:jc w:val="left"/>
              <w:rPr>
                <w:rFonts w:ascii="Wingdings" w:hAnsi="Wingdings" w:cs="Calibri"/>
                <w:b/>
                <w:bCs/>
                <w:noProof/>
                <w:color w:val="000000"/>
                <w:sz w:val="16"/>
                <w:szCs w:val="16"/>
              </w:rPr>
            </w:pPr>
            <w:r w:rsidRPr="00047543">
              <w:rPr>
                <w:rFonts w:ascii="Wingdings" w:hAnsi="Wingdings"/>
                <w:b/>
                <w:noProof/>
                <w:color w:val="000000"/>
                <w:sz w:val="16"/>
              </w:rPr>
              <w:t></w:t>
            </w:r>
            <w:r w:rsidRPr="00047543">
              <w:rPr>
                <w:b/>
                <w:noProof/>
                <w:color w:val="000000"/>
                <w:sz w:val="16"/>
              </w:rPr>
              <w:t xml:space="preserve"> Tjänster som tas upp i tjänsteförteckningen (tjänstemän och tillfälligt anställda)</w:t>
            </w:r>
          </w:p>
        </w:tc>
      </w:tr>
      <w:tr w:rsidR="00A27CF2" w:rsidRPr="00047543" w14:paraId="21F69D6C"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761AD398"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20 01 02 01</w:t>
            </w:r>
            <w:r w:rsidRPr="00047543">
              <w:rPr>
                <w:rFonts w:ascii="Arial Narrow" w:hAnsi="Arial Narrow"/>
                <w:noProof/>
                <w:color w:val="000000"/>
                <w:sz w:val="20"/>
              </w:rPr>
              <w:t xml:space="preserve"> </w:t>
            </w:r>
            <w:r w:rsidRPr="00047543">
              <w:rPr>
                <w:noProof/>
                <w:color w:val="000000"/>
              </w:rPr>
              <w:t xml:space="preserve"> </w:t>
            </w:r>
            <w:r w:rsidRPr="00047543">
              <w:rPr>
                <w:noProof/>
                <w:color w:val="000000"/>
                <w:sz w:val="16"/>
              </w:rPr>
              <w:t>(vid huvudkontoret eller vid kommissionens kontor i medlemsstaterna)</w:t>
            </w:r>
          </w:p>
        </w:tc>
        <w:tc>
          <w:tcPr>
            <w:tcW w:w="960" w:type="dxa"/>
            <w:tcBorders>
              <w:top w:val="nil"/>
              <w:left w:val="nil"/>
              <w:bottom w:val="single" w:sz="8" w:space="0" w:color="auto"/>
              <w:right w:val="single" w:sz="8" w:space="0" w:color="auto"/>
            </w:tcBorders>
            <w:shd w:val="clear" w:color="000000" w:fill="D9D9D9"/>
            <w:vAlign w:val="center"/>
            <w:hideMark/>
          </w:tcPr>
          <w:p w14:paraId="7E34668D"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B4F24A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63D4CF7"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8BE9212"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751A163C"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0D020CC2"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01 02 03 (EU:s delegationer)</w:t>
            </w:r>
          </w:p>
        </w:tc>
        <w:tc>
          <w:tcPr>
            <w:tcW w:w="960" w:type="dxa"/>
            <w:tcBorders>
              <w:top w:val="nil"/>
              <w:left w:val="nil"/>
              <w:bottom w:val="single" w:sz="8" w:space="0" w:color="auto"/>
              <w:right w:val="single" w:sz="8" w:space="0" w:color="auto"/>
            </w:tcBorders>
            <w:shd w:val="clear" w:color="000000" w:fill="D9D9D9"/>
            <w:vAlign w:val="center"/>
            <w:hideMark/>
          </w:tcPr>
          <w:p w14:paraId="22B01DC2"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972668E"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4D52F94"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18EFA03"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56020A4F"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04D3F123"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01 01 01 01</w:t>
            </w:r>
            <w:r w:rsidRPr="00047543">
              <w:rPr>
                <w:rFonts w:ascii="Arial Narrow" w:hAnsi="Arial Narrow"/>
                <w:noProof/>
                <w:color w:val="000000"/>
                <w:sz w:val="20"/>
              </w:rPr>
              <w:t xml:space="preserve"> </w:t>
            </w:r>
            <w:r w:rsidRPr="00047543">
              <w:rPr>
                <w:noProof/>
                <w:color w:val="000000"/>
                <w:sz w:val="16"/>
              </w:rPr>
              <w:t>(indirekta forskningsåtgärder)</w:t>
            </w:r>
          </w:p>
        </w:tc>
        <w:tc>
          <w:tcPr>
            <w:tcW w:w="960" w:type="dxa"/>
            <w:tcBorders>
              <w:top w:val="nil"/>
              <w:left w:val="nil"/>
              <w:bottom w:val="single" w:sz="8" w:space="0" w:color="auto"/>
              <w:right w:val="single" w:sz="8" w:space="0" w:color="auto"/>
            </w:tcBorders>
            <w:shd w:val="clear" w:color="000000" w:fill="D9D9D9"/>
            <w:vAlign w:val="center"/>
            <w:hideMark/>
          </w:tcPr>
          <w:p w14:paraId="51D6909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F752E78"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D848DFB"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147AE9A"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1AF9A25D"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275253AA"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01 01 01 11 (direkta forskningsåtgärder)</w:t>
            </w:r>
          </w:p>
        </w:tc>
        <w:tc>
          <w:tcPr>
            <w:tcW w:w="960" w:type="dxa"/>
            <w:tcBorders>
              <w:top w:val="nil"/>
              <w:left w:val="nil"/>
              <w:bottom w:val="single" w:sz="8" w:space="0" w:color="auto"/>
              <w:right w:val="single" w:sz="8" w:space="0" w:color="auto"/>
            </w:tcBorders>
            <w:shd w:val="clear" w:color="000000" w:fill="D9D9D9"/>
            <w:vAlign w:val="center"/>
            <w:hideMark/>
          </w:tcPr>
          <w:p w14:paraId="1C6067DE"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97D7196"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C7B5B57"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36BD5E6"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7999F2FF"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75D67A09"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Andra budgetposter (ange vilka)</w:t>
            </w:r>
          </w:p>
        </w:tc>
        <w:tc>
          <w:tcPr>
            <w:tcW w:w="960" w:type="dxa"/>
            <w:tcBorders>
              <w:top w:val="nil"/>
              <w:left w:val="nil"/>
              <w:bottom w:val="single" w:sz="8" w:space="0" w:color="auto"/>
              <w:right w:val="single" w:sz="8" w:space="0" w:color="auto"/>
            </w:tcBorders>
            <w:shd w:val="clear" w:color="000000" w:fill="D9D9D9"/>
            <w:vAlign w:val="center"/>
            <w:hideMark/>
          </w:tcPr>
          <w:p w14:paraId="4014AA9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3E09441"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9A46D10"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3F8C493"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450CF898" w14:textId="77777777">
        <w:trPr>
          <w:trHeight w:val="300"/>
        </w:trPr>
        <w:tc>
          <w:tcPr>
            <w:tcW w:w="9200" w:type="dxa"/>
            <w:gridSpan w:val="6"/>
            <w:tcBorders>
              <w:top w:val="single" w:sz="8" w:space="0" w:color="auto"/>
              <w:left w:val="single" w:sz="8" w:space="0" w:color="auto"/>
              <w:bottom w:val="single" w:sz="8" w:space="0" w:color="auto"/>
              <w:right w:val="single" w:sz="4" w:space="0" w:color="auto"/>
            </w:tcBorders>
            <w:vAlign w:val="center"/>
            <w:hideMark/>
          </w:tcPr>
          <w:p w14:paraId="220C184D" w14:textId="77777777" w:rsidR="00A27CF2" w:rsidRPr="00047543" w:rsidRDefault="00A27CF2">
            <w:pPr>
              <w:spacing w:before="0" w:after="0"/>
              <w:jc w:val="left"/>
              <w:rPr>
                <w:rFonts w:ascii="Wingdings" w:hAnsi="Wingdings" w:cs="Calibri"/>
                <w:b/>
                <w:bCs/>
                <w:noProof/>
                <w:color w:val="000000"/>
                <w:sz w:val="16"/>
                <w:szCs w:val="16"/>
              </w:rPr>
            </w:pPr>
            <w:r w:rsidRPr="00047543">
              <w:rPr>
                <w:rFonts w:ascii="Calibri" w:hAnsi="Calibri"/>
                <w:b/>
                <w:noProof/>
                <w:color w:val="000000"/>
                <w:sz w:val="16"/>
              </w:rPr>
              <w:t>•</w:t>
            </w:r>
            <w:r w:rsidRPr="00047543">
              <w:rPr>
                <w:b/>
                <w:noProof/>
                <w:color w:val="000000"/>
                <w:sz w:val="16"/>
              </w:rPr>
              <w:t xml:space="preserve"> Extern personal (heltidsekvivalenter)</w:t>
            </w:r>
          </w:p>
        </w:tc>
      </w:tr>
      <w:tr w:rsidR="00A27CF2" w:rsidRPr="00047543" w14:paraId="4BAAF6F6"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1DA9C905"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20 02 01</w:t>
            </w:r>
            <w:r w:rsidRPr="00047543">
              <w:rPr>
                <w:noProof/>
                <w:color w:val="000000"/>
              </w:rPr>
              <w:t xml:space="preserve"> </w:t>
            </w:r>
            <w:r w:rsidRPr="00047543">
              <w:rPr>
                <w:noProof/>
                <w:color w:val="000000"/>
                <w:sz w:val="16"/>
              </w:rPr>
              <w:t>(kontraktsanställda och nationella experter finansierade genom ramanslaget)</w:t>
            </w:r>
          </w:p>
        </w:tc>
        <w:tc>
          <w:tcPr>
            <w:tcW w:w="960" w:type="dxa"/>
            <w:tcBorders>
              <w:top w:val="nil"/>
              <w:left w:val="nil"/>
              <w:bottom w:val="single" w:sz="8" w:space="0" w:color="auto"/>
              <w:right w:val="single" w:sz="8" w:space="0" w:color="auto"/>
            </w:tcBorders>
            <w:shd w:val="clear" w:color="000000" w:fill="D9D9D9"/>
            <w:vAlign w:val="center"/>
            <w:hideMark/>
          </w:tcPr>
          <w:p w14:paraId="15918A94"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B7E075E"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CED4C14"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68C9E8A"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3441F84D"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78D12B9B"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20 02 03 (kontraktsanställda, lokalanställda, nationella experter och unga experter som tjänstgör vid EU:s delegationer)</w:t>
            </w:r>
          </w:p>
        </w:tc>
        <w:tc>
          <w:tcPr>
            <w:tcW w:w="960" w:type="dxa"/>
            <w:tcBorders>
              <w:top w:val="nil"/>
              <w:left w:val="nil"/>
              <w:bottom w:val="single" w:sz="8" w:space="0" w:color="auto"/>
              <w:right w:val="single" w:sz="8" w:space="0" w:color="auto"/>
            </w:tcBorders>
            <w:shd w:val="clear" w:color="000000" w:fill="D9D9D9"/>
            <w:vAlign w:val="center"/>
            <w:hideMark/>
          </w:tcPr>
          <w:p w14:paraId="0B82DD4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66F01DF"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BA79A22"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7D0E730"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6B808727" w14:textId="77777777">
        <w:trPr>
          <w:trHeight w:val="300"/>
        </w:trPr>
        <w:tc>
          <w:tcPr>
            <w:tcW w:w="1500" w:type="dxa"/>
            <w:vMerge w:val="restart"/>
            <w:tcBorders>
              <w:top w:val="nil"/>
              <w:left w:val="single" w:sz="8" w:space="0" w:color="auto"/>
              <w:bottom w:val="single" w:sz="8" w:space="0" w:color="auto"/>
              <w:right w:val="single" w:sz="8" w:space="0" w:color="auto"/>
            </w:tcBorders>
            <w:vAlign w:val="center"/>
            <w:hideMark/>
          </w:tcPr>
          <w:p w14:paraId="61DF6FF9" w14:textId="77777777" w:rsidR="00A27CF2" w:rsidRPr="00047543" w:rsidRDefault="00A27CF2">
            <w:pPr>
              <w:spacing w:before="0" w:after="0"/>
              <w:jc w:val="center"/>
              <w:rPr>
                <w:noProof/>
                <w:color w:val="000000"/>
                <w:sz w:val="16"/>
                <w:szCs w:val="16"/>
              </w:rPr>
            </w:pPr>
            <w:r w:rsidRPr="00047543">
              <w:rPr>
                <w:noProof/>
                <w:color w:val="000000"/>
                <w:sz w:val="16"/>
              </w:rPr>
              <w:t>Post för admin. stöd</w:t>
            </w:r>
            <w:r w:rsidRPr="00047543">
              <w:rPr>
                <w:noProof/>
              </w:rPr>
              <w:cr/>
            </w:r>
            <w:r w:rsidRPr="00047543">
              <w:rPr>
                <w:noProof/>
              </w:rPr>
              <w:br/>
            </w:r>
            <w:r w:rsidRPr="00047543">
              <w:rPr>
                <w:noProof/>
                <w:color w:val="000000"/>
                <w:sz w:val="16"/>
              </w:rPr>
              <w:t>[XX.01.YY.YY]</w:t>
            </w:r>
          </w:p>
        </w:tc>
        <w:tc>
          <w:tcPr>
            <w:tcW w:w="3860" w:type="dxa"/>
            <w:tcBorders>
              <w:top w:val="nil"/>
              <w:left w:val="nil"/>
              <w:bottom w:val="single" w:sz="8" w:space="0" w:color="auto"/>
              <w:right w:val="single" w:sz="8" w:space="0" w:color="auto"/>
            </w:tcBorders>
            <w:vAlign w:val="center"/>
            <w:hideMark/>
          </w:tcPr>
          <w:p w14:paraId="53D780AB"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 vid huvudkontoret</w:t>
            </w:r>
          </w:p>
        </w:tc>
        <w:tc>
          <w:tcPr>
            <w:tcW w:w="960" w:type="dxa"/>
            <w:tcBorders>
              <w:top w:val="nil"/>
              <w:left w:val="nil"/>
              <w:bottom w:val="single" w:sz="8" w:space="0" w:color="auto"/>
              <w:right w:val="single" w:sz="8" w:space="0" w:color="auto"/>
            </w:tcBorders>
            <w:shd w:val="clear" w:color="000000" w:fill="D9D9D9"/>
            <w:vAlign w:val="center"/>
            <w:hideMark/>
          </w:tcPr>
          <w:p w14:paraId="0D6FF877"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1B9BA6A1"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D542736"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0710959"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61211860" w14:textId="77777777">
        <w:trPr>
          <w:trHeight w:val="300"/>
        </w:trPr>
        <w:tc>
          <w:tcPr>
            <w:tcW w:w="1500" w:type="dxa"/>
            <w:vMerge/>
            <w:tcBorders>
              <w:top w:val="nil"/>
              <w:left w:val="single" w:sz="8" w:space="0" w:color="auto"/>
              <w:bottom w:val="single" w:sz="8" w:space="0" w:color="auto"/>
              <w:right w:val="single" w:sz="8" w:space="0" w:color="auto"/>
            </w:tcBorders>
            <w:vAlign w:val="center"/>
            <w:hideMark/>
          </w:tcPr>
          <w:p w14:paraId="3CCDCB9E" w14:textId="77777777" w:rsidR="00A27CF2" w:rsidRPr="00047543" w:rsidRDefault="00A27CF2">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vAlign w:val="center"/>
            <w:hideMark/>
          </w:tcPr>
          <w:p w14:paraId="3E094E55"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 xml:space="preserve">- vid EU:s delegationer </w:t>
            </w:r>
          </w:p>
        </w:tc>
        <w:tc>
          <w:tcPr>
            <w:tcW w:w="960" w:type="dxa"/>
            <w:tcBorders>
              <w:top w:val="nil"/>
              <w:left w:val="nil"/>
              <w:bottom w:val="single" w:sz="8" w:space="0" w:color="auto"/>
              <w:right w:val="single" w:sz="8" w:space="0" w:color="auto"/>
            </w:tcBorders>
            <w:shd w:val="clear" w:color="000000" w:fill="D9D9D9"/>
            <w:vAlign w:val="center"/>
            <w:hideMark/>
          </w:tcPr>
          <w:p w14:paraId="060ED5DE"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22F67F7"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FB418B0"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6B240D5A"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46D0B1C2"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4DB0FD41"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01 01 01 02</w:t>
            </w:r>
            <w:r w:rsidRPr="00047543">
              <w:rPr>
                <w:rFonts w:ascii="Arial Narrow" w:hAnsi="Arial Narrow"/>
                <w:noProof/>
                <w:color w:val="000000"/>
                <w:sz w:val="20"/>
              </w:rPr>
              <w:t xml:space="preserve"> </w:t>
            </w:r>
            <w:r w:rsidRPr="00047543">
              <w:rPr>
                <w:noProof/>
                <w:color w:val="000000"/>
              </w:rPr>
              <w:t xml:space="preserve"> </w:t>
            </w:r>
            <w:r w:rsidRPr="00047543">
              <w:rPr>
                <w:noProof/>
                <w:color w:val="000000"/>
                <w:sz w:val="16"/>
              </w:rPr>
              <w:t>(kontraktsanställda och nationella experter – indirekta forskningsåtgärder)</w:t>
            </w:r>
          </w:p>
        </w:tc>
        <w:tc>
          <w:tcPr>
            <w:tcW w:w="960" w:type="dxa"/>
            <w:tcBorders>
              <w:top w:val="nil"/>
              <w:left w:val="nil"/>
              <w:bottom w:val="single" w:sz="8" w:space="0" w:color="auto"/>
              <w:right w:val="single" w:sz="8" w:space="0" w:color="auto"/>
            </w:tcBorders>
            <w:shd w:val="clear" w:color="000000" w:fill="D9D9D9"/>
            <w:vAlign w:val="center"/>
            <w:hideMark/>
          </w:tcPr>
          <w:p w14:paraId="19F09369"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D53F318"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8A1B24A"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E41A12A"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271B76DC"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4F402FB9"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 xml:space="preserve"> 01 01 01 12 (kontraktsanställda och nationella experter – direkta forskningsåtgärder)</w:t>
            </w:r>
          </w:p>
        </w:tc>
        <w:tc>
          <w:tcPr>
            <w:tcW w:w="960" w:type="dxa"/>
            <w:tcBorders>
              <w:top w:val="nil"/>
              <w:left w:val="nil"/>
              <w:bottom w:val="single" w:sz="8" w:space="0" w:color="auto"/>
              <w:right w:val="single" w:sz="8" w:space="0" w:color="auto"/>
            </w:tcBorders>
            <w:shd w:val="clear" w:color="000000" w:fill="D9D9D9"/>
            <w:vAlign w:val="center"/>
            <w:hideMark/>
          </w:tcPr>
          <w:p w14:paraId="6C73BAA6"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2ECC6878"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2D0884D"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509E177"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7E554C3E"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63ABAD96"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Andra budgetposter (ange vilka) – rubrik 7</w:t>
            </w:r>
          </w:p>
        </w:tc>
        <w:tc>
          <w:tcPr>
            <w:tcW w:w="960" w:type="dxa"/>
            <w:tcBorders>
              <w:top w:val="nil"/>
              <w:left w:val="nil"/>
              <w:bottom w:val="single" w:sz="8" w:space="0" w:color="auto"/>
              <w:right w:val="single" w:sz="8" w:space="0" w:color="auto"/>
            </w:tcBorders>
            <w:shd w:val="clear" w:color="000000" w:fill="D9D9D9"/>
            <w:vAlign w:val="center"/>
            <w:hideMark/>
          </w:tcPr>
          <w:p w14:paraId="4C2F4143"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4BE78526"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BEBEC88"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4DDDC31"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1BDE27C3"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295ADDE3" w14:textId="77777777" w:rsidR="00A27CF2" w:rsidRPr="00047543" w:rsidRDefault="00A27CF2">
            <w:pPr>
              <w:spacing w:before="0" w:after="0"/>
              <w:ind w:firstLineChars="100" w:firstLine="160"/>
              <w:jc w:val="left"/>
              <w:rPr>
                <w:noProof/>
                <w:color w:val="000000"/>
                <w:sz w:val="16"/>
                <w:szCs w:val="16"/>
              </w:rPr>
            </w:pPr>
            <w:r w:rsidRPr="00047543">
              <w:rPr>
                <w:noProof/>
                <w:color w:val="000000"/>
                <w:sz w:val="16"/>
              </w:rPr>
              <w:t>Andra budgetposter (ange vilka) – utanför rubrik 7</w:t>
            </w:r>
          </w:p>
        </w:tc>
        <w:tc>
          <w:tcPr>
            <w:tcW w:w="960" w:type="dxa"/>
            <w:tcBorders>
              <w:top w:val="nil"/>
              <w:left w:val="nil"/>
              <w:bottom w:val="single" w:sz="8" w:space="0" w:color="auto"/>
              <w:right w:val="single" w:sz="8" w:space="0" w:color="auto"/>
            </w:tcBorders>
            <w:shd w:val="clear" w:color="000000" w:fill="D9D9D9"/>
            <w:vAlign w:val="center"/>
            <w:hideMark/>
          </w:tcPr>
          <w:p w14:paraId="1DFF0E94"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CDF17AF"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59C7F32" w14:textId="77777777" w:rsidR="00A27CF2" w:rsidRPr="00047543" w:rsidRDefault="00A27CF2">
            <w:pPr>
              <w:spacing w:before="0" w:after="0"/>
              <w:jc w:val="center"/>
              <w:rPr>
                <w:noProof/>
                <w:color w:val="000000"/>
                <w:sz w:val="16"/>
                <w:szCs w:val="16"/>
              </w:rPr>
            </w:pPr>
            <w:r w:rsidRPr="00047543">
              <w:rPr>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0FC88D37" w14:textId="77777777" w:rsidR="00A27CF2" w:rsidRPr="00047543" w:rsidRDefault="00A27CF2">
            <w:pPr>
              <w:spacing w:before="0" w:after="0"/>
              <w:jc w:val="center"/>
              <w:rPr>
                <w:noProof/>
                <w:color w:val="000000"/>
                <w:sz w:val="16"/>
                <w:szCs w:val="16"/>
              </w:rPr>
            </w:pPr>
            <w:r w:rsidRPr="00047543">
              <w:rPr>
                <w:noProof/>
                <w:color w:val="000000"/>
                <w:sz w:val="16"/>
              </w:rPr>
              <w:t>0</w:t>
            </w:r>
          </w:p>
        </w:tc>
      </w:tr>
      <w:tr w:rsidR="00A27CF2" w:rsidRPr="00047543" w14:paraId="62E517FB" w14:textId="77777777">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34A820D5" w14:textId="77777777" w:rsidR="00A27CF2" w:rsidRPr="00047543" w:rsidRDefault="00A27CF2">
            <w:pPr>
              <w:spacing w:before="0" w:after="0"/>
              <w:ind w:firstLineChars="100" w:firstLine="160"/>
              <w:jc w:val="left"/>
              <w:rPr>
                <w:b/>
                <w:bCs/>
                <w:noProof/>
                <w:color w:val="000000"/>
                <w:sz w:val="16"/>
                <w:szCs w:val="16"/>
              </w:rPr>
            </w:pPr>
            <w:r w:rsidRPr="00047543">
              <w:rPr>
                <w:b/>
                <w:noProof/>
                <w:color w:val="000000"/>
                <w:sz w:val="16"/>
              </w:rPr>
              <w:t>TOTALT</w:t>
            </w:r>
          </w:p>
        </w:tc>
        <w:tc>
          <w:tcPr>
            <w:tcW w:w="960" w:type="dxa"/>
            <w:tcBorders>
              <w:top w:val="nil"/>
              <w:left w:val="nil"/>
              <w:bottom w:val="single" w:sz="8" w:space="0" w:color="auto"/>
              <w:right w:val="single" w:sz="8" w:space="0" w:color="auto"/>
            </w:tcBorders>
            <w:shd w:val="clear" w:color="000000" w:fill="D9D9D9"/>
            <w:vAlign w:val="center"/>
            <w:hideMark/>
          </w:tcPr>
          <w:p w14:paraId="31005FAD"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76633095"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564BC1EF"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c>
          <w:tcPr>
            <w:tcW w:w="960" w:type="dxa"/>
            <w:tcBorders>
              <w:top w:val="nil"/>
              <w:left w:val="nil"/>
              <w:bottom w:val="single" w:sz="8" w:space="0" w:color="auto"/>
              <w:right w:val="single" w:sz="8" w:space="0" w:color="auto"/>
            </w:tcBorders>
            <w:shd w:val="clear" w:color="000000" w:fill="D9D9D9"/>
            <w:vAlign w:val="center"/>
            <w:hideMark/>
          </w:tcPr>
          <w:p w14:paraId="335BC6C4" w14:textId="77777777" w:rsidR="00A27CF2" w:rsidRPr="00047543" w:rsidRDefault="00A27CF2">
            <w:pPr>
              <w:spacing w:before="0" w:after="0"/>
              <w:jc w:val="center"/>
              <w:rPr>
                <w:b/>
                <w:bCs/>
                <w:noProof/>
                <w:color w:val="000000"/>
                <w:sz w:val="16"/>
                <w:szCs w:val="16"/>
              </w:rPr>
            </w:pPr>
            <w:r w:rsidRPr="00047543">
              <w:rPr>
                <w:b/>
                <w:noProof/>
                <w:color w:val="000000"/>
                <w:sz w:val="16"/>
              </w:rPr>
              <w:t>0</w:t>
            </w:r>
          </w:p>
        </w:tc>
      </w:tr>
    </w:tbl>
    <w:p w14:paraId="09D5DCAB" w14:textId="77777777" w:rsidR="00A27CF2" w:rsidRPr="00047543" w:rsidRDefault="00A27CF2" w:rsidP="00B871C4">
      <w:pPr>
        <w:pStyle w:val="Text1"/>
        <w:ind w:left="0"/>
        <w:rPr>
          <w:noProof/>
          <w:color w:val="000000" w:themeColor="text1"/>
        </w:rPr>
      </w:pPr>
      <w:r w:rsidRPr="00047543">
        <w:rPr>
          <w:noProof/>
          <w:color w:val="000000" w:themeColor="text1"/>
        </w:rPr>
        <w:t xml:space="preserve">Personal som behövs för att genomföra förslaget (heltidsekvivalenter): </w:t>
      </w:r>
    </w:p>
    <w:tbl>
      <w:tblPr>
        <w:tblStyle w:val="TableGrid"/>
        <w:tblW w:w="9487" w:type="dxa"/>
        <w:tblInd w:w="-426" w:type="dxa"/>
        <w:tblLook w:val="04A0" w:firstRow="1" w:lastRow="0" w:firstColumn="1" w:lastColumn="0" w:noHBand="0" w:noVBand="1"/>
      </w:tblPr>
      <w:tblGrid>
        <w:gridCol w:w="2013"/>
        <w:gridCol w:w="2000"/>
        <w:gridCol w:w="1875"/>
        <w:gridCol w:w="1887"/>
        <w:gridCol w:w="1712"/>
      </w:tblGrid>
      <w:tr w:rsidR="00A27CF2" w:rsidRPr="00047543" w14:paraId="305F85DE" w14:textId="77777777">
        <w:trPr>
          <w:trHeight w:val="300"/>
        </w:trPr>
        <w:tc>
          <w:tcPr>
            <w:tcW w:w="1845" w:type="dxa"/>
          </w:tcPr>
          <w:p w14:paraId="6C7F2F7C" w14:textId="77777777" w:rsidR="00A27CF2" w:rsidRPr="00047543" w:rsidRDefault="00A27CF2">
            <w:pPr>
              <w:pStyle w:val="Text1"/>
              <w:ind w:left="0"/>
              <w:jc w:val="center"/>
              <w:rPr>
                <w:b/>
                <w:bCs/>
                <w:noProof/>
                <w:sz w:val="22"/>
                <w:szCs w:val="28"/>
              </w:rPr>
            </w:pPr>
          </w:p>
        </w:tc>
        <w:tc>
          <w:tcPr>
            <w:tcW w:w="2031" w:type="dxa"/>
          </w:tcPr>
          <w:p w14:paraId="664D9E0F" w14:textId="77777777" w:rsidR="00A27CF2" w:rsidRPr="00047543" w:rsidRDefault="00A27CF2">
            <w:pPr>
              <w:pStyle w:val="Text1"/>
              <w:ind w:left="0"/>
              <w:jc w:val="center"/>
              <w:rPr>
                <w:b/>
                <w:bCs/>
                <w:noProof/>
                <w:sz w:val="22"/>
              </w:rPr>
            </w:pPr>
            <w:r w:rsidRPr="00047543">
              <w:rPr>
                <w:b/>
                <w:noProof/>
                <w:sz w:val="22"/>
              </w:rPr>
              <w:t xml:space="preserve">Täcks av befintlig personal vid kommissionens avdelningar </w:t>
            </w:r>
          </w:p>
        </w:tc>
        <w:tc>
          <w:tcPr>
            <w:tcW w:w="5611" w:type="dxa"/>
            <w:gridSpan w:val="3"/>
          </w:tcPr>
          <w:p w14:paraId="4AB58296" w14:textId="77777777" w:rsidR="00A27CF2" w:rsidRPr="00047543" w:rsidRDefault="00A27CF2">
            <w:pPr>
              <w:pStyle w:val="Text1"/>
              <w:ind w:left="0"/>
              <w:jc w:val="center"/>
              <w:rPr>
                <w:b/>
                <w:bCs/>
                <w:noProof/>
                <w:sz w:val="22"/>
              </w:rPr>
            </w:pPr>
            <w:r w:rsidRPr="00047543">
              <w:rPr>
                <w:b/>
                <w:noProof/>
                <w:sz w:val="22"/>
              </w:rPr>
              <w:t>Särskild ytterligare personal*</w:t>
            </w:r>
          </w:p>
        </w:tc>
      </w:tr>
      <w:tr w:rsidR="00A27CF2" w:rsidRPr="00047543" w14:paraId="62CD2D17" w14:textId="77777777">
        <w:trPr>
          <w:trHeight w:val="300"/>
        </w:trPr>
        <w:tc>
          <w:tcPr>
            <w:tcW w:w="1845" w:type="dxa"/>
          </w:tcPr>
          <w:p w14:paraId="5B9F532A" w14:textId="77777777" w:rsidR="00A27CF2" w:rsidRPr="00047543" w:rsidRDefault="00A27CF2">
            <w:pPr>
              <w:pStyle w:val="Text1"/>
              <w:ind w:left="0"/>
              <w:jc w:val="center"/>
              <w:rPr>
                <w:b/>
                <w:bCs/>
                <w:noProof/>
                <w:sz w:val="22"/>
                <w:szCs w:val="28"/>
              </w:rPr>
            </w:pPr>
          </w:p>
        </w:tc>
        <w:tc>
          <w:tcPr>
            <w:tcW w:w="2031" w:type="dxa"/>
          </w:tcPr>
          <w:p w14:paraId="0A4650F9" w14:textId="77777777" w:rsidR="00A27CF2" w:rsidRPr="00047543" w:rsidRDefault="00A27CF2">
            <w:pPr>
              <w:pStyle w:val="Text1"/>
              <w:ind w:left="0"/>
              <w:jc w:val="center"/>
              <w:rPr>
                <w:b/>
                <w:bCs/>
                <w:noProof/>
                <w:sz w:val="22"/>
                <w:szCs w:val="28"/>
              </w:rPr>
            </w:pPr>
          </w:p>
        </w:tc>
        <w:tc>
          <w:tcPr>
            <w:tcW w:w="1925" w:type="dxa"/>
          </w:tcPr>
          <w:p w14:paraId="469D0459" w14:textId="77777777" w:rsidR="00A27CF2" w:rsidRPr="00047543" w:rsidRDefault="00A27CF2">
            <w:pPr>
              <w:pStyle w:val="Text1"/>
              <w:ind w:left="0"/>
              <w:jc w:val="center"/>
              <w:rPr>
                <w:b/>
                <w:bCs/>
                <w:noProof/>
                <w:sz w:val="22"/>
              </w:rPr>
            </w:pPr>
            <w:r w:rsidRPr="00047543">
              <w:rPr>
                <w:b/>
                <w:noProof/>
                <w:sz w:val="22"/>
              </w:rPr>
              <w:t>Finansieras genom rubrik 7 eller forskning</w:t>
            </w:r>
          </w:p>
        </w:tc>
        <w:tc>
          <w:tcPr>
            <w:tcW w:w="1938" w:type="dxa"/>
          </w:tcPr>
          <w:p w14:paraId="10BCA466" w14:textId="77777777" w:rsidR="00A27CF2" w:rsidRPr="00047543" w:rsidRDefault="00A27CF2">
            <w:pPr>
              <w:pStyle w:val="Text1"/>
              <w:ind w:left="0"/>
              <w:jc w:val="center"/>
              <w:rPr>
                <w:b/>
                <w:bCs/>
                <w:noProof/>
                <w:sz w:val="22"/>
                <w:szCs w:val="28"/>
              </w:rPr>
            </w:pPr>
            <w:r w:rsidRPr="00047543">
              <w:rPr>
                <w:b/>
                <w:noProof/>
                <w:sz w:val="22"/>
              </w:rPr>
              <w:t>Finansieras genom BA-post</w:t>
            </w:r>
          </w:p>
        </w:tc>
        <w:tc>
          <w:tcPr>
            <w:tcW w:w="1748" w:type="dxa"/>
          </w:tcPr>
          <w:p w14:paraId="2FFB9D45" w14:textId="77777777" w:rsidR="00A27CF2" w:rsidRPr="00047543" w:rsidRDefault="00A27CF2">
            <w:pPr>
              <w:pStyle w:val="Text1"/>
              <w:ind w:left="0"/>
              <w:jc w:val="center"/>
              <w:rPr>
                <w:b/>
                <w:bCs/>
                <w:noProof/>
                <w:sz w:val="22"/>
                <w:szCs w:val="28"/>
              </w:rPr>
            </w:pPr>
            <w:r w:rsidRPr="00047543">
              <w:rPr>
                <w:b/>
                <w:noProof/>
                <w:sz w:val="22"/>
              </w:rPr>
              <w:t>Finansieras genom avgifter</w:t>
            </w:r>
          </w:p>
        </w:tc>
      </w:tr>
      <w:tr w:rsidR="00A27CF2" w:rsidRPr="00047543" w14:paraId="4477BFA8" w14:textId="77777777">
        <w:trPr>
          <w:trHeight w:val="300"/>
        </w:trPr>
        <w:tc>
          <w:tcPr>
            <w:tcW w:w="1845" w:type="dxa"/>
          </w:tcPr>
          <w:p w14:paraId="7447C111" w14:textId="77777777" w:rsidR="00A27CF2" w:rsidRPr="00047543" w:rsidRDefault="00A27CF2">
            <w:pPr>
              <w:pStyle w:val="Text1"/>
              <w:ind w:left="0"/>
              <w:rPr>
                <w:noProof/>
                <w:sz w:val="22"/>
                <w:szCs w:val="28"/>
              </w:rPr>
            </w:pPr>
            <w:r w:rsidRPr="00047543">
              <w:rPr>
                <w:noProof/>
                <w:sz w:val="22"/>
              </w:rPr>
              <w:t>Tjänster i tjänsteförteckningen</w:t>
            </w:r>
          </w:p>
        </w:tc>
        <w:tc>
          <w:tcPr>
            <w:tcW w:w="2031" w:type="dxa"/>
          </w:tcPr>
          <w:p w14:paraId="7FC690B9" w14:textId="77777777" w:rsidR="00A27CF2" w:rsidRPr="00047543" w:rsidRDefault="00A27CF2">
            <w:pPr>
              <w:pStyle w:val="Text1"/>
              <w:ind w:left="0"/>
              <w:rPr>
                <w:noProof/>
                <w:sz w:val="22"/>
                <w:szCs w:val="28"/>
              </w:rPr>
            </w:pPr>
          </w:p>
        </w:tc>
        <w:tc>
          <w:tcPr>
            <w:tcW w:w="1925" w:type="dxa"/>
          </w:tcPr>
          <w:p w14:paraId="7FAB0A9B" w14:textId="77777777" w:rsidR="00A27CF2" w:rsidRPr="00047543" w:rsidRDefault="00A27CF2">
            <w:pPr>
              <w:pStyle w:val="Text1"/>
              <w:ind w:left="0"/>
              <w:rPr>
                <w:noProof/>
                <w:sz w:val="22"/>
                <w:szCs w:val="28"/>
              </w:rPr>
            </w:pPr>
          </w:p>
        </w:tc>
        <w:tc>
          <w:tcPr>
            <w:tcW w:w="1938" w:type="dxa"/>
          </w:tcPr>
          <w:p w14:paraId="5FC2D0D2" w14:textId="77777777" w:rsidR="00A27CF2" w:rsidRPr="00047543" w:rsidRDefault="00A27CF2">
            <w:pPr>
              <w:pStyle w:val="Text1"/>
              <w:ind w:left="0"/>
              <w:rPr>
                <w:noProof/>
                <w:sz w:val="22"/>
                <w:szCs w:val="28"/>
              </w:rPr>
            </w:pPr>
            <w:r w:rsidRPr="00047543">
              <w:rPr>
                <w:noProof/>
                <w:sz w:val="22"/>
              </w:rPr>
              <w:t>Ej tillämpligt</w:t>
            </w:r>
          </w:p>
        </w:tc>
        <w:tc>
          <w:tcPr>
            <w:tcW w:w="1748" w:type="dxa"/>
          </w:tcPr>
          <w:p w14:paraId="4FD1F383" w14:textId="77777777" w:rsidR="00A27CF2" w:rsidRPr="00047543" w:rsidRDefault="00A27CF2">
            <w:pPr>
              <w:pStyle w:val="Text1"/>
              <w:ind w:left="0"/>
              <w:rPr>
                <w:noProof/>
                <w:sz w:val="22"/>
                <w:szCs w:val="28"/>
              </w:rPr>
            </w:pPr>
          </w:p>
        </w:tc>
      </w:tr>
      <w:tr w:rsidR="00A27CF2" w:rsidRPr="00047543" w14:paraId="0AA49F47" w14:textId="77777777">
        <w:trPr>
          <w:trHeight w:val="300"/>
        </w:trPr>
        <w:tc>
          <w:tcPr>
            <w:tcW w:w="1845" w:type="dxa"/>
          </w:tcPr>
          <w:p w14:paraId="41006C6B" w14:textId="77777777" w:rsidR="00A27CF2" w:rsidRPr="00047543" w:rsidRDefault="00A27CF2">
            <w:pPr>
              <w:pStyle w:val="Text1"/>
              <w:ind w:left="0"/>
              <w:rPr>
                <w:noProof/>
                <w:sz w:val="22"/>
                <w:szCs w:val="28"/>
              </w:rPr>
            </w:pPr>
            <w:r w:rsidRPr="00047543">
              <w:rPr>
                <w:noProof/>
                <w:sz w:val="22"/>
              </w:rPr>
              <w:t>Extern personal (kontraktsanställda, nationella experter, vikarier)</w:t>
            </w:r>
          </w:p>
        </w:tc>
        <w:tc>
          <w:tcPr>
            <w:tcW w:w="2031" w:type="dxa"/>
          </w:tcPr>
          <w:p w14:paraId="484C1D49" w14:textId="77777777" w:rsidR="00A27CF2" w:rsidRPr="00047543" w:rsidRDefault="00A27CF2">
            <w:pPr>
              <w:pStyle w:val="Text1"/>
              <w:ind w:left="0"/>
              <w:rPr>
                <w:noProof/>
                <w:sz w:val="22"/>
                <w:szCs w:val="28"/>
              </w:rPr>
            </w:pPr>
          </w:p>
        </w:tc>
        <w:tc>
          <w:tcPr>
            <w:tcW w:w="1925" w:type="dxa"/>
          </w:tcPr>
          <w:p w14:paraId="2B0C603F" w14:textId="77777777" w:rsidR="00A27CF2" w:rsidRPr="00047543" w:rsidRDefault="00A27CF2">
            <w:pPr>
              <w:pStyle w:val="Text1"/>
              <w:ind w:left="0"/>
              <w:rPr>
                <w:noProof/>
                <w:sz w:val="22"/>
                <w:szCs w:val="28"/>
              </w:rPr>
            </w:pPr>
          </w:p>
        </w:tc>
        <w:tc>
          <w:tcPr>
            <w:tcW w:w="1938" w:type="dxa"/>
          </w:tcPr>
          <w:p w14:paraId="14D52BDA" w14:textId="77777777" w:rsidR="00A27CF2" w:rsidRPr="00047543" w:rsidRDefault="00A27CF2">
            <w:pPr>
              <w:pStyle w:val="Text1"/>
              <w:ind w:left="0"/>
              <w:rPr>
                <w:noProof/>
                <w:sz w:val="22"/>
                <w:szCs w:val="28"/>
              </w:rPr>
            </w:pPr>
          </w:p>
        </w:tc>
        <w:tc>
          <w:tcPr>
            <w:tcW w:w="1748" w:type="dxa"/>
          </w:tcPr>
          <w:p w14:paraId="5100114D" w14:textId="77777777" w:rsidR="00A27CF2" w:rsidRPr="00047543" w:rsidRDefault="00A27CF2">
            <w:pPr>
              <w:pStyle w:val="Text1"/>
              <w:ind w:left="0"/>
              <w:rPr>
                <w:noProof/>
                <w:sz w:val="22"/>
                <w:szCs w:val="28"/>
              </w:rPr>
            </w:pPr>
          </w:p>
        </w:tc>
      </w:tr>
    </w:tbl>
    <w:p w14:paraId="687F1446" w14:textId="77777777" w:rsidR="00A27CF2" w:rsidRPr="00047543" w:rsidRDefault="00A27CF2" w:rsidP="00A27CF2">
      <w:pPr>
        <w:pStyle w:val="Text1"/>
        <w:ind w:left="-426" w:right="-427"/>
        <w:rPr>
          <w:noProof/>
        </w:rPr>
      </w:pPr>
      <w:r w:rsidRPr="00047543">
        <w:rPr>
          <w:noProof/>
        </w:rPr>
        <w:t>Beskrivning av arbetsuppgifter: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CA4B36" w:rsidRPr="00047543" w14:paraId="083496CE" w14:textId="77777777">
        <w:tc>
          <w:tcPr>
            <w:tcW w:w="3240" w:type="dxa"/>
          </w:tcPr>
          <w:p w14:paraId="6E39A515" w14:textId="77777777" w:rsidR="00A27CF2" w:rsidRPr="00047543" w:rsidRDefault="00A27CF2">
            <w:pPr>
              <w:rPr>
                <w:noProof/>
                <w:sz w:val="20"/>
              </w:rPr>
            </w:pPr>
            <w:r w:rsidRPr="00047543">
              <w:rPr>
                <w:noProof/>
                <w:sz w:val="20"/>
              </w:rPr>
              <w:t>Tjänstemän och tillfälligt anställda</w:t>
            </w:r>
          </w:p>
        </w:tc>
        <w:tc>
          <w:tcPr>
            <w:tcW w:w="7200" w:type="dxa"/>
          </w:tcPr>
          <w:p w14:paraId="347F06CC" w14:textId="77777777" w:rsidR="00A27CF2" w:rsidRPr="00047543" w:rsidRDefault="00A27CF2">
            <w:pPr>
              <w:rPr>
                <w:noProof/>
                <w:sz w:val="20"/>
              </w:rPr>
            </w:pPr>
          </w:p>
        </w:tc>
      </w:tr>
      <w:tr w:rsidR="00CA4B36" w:rsidRPr="00047543" w14:paraId="543DECD4" w14:textId="77777777">
        <w:tc>
          <w:tcPr>
            <w:tcW w:w="3240" w:type="dxa"/>
          </w:tcPr>
          <w:p w14:paraId="648A1661" w14:textId="77777777" w:rsidR="00A27CF2" w:rsidRPr="00047543" w:rsidRDefault="00A27CF2">
            <w:pPr>
              <w:spacing w:before="60" w:after="60"/>
              <w:rPr>
                <w:noProof/>
                <w:sz w:val="20"/>
              </w:rPr>
            </w:pPr>
            <w:r w:rsidRPr="00047543">
              <w:rPr>
                <w:noProof/>
                <w:sz w:val="20"/>
              </w:rPr>
              <w:t>Extern personal</w:t>
            </w:r>
          </w:p>
        </w:tc>
        <w:tc>
          <w:tcPr>
            <w:tcW w:w="7200" w:type="dxa"/>
          </w:tcPr>
          <w:p w14:paraId="20897443" w14:textId="77777777" w:rsidR="00A27CF2" w:rsidRPr="00047543" w:rsidRDefault="00A27CF2">
            <w:pPr>
              <w:rPr>
                <w:noProof/>
                <w:sz w:val="20"/>
              </w:rPr>
            </w:pPr>
          </w:p>
        </w:tc>
      </w:tr>
    </w:tbl>
    <w:p w14:paraId="66B36D96" w14:textId="77777777" w:rsidR="00A27CF2" w:rsidRPr="00047543" w:rsidRDefault="00A27CF2" w:rsidP="00A27CF2">
      <w:pPr>
        <w:pStyle w:val="ManualHeading3"/>
        <w:rPr>
          <w:noProof/>
        </w:rPr>
      </w:pPr>
      <w:r w:rsidRPr="00047543">
        <w:rPr>
          <w:noProof/>
        </w:rPr>
        <w:t>3.2.5</w:t>
      </w:r>
      <w:r w:rsidRPr="00047543">
        <w:rPr>
          <w:noProof/>
        </w:rPr>
        <w:tab/>
        <w:t>Översikt över beräknad inverkan på it-relaterade investeringar</w:t>
      </w:r>
    </w:p>
    <w:p w14:paraId="0C7FF4E7" w14:textId="77777777" w:rsidR="00A27CF2" w:rsidRPr="00047543" w:rsidRDefault="00A27CF2" w:rsidP="00A27CF2">
      <w:pPr>
        <w:pStyle w:val="Text1"/>
        <w:spacing w:line="259" w:lineRule="auto"/>
        <w:rPr>
          <w:noProof/>
        </w:rPr>
      </w:pPr>
      <w:r w:rsidRPr="00047543">
        <w:rPr>
          <w:noProof/>
        </w:rPr>
        <w:t xml:space="preserve">Obligatoriskt: Bästa tillgängliga skattning av de it-relaterade investeringar som förslaget/initiativet medför ska anges i tabellen nedan. </w:t>
      </w:r>
    </w:p>
    <w:p w14:paraId="23E2FA7E" w14:textId="77777777" w:rsidR="00A27CF2" w:rsidRPr="00047543" w:rsidRDefault="00A27CF2" w:rsidP="00A27CF2">
      <w:pPr>
        <w:pStyle w:val="Text1"/>
        <w:spacing w:line="259" w:lineRule="auto"/>
        <w:rPr>
          <w:noProof/>
        </w:rPr>
      </w:pPr>
      <w:r w:rsidRPr="00047543">
        <w:rPr>
          <w:noProof/>
        </w:rPr>
        <w:t xml:space="preserve">När så krävs för genomförandet av förslaget/initiativet ska i undantagsfall anslag under rubrik 7 anges på därför avsedd rad. </w:t>
      </w:r>
    </w:p>
    <w:p w14:paraId="55B06C91" w14:textId="77777777" w:rsidR="00A27CF2" w:rsidRPr="00047543" w:rsidRDefault="00A27CF2" w:rsidP="00A27CF2">
      <w:pPr>
        <w:pStyle w:val="Text1"/>
        <w:spacing w:line="259" w:lineRule="auto"/>
        <w:rPr>
          <w:noProof/>
        </w:rPr>
      </w:pPr>
      <w:r w:rsidRPr="00047543">
        <w:rPr>
          <w:noProof/>
        </w:rPr>
        <w:t>Anslagen under rubrikerna 1–6 ska redovisas som ”It-utgifter inom operativa program som inte omfattas av kommissionens administrativa självständighet och institutionella befogenheter”. Dessa utgifter avser den driftsbudget som tas i anspråk för att återanvända/köpa in/utveckla it-plattformar och it-verktyg med direkt koppling till initiativets genomförande med tillhörande investeringar (t.ex. licenser, undersökningar och datalagring). Uppgifterna i den här tabellen bör vara förenliga med uppgifterna i avsnitt 4, ”Digitala inslag”.</w:t>
      </w:r>
    </w:p>
    <w:tbl>
      <w:tblPr>
        <w:tblW w:w="0" w:type="auto"/>
        <w:tblLayout w:type="fixed"/>
        <w:tblLook w:val="04A0" w:firstRow="1" w:lastRow="0" w:firstColumn="1" w:lastColumn="0" w:noHBand="0" w:noVBand="1"/>
      </w:tblPr>
      <w:tblGrid>
        <w:gridCol w:w="3214"/>
        <w:gridCol w:w="835"/>
        <w:gridCol w:w="835"/>
        <w:gridCol w:w="835"/>
        <w:gridCol w:w="835"/>
        <w:gridCol w:w="981"/>
      </w:tblGrid>
      <w:tr w:rsidR="00A27CF2" w:rsidRPr="00047543" w14:paraId="02A13B12" w14:textId="77777777">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6C41EABD" w14:textId="77777777" w:rsidR="00A27CF2" w:rsidRPr="00047543" w:rsidRDefault="00A27CF2">
            <w:pPr>
              <w:spacing w:before="0" w:after="0"/>
              <w:jc w:val="center"/>
              <w:rPr>
                <w:b/>
                <w:bCs/>
                <w:noProof/>
                <w:color w:val="000000" w:themeColor="text1"/>
                <w:sz w:val="18"/>
                <w:szCs w:val="18"/>
              </w:rPr>
            </w:pPr>
            <w:r w:rsidRPr="00047543">
              <w:rPr>
                <w:b/>
                <w:noProof/>
                <w:color w:val="000000" w:themeColor="text1"/>
                <w:sz w:val="18"/>
              </w:rPr>
              <w:t>TOTALT Anslag för digital teknik och it</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37D73C5D" w14:textId="77777777" w:rsidR="00A27CF2" w:rsidRPr="00047543" w:rsidRDefault="00A27CF2">
            <w:pPr>
              <w:spacing w:before="0" w:after="0"/>
              <w:jc w:val="center"/>
              <w:rPr>
                <w:noProof/>
                <w:color w:val="000000" w:themeColor="text1"/>
                <w:sz w:val="18"/>
                <w:szCs w:val="18"/>
              </w:rPr>
            </w:pPr>
            <w:r w:rsidRPr="00047543">
              <w:rPr>
                <w:noProof/>
                <w:color w:val="000000" w:themeColor="text1"/>
                <w:sz w:val="18"/>
              </w:rPr>
              <w:t>År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57337E3F" w14:textId="77777777" w:rsidR="00A27CF2" w:rsidRPr="00047543" w:rsidRDefault="00A27CF2">
            <w:pPr>
              <w:spacing w:before="0" w:after="0"/>
              <w:jc w:val="center"/>
              <w:rPr>
                <w:noProof/>
                <w:color w:val="000000" w:themeColor="text1"/>
                <w:sz w:val="18"/>
                <w:szCs w:val="18"/>
              </w:rPr>
            </w:pPr>
            <w:r w:rsidRPr="00047543">
              <w:rPr>
                <w:noProof/>
                <w:color w:val="000000" w:themeColor="text1"/>
                <w:sz w:val="18"/>
              </w:rPr>
              <w:t>År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6D7F1525" w14:textId="77777777" w:rsidR="00A27CF2" w:rsidRPr="00047543" w:rsidRDefault="00A27CF2">
            <w:pPr>
              <w:spacing w:before="0" w:after="0"/>
              <w:jc w:val="center"/>
              <w:rPr>
                <w:noProof/>
                <w:color w:val="000000" w:themeColor="text1"/>
                <w:sz w:val="18"/>
                <w:szCs w:val="18"/>
              </w:rPr>
            </w:pPr>
            <w:r w:rsidRPr="00047543">
              <w:rPr>
                <w:noProof/>
                <w:color w:val="000000" w:themeColor="text1"/>
                <w:sz w:val="18"/>
              </w:rPr>
              <w:t>År</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3F5B199D" w14:textId="77777777" w:rsidR="00A27CF2" w:rsidRPr="00047543" w:rsidRDefault="00A27CF2">
            <w:pPr>
              <w:spacing w:before="0" w:after="0"/>
              <w:jc w:val="center"/>
              <w:rPr>
                <w:noProof/>
                <w:color w:val="000000" w:themeColor="text1"/>
                <w:sz w:val="18"/>
                <w:szCs w:val="18"/>
              </w:rPr>
            </w:pPr>
            <w:r w:rsidRPr="00047543">
              <w:rPr>
                <w:noProof/>
                <w:color w:val="000000" w:themeColor="text1"/>
                <w:sz w:val="18"/>
              </w:rPr>
              <w:t>År</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24F2688A" w14:textId="77777777" w:rsidR="00A27CF2" w:rsidRPr="00047543" w:rsidRDefault="00A27CF2">
            <w:pPr>
              <w:spacing w:before="0" w:after="0"/>
              <w:jc w:val="center"/>
              <w:rPr>
                <w:b/>
                <w:bCs/>
                <w:noProof/>
                <w:color w:val="000000" w:themeColor="text1"/>
                <w:sz w:val="18"/>
                <w:szCs w:val="18"/>
              </w:rPr>
            </w:pPr>
            <w:r w:rsidRPr="00047543">
              <w:rPr>
                <w:b/>
                <w:noProof/>
                <w:color w:val="000000" w:themeColor="text1"/>
                <w:sz w:val="18"/>
              </w:rPr>
              <w:t>TOTALT Budgetram 2021–2027</w:t>
            </w:r>
          </w:p>
        </w:tc>
      </w:tr>
      <w:tr w:rsidR="00A27CF2" w:rsidRPr="00047543" w14:paraId="61C73BEF" w14:textId="77777777">
        <w:trPr>
          <w:trHeight w:val="525"/>
        </w:trPr>
        <w:tc>
          <w:tcPr>
            <w:tcW w:w="3214" w:type="dxa"/>
            <w:vMerge/>
            <w:tcBorders>
              <w:top w:val="single" w:sz="8" w:space="0" w:color="auto"/>
              <w:left w:val="single" w:sz="4" w:space="0" w:color="auto"/>
              <w:right w:val="single" w:sz="4" w:space="0" w:color="auto"/>
            </w:tcBorders>
            <w:vAlign w:val="center"/>
          </w:tcPr>
          <w:p w14:paraId="7E63D935" w14:textId="77777777" w:rsidR="00A27CF2" w:rsidRPr="00047543" w:rsidRDefault="00A27CF2">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5790C4E2" w14:textId="77777777" w:rsidR="00A27CF2" w:rsidRPr="00047543" w:rsidRDefault="00A27CF2">
            <w:pPr>
              <w:spacing w:before="0" w:after="0"/>
              <w:jc w:val="center"/>
              <w:rPr>
                <w:b/>
                <w:bCs/>
                <w:noProof/>
                <w:color w:val="000000" w:themeColor="text1"/>
                <w:sz w:val="18"/>
                <w:szCs w:val="18"/>
              </w:rPr>
            </w:pPr>
            <w:r w:rsidRPr="00047543">
              <w:rPr>
                <w:b/>
                <w:noProof/>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67DE01F8" w14:textId="77777777" w:rsidR="00A27CF2" w:rsidRPr="00047543" w:rsidRDefault="00A27CF2">
            <w:pPr>
              <w:spacing w:before="0" w:after="0"/>
              <w:jc w:val="center"/>
              <w:rPr>
                <w:b/>
                <w:bCs/>
                <w:noProof/>
                <w:color w:val="000000" w:themeColor="text1"/>
                <w:sz w:val="18"/>
                <w:szCs w:val="18"/>
              </w:rPr>
            </w:pPr>
            <w:r w:rsidRPr="00047543">
              <w:rPr>
                <w:b/>
                <w:noProof/>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4AFE6833" w14:textId="77777777" w:rsidR="00A27CF2" w:rsidRPr="00047543" w:rsidRDefault="00A27CF2">
            <w:pPr>
              <w:spacing w:before="0" w:after="0"/>
              <w:jc w:val="center"/>
              <w:rPr>
                <w:b/>
                <w:bCs/>
                <w:noProof/>
                <w:color w:val="000000" w:themeColor="text1"/>
                <w:sz w:val="18"/>
                <w:szCs w:val="18"/>
              </w:rPr>
            </w:pPr>
            <w:r w:rsidRPr="00047543">
              <w:rPr>
                <w:b/>
                <w:noProof/>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1CF055F4" w14:textId="77777777" w:rsidR="00A27CF2" w:rsidRPr="00047543" w:rsidRDefault="00A27CF2">
            <w:pPr>
              <w:spacing w:before="0" w:after="0"/>
              <w:jc w:val="center"/>
              <w:rPr>
                <w:b/>
                <w:bCs/>
                <w:noProof/>
                <w:color w:val="000000" w:themeColor="text1"/>
                <w:sz w:val="18"/>
                <w:szCs w:val="18"/>
              </w:rPr>
            </w:pPr>
            <w:r w:rsidRPr="00047543">
              <w:rPr>
                <w:b/>
                <w:noProof/>
                <w:color w:val="000000" w:themeColor="text1"/>
                <w:sz w:val="18"/>
              </w:rPr>
              <w:t>2027</w:t>
            </w:r>
          </w:p>
        </w:tc>
        <w:tc>
          <w:tcPr>
            <w:tcW w:w="981" w:type="dxa"/>
            <w:vMerge/>
            <w:tcBorders>
              <w:bottom w:val="single" w:sz="4" w:space="0" w:color="auto"/>
              <w:right w:val="single" w:sz="4" w:space="0" w:color="auto"/>
            </w:tcBorders>
            <w:vAlign w:val="center"/>
          </w:tcPr>
          <w:p w14:paraId="4B1E3AEC" w14:textId="77777777" w:rsidR="00A27CF2" w:rsidRPr="00047543" w:rsidRDefault="00A27CF2">
            <w:pPr>
              <w:rPr>
                <w:noProof/>
              </w:rPr>
            </w:pPr>
          </w:p>
        </w:tc>
      </w:tr>
      <w:tr w:rsidR="00A27CF2" w:rsidRPr="00047543" w14:paraId="1A3C9032" w14:textId="77777777">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3353359D" w14:textId="77777777" w:rsidR="00A27CF2" w:rsidRPr="00047543" w:rsidRDefault="00A27CF2">
            <w:pPr>
              <w:spacing w:before="0" w:after="0"/>
              <w:jc w:val="left"/>
              <w:rPr>
                <w:b/>
                <w:bCs/>
                <w:noProof/>
                <w:sz w:val="16"/>
                <w:szCs w:val="16"/>
              </w:rPr>
            </w:pPr>
            <w:r w:rsidRPr="00047543">
              <w:rPr>
                <w:b/>
                <w:noProof/>
                <w:sz w:val="16"/>
              </w:rPr>
              <w:t>RUBRIK 7</w:t>
            </w:r>
          </w:p>
        </w:tc>
      </w:tr>
      <w:tr w:rsidR="00A27CF2" w:rsidRPr="00047543" w14:paraId="546A3664"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747E92" w14:textId="77777777" w:rsidR="00A27CF2" w:rsidRPr="00047543" w:rsidRDefault="00A27CF2">
            <w:pPr>
              <w:spacing w:before="0" w:after="0"/>
              <w:jc w:val="left"/>
              <w:rPr>
                <w:noProof/>
                <w:color w:val="000000" w:themeColor="text1"/>
                <w:sz w:val="16"/>
                <w:szCs w:val="16"/>
              </w:rPr>
            </w:pPr>
            <w:r w:rsidRPr="00047543">
              <w:rPr>
                <w:rFonts w:ascii="Arial Narrow" w:hAnsi="Arial Narrow"/>
                <w:noProof/>
                <w:color w:val="000000" w:themeColor="text1"/>
                <w:sz w:val="20"/>
              </w:rPr>
              <w:t>It-utgifter (centralt)</w:t>
            </w:r>
            <w:r w:rsidRPr="00047543">
              <w:rPr>
                <w:noProof/>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028678E" w14:textId="77777777" w:rsidR="00A27CF2" w:rsidRPr="00047543" w:rsidRDefault="00A27CF2">
            <w:pPr>
              <w:spacing w:before="0" w:after="0"/>
              <w:jc w:val="right"/>
              <w:rPr>
                <w:noProof/>
                <w:color w:val="000000" w:themeColor="text1"/>
                <w:sz w:val="16"/>
                <w:szCs w:val="16"/>
              </w:rPr>
            </w:pPr>
            <w:r w:rsidRPr="0004754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9197520" w14:textId="77777777" w:rsidR="00A27CF2" w:rsidRPr="00047543" w:rsidRDefault="00A27CF2">
            <w:pPr>
              <w:spacing w:before="0" w:after="0"/>
              <w:jc w:val="right"/>
              <w:rPr>
                <w:noProof/>
                <w:color w:val="000000" w:themeColor="text1"/>
                <w:sz w:val="16"/>
                <w:szCs w:val="16"/>
              </w:rPr>
            </w:pPr>
            <w:r w:rsidRPr="0004754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0AF0B7E" w14:textId="77777777" w:rsidR="00A27CF2" w:rsidRPr="00047543" w:rsidRDefault="00A27CF2">
            <w:pPr>
              <w:spacing w:before="0" w:after="0"/>
              <w:jc w:val="right"/>
              <w:rPr>
                <w:noProof/>
                <w:color w:val="000000" w:themeColor="text1"/>
                <w:sz w:val="16"/>
                <w:szCs w:val="16"/>
              </w:rPr>
            </w:pPr>
            <w:r w:rsidRPr="0004754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658A375" w14:textId="77777777" w:rsidR="00A27CF2" w:rsidRPr="00047543" w:rsidRDefault="00A27CF2">
            <w:pPr>
              <w:spacing w:before="0" w:after="0"/>
              <w:jc w:val="right"/>
              <w:rPr>
                <w:noProof/>
                <w:color w:val="000000" w:themeColor="text1"/>
                <w:sz w:val="16"/>
                <w:szCs w:val="16"/>
              </w:rPr>
            </w:pPr>
            <w:r w:rsidRPr="00047543">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83B2AC"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r>
      <w:tr w:rsidR="00A27CF2" w:rsidRPr="00047543" w14:paraId="09CE35BF"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09B5863A" w14:textId="77777777" w:rsidR="00A27CF2" w:rsidRPr="00047543" w:rsidRDefault="00A27CF2">
            <w:pPr>
              <w:spacing w:before="0" w:after="0"/>
              <w:jc w:val="center"/>
              <w:rPr>
                <w:b/>
                <w:bCs/>
                <w:noProof/>
                <w:color w:val="000000" w:themeColor="text1"/>
                <w:sz w:val="16"/>
                <w:szCs w:val="16"/>
              </w:rPr>
            </w:pPr>
            <w:r w:rsidRPr="00047543">
              <w:rPr>
                <w:b/>
                <w:noProof/>
                <w:color w:val="000000" w:themeColor="text1"/>
                <w:sz w:val="16"/>
              </w:rPr>
              <w:t>Delsumma för RUBRIK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EB2821"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F6F3149"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7C2994F"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F8032BB"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4271144"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r>
      <w:tr w:rsidR="00A27CF2" w:rsidRPr="00047543" w14:paraId="18DADAA3"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F0A446" w14:textId="77777777" w:rsidR="00A27CF2" w:rsidRPr="00047543" w:rsidRDefault="00A27CF2">
            <w:pPr>
              <w:spacing w:before="0" w:after="0"/>
              <w:jc w:val="left"/>
              <w:rPr>
                <w:b/>
                <w:bCs/>
                <w:noProof/>
                <w:sz w:val="16"/>
                <w:szCs w:val="16"/>
              </w:rPr>
            </w:pPr>
            <w:r w:rsidRPr="00047543">
              <w:rPr>
                <w:b/>
                <w:noProof/>
                <w:sz w:val="16"/>
              </w:rPr>
              <w:t>Utanför RUBRIK 7</w:t>
            </w:r>
          </w:p>
        </w:tc>
      </w:tr>
      <w:tr w:rsidR="00A27CF2" w:rsidRPr="00047543" w14:paraId="0A67D024" w14:textId="77777777">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026473" w14:textId="77777777" w:rsidR="00A27CF2" w:rsidRPr="00047543" w:rsidRDefault="00A27CF2">
            <w:pPr>
              <w:spacing w:before="0" w:after="0"/>
              <w:jc w:val="left"/>
              <w:rPr>
                <w:rFonts w:ascii="Arial Narrow" w:eastAsia="Arial Narrow" w:hAnsi="Arial Narrow" w:cs="Arial Narrow"/>
                <w:noProof/>
                <w:color w:val="000000" w:themeColor="text1"/>
                <w:sz w:val="20"/>
                <w:szCs w:val="20"/>
              </w:rPr>
            </w:pPr>
            <w:r w:rsidRPr="00047543">
              <w:rPr>
                <w:rFonts w:ascii="Arial Narrow" w:hAnsi="Arial Narrow"/>
                <w:noProof/>
                <w:color w:val="000000" w:themeColor="text1"/>
                <w:sz w:val="20"/>
              </w:rPr>
              <w:t>It-utgifter inom operativa program som inte omfattas av kommissionens administrativa självständighet och institutionella befogenheter</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9D46353" w14:textId="77777777" w:rsidR="00A27CF2" w:rsidRPr="00047543" w:rsidRDefault="00A27CF2">
            <w:pPr>
              <w:spacing w:before="0" w:after="0"/>
              <w:jc w:val="right"/>
              <w:rPr>
                <w:noProof/>
                <w:color w:val="000000" w:themeColor="text1"/>
                <w:sz w:val="16"/>
                <w:szCs w:val="16"/>
              </w:rPr>
            </w:pPr>
            <w:r w:rsidRPr="0004754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3F32EF0" w14:textId="77777777" w:rsidR="00A27CF2" w:rsidRPr="00047543" w:rsidRDefault="00A27CF2">
            <w:pPr>
              <w:spacing w:before="0" w:after="0"/>
              <w:jc w:val="right"/>
              <w:rPr>
                <w:noProof/>
                <w:color w:val="000000" w:themeColor="text1"/>
                <w:sz w:val="16"/>
                <w:szCs w:val="16"/>
              </w:rPr>
            </w:pPr>
            <w:r w:rsidRPr="0004754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35C611D" w14:textId="77777777" w:rsidR="00A27CF2" w:rsidRPr="00047543" w:rsidRDefault="00A27CF2">
            <w:pPr>
              <w:spacing w:before="0" w:after="0"/>
              <w:jc w:val="right"/>
              <w:rPr>
                <w:noProof/>
                <w:color w:val="000000" w:themeColor="text1"/>
                <w:sz w:val="16"/>
                <w:szCs w:val="16"/>
              </w:rPr>
            </w:pPr>
            <w:r w:rsidRPr="00047543">
              <w:rPr>
                <w:noProof/>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A066AA7" w14:textId="77777777" w:rsidR="00A27CF2" w:rsidRPr="00047543" w:rsidRDefault="00A27CF2">
            <w:pPr>
              <w:spacing w:before="0" w:after="0"/>
              <w:jc w:val="right"/>
              <w:rPr>
                <w:noProof/>
                <w:color w:val="000000" w:themeColor="text1"/>
                <w:sz w:val="16"/>
                <w:szCs w:val="16"/>
              </w:rPr>
            </w:pPr>
            <w:r w:rsidRPr="00047543">
              <w:rPr>
                <w:noProof/>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366FB1"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r>
      <w:tr w:rsidR="00A27CF2" w:rsidRPr="00047543" w14:paraId="7995E4E8" w14:textId="77777777">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4BA8ABDA" w14:textId="77777777" w:rsidR="00A27CF2" w:rsidRPr="00047543" w:rsidRDefault="00A27CF2">
            <w:pPr>
              <w:spacing w:before="0" w:after="0"/>
              <w:jc w:val="center"/>
              <w:rPr>
                <w:b/>
                <w:bCs/>
                <w:noProof/>
                <w:color w:val="000000" w:themeColor="text1"/>
                <w:sz w:val="16"/>
                <w:szCs w:val="16"/>
              </w:rPr>
            </w:pPr>
            <w:r w:rsidRPr="00047543">
              <w:rPr>
                <w:b/>
                <w:noProof/>
                <w:color w:val="000000" w:themeColor="text1"/>
                <w:sz w:val="16"/>
              </w:rPr>
              <w:t>Delsumma utanför RUBRIK 7</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0D59B92"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DBDED8E"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A4F3F4C"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D3C10DE"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45FC859"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r>
      <w:tr w:rsidR="00A27CF2" w:rsidRPr="00047543" w14:paraId="4CAA14D5" w14:textId="77777777">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7B8BAD" w14:textId="77777777" w:rsidR="00A27CF2" w:rsidRPr="00047543" w:rsidRDefault="00A27CF2">
            <w:pPr>
              <w:spacing w:before="0" w:after="0"/>
              <w:jc w:val="center"/>
              <w:rPr>
                <w:noProof/>
                <w:color w:val="000000" w:themeColor="text1"/>
                <w:sz w:val="16"/>
                <w:szCs w:val="16"/>
              </w:rPr>
            </w:pPr>
            <w:r w:rsidRPr="00047543">
              <w:rPr>
                <w:noProof/>
                <w:color w:val="000000" w:themeColor="text1"/>
                <w:sz w:val="16"/>
              </w:rPr>
              <w:t xml:space="preserve"> </w:t>
            </w:r>
          </w:p>
        </w:tc>
      </w:tr>
      <w:tr w:rsidR="00A27CF2" w:rsidRPr="00047543" w14:paraId="0B7CCAFC" w14:textId="77777777">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33EE16EE" w14:textId="77777777" w:rsidR="00A27CF2" w:rsidRPr="00047543" w:rsidRDefault="00A27CF2">
            <w:pPr>
              <w:spacing w:before="0" w:after="0"/>
              <w:jc w:val="center"/>
              <w:rPr>
                <w:b/>
                <w:bCs/>
                <w:noProof/>
                <w:color w:val="000000" w:themeColor="text1"/>
                <w:sz w:val="16"/>
                <w:szCs w:val="16"/>
              </w:rPr>
            </w:pPr>
            <w:r w:rsidRPr="00047543">
              <w:rPr>
                <w:b/>
                <w:noProof/>
                <w:color w:val="000000" w:themeColor="text1"/>
                <w:sz w:val="16"/>
              </w:rPr>
              <w:t>TOTALT</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4FF28359"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25A5D3D6"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5BC7ECC"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0B5951F2"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7CA971B9" w14:textId="77777777" w:rsidR="00A27CF2" w:rsidRPr="00047543" w:rsidRDefault="00A27CF2">
            <w:pPr>
              <w:spacing w:before="0" w:after="0"/>
              <w:jc w:val="right"/>
              <w:rPr>
                <w:b/>
                <w:bCs/>
                <w:noProof/>
                <w:color w:val="000000" w:themeColor="text1"/>
                <w:sz w:val="16"/>
                <w:szCs w:val="16"/>
              </w:rPr>
            </w:pPr>
            <w:r w:rsidRPr="00047543">
              <w:rPr>
                <w:b/>
                <w:noProof/>
                <w:color w:val="000000" w:themeColor="text1"/>
                <w:sz w:val="16"/>
              </w:rPr>
              <w:t>0,000</w:t>
            </w:r>
          </w:p>
        </w:tc>
      </w:tr>
    </w:tbl>
    <w:p w14:paraId="4D83D3ED" w14:textId="77777777" w:rsidR="00A27CF2" w:rsidRPr="00047543" w:rsidRDefault="00A27CF2" w:rsidP="00A27CF2">
      <w:pPr>
        <w:pStyle w:val="ManualHeading3"/>
        <w:rPr>
          <w:noProof/>
        </w:rPr>
      </w:pPr>
      <w:r w:rsidRPr="00047543">
        <w:rPr>
          <w:noProof/>
        </w:rPr>
        <w:t>3.2.6</w:t>
      </w:r>
      <w:r w:rsidRPr="00047543">
        <w:rPr>
          <w:noProof/>
        </w:rPr>
        <w:tab/>
        <w:t xml:space="preserve">Förenlighet med den gällande fleråriga budgetramen </w:t>
      </w:r>
    </w:p>
    <w:p w14:paraId="556615A5" w14:textId="77777777" w:rsidR="00A27CF2" w:rsidRPr="00047543" w:rsidRDefault="00A27CF2" w:rsidP="00A27CF2">
      <w:pPr>
        <w:pStyle w:val="Text1"/>
        <w:rPr>
          <w:noProof/>
        </w:rPr>
      </w:pPr>
      <w:r w:rsidRPr="00047543">
        <w:rPr>
          <w:noProof/>
        </w:rPr>
        <w:t>Förslaget/initiativet</w:t>
      </w:r>
    </w:p>
    <w:p w14:paraId="48594005" w14:textId="77777777" w:rsidR="00A27CF2" w:rsidRPr="00047543" w:rsidRDefault="00A27CF2" w:rsidP="00A27CF2">
      <w:pPr>
        <w:pStyle w:val="ListDash1"/>
        <w:rPr>
          <w:noProof/>
        </w:rPr>
      </w:pPr>
      <w:r w:rsidRPr="00047543">
        <w:rPr>
          <w:rFonts w:ascii="Wingdings" w:hAnsi="Wingdings"/>
          <w:noProof/>
        </w:rPr>
        <w:t></w:t>
      </w:r>
      <w:r w:rsidRPr="00047543">
        <w:rPr>
          <w:noProof/>
        </w:rPr>
        <w:tab/>
        <w:t>kan finansieras fullständigt genom omfördelningar inom den berörda rubriken i den fleråriga budgetramen</w:t>
      </w:r>
    </w:p>
    <w:p w14:paraId="22F9DAEE" w14:textId="77777777" w:rsidR="00A27CF2" w:rsidRPr="00047543" w:rsidRDefault="00A27CF2" w:rsidP="00A27CF2">
      <w:pPr>
        <w:pStyle w:val="ListDash1"/>
        <w:rPr>
          <w:noProof/>
        </w:rPr>
      </w:pPr>
      <w:r w:rsidRPr="00047543">
        <w:rPr>
          <w:rFonts w:ascii="Wingdings" w:hAnsi="Wingdings"/>
          <w:noProof/>
        </w:rPr>
        <w:t></w:t>
      </w:r>
      <w:r w:rsidRPr="00047543">
        <w:rPr>
          <w:noProof/>
        </w:rPr>
        <w:tab/>
        <w:t>kräver användning av den outnyttjade marginalen under den relevanta rubriken i den fleråriga budgetramen och/eller användning av särskilda instrument enligt definitionen i förordningen om den fleråriga budgetramen</w:t>
      </w:r>
    </w:p>
    <w:p w14:paraId="6650B181" w14:textId="77777777" w:rsidR="00A27CF2" w:rsidRPr="00047543" w:rsidRDefault="00A27CF2" w:rsidP="00A27CF2">
      <w:pPr>
        <w:pStyle w:val="ListDash1"/>
        <w:rPr>
          <w:noProof/>
        </w:rPr>
      </w:pPr>
      <w:r w:rsidRPr="00047543">
        <w:rPr>
          <w:rFonts w:ascii="Wingdings" w:hAnsi="Wingdings"/>
          <w:noProof/>
        </w:rPr>
        <w:t></w:t>
      </w:r>
      <w:r w:rsidRPr="00047543">
        <w:rPr>
          <w:noProof/>
        </w:rPr>
        <w:tab/>
        <w:t>kräver en översyn av den fleråriga budgetramen</w:t>
      </w:r>
    </w:p>
    <w:p w14:paraId="40B681EC" w14:textId="77777777" w:rsidR="00A27CF2" w:rsidRPr="00047543" w:rsidRDefault="00A27CF2" w:rsidP="00A27CF2">
      <w:pPr>
        <w:pStyle w:val="ManualHeading3"/>
        <w:rPr>
          <w:noProof/>
        </w:rPr>
      </w:pPr>
      <w:r w:rsidRPr="00047543">
        <w:rPr>
          <w:noProof/>
        </w:rPr>
        <w:t>3.2.7</w:t>
      </w:r>
      <w:r w:rsidRPr="00047543">
        <w:rPr>
          <w:noProof/>
        </w:rPr>
        <w:tab/>
        <w:t xml:space="preserve">Bidrag från tredje part </w:t>
      </w:r>
    </w:p>
    <w:p w14:paraId="34A30F54" w14:textId="77777777" w:rsidR="00A27CF2" w:rsidRPr="00047543" w:rsidRDefault="00A27CF2" w:rsidP="00A27CF2">
      <w:pPr>
        <w:pStyle w:val="Text1"/>
        <w:rPr>
          <w:noProof/>
        </w:rPr>
      </w:pPr>
      <w:r w:rsidRPr="00047543">
        <w:rPr>
          <w:noProof/>
        </w:rPr>
        <w:t>Förslaget/initiativet</w:t>
      </w:r>
    </w:p>
    <w:p w14:paraId="6E8FE620" w14:textId="77777777" w:rsidR="00A27CF2" w:rsidRPr="00047543" w:rsidRDefault="00A27CF2" w:rsidP="00A27CF2">
      <w:pPr>
        <w:pStyle w:val="ListDash1"/>
        <w:rPr>
          <w:noProof/>
        </w:rPr>
      </w:pPr>
      <w:r w:rsidRPr="00047543">
        <w:rPr>
          <w:rFonts w:ascii="Wingdings" w:hAnsi="Wingdings"/>
          <w:noProof/>
        </w:rPr>
        <w:t></w:t>
      </w:r>
      <w:r w:rsidRPr="00047543">
        <w:rPr>
          <w:noProof/>
        </w:rPr>
        <w:tab/>
        <w:t>innehåller inga bestämmelser om samfinansiering från tredje parter</w:t>
      </w:r>
    </w:p>
    <w:p w14:paraId="217C46F3" w14:textId="77777777" w:rsidR="00A27CF2" w:rsidRPr="00047543" w:rsidRDefault="00A27CF2" w:rsidP="00A27CF2">
      <w:pPr>
        <w:pStyle w:val="ListDash1"/>
        <w:rPr>
          <w:noProof/>
        </w:rPr>
      </w:pPr>
      <w:r w:rsidRPr="00047543">
        <w:rPr>
          <w:rFonts w:ascii="Wingdings" w:hAnsi="Wingdings"/>
          <w:noProof/>
        </w:rPr>
        <w:t></w:t>
      </w:r>
      <w:r w:rsidRPr="00047543">
        <w:rPr>
          <w:noProof/>
        </w:rPr>
        <w:tab/>
        <w:t>innehåller bestämmelser om samfinansiering från tredje parter enligt följande uppskattning:</w:t>
      </w:r>
    </w:p>
    <w:p w14:paraId="37BA8C5A" w14:textId="77777777" w:rsidR="00A27CF2" w:rsidRPr="00047543" w:rsidRDefault="00A27CF2" w:rsidP="00A27CF2">
      <w:pPr>
        <w:jc w:val="right"/>
        <w:rPr>
          <w:noProof/>
          <w:sz w:val="20"/>
        </w:rPr>
      </w:pPr>
      <w:r w:rsidRPr="00047543">
        <w:rPr>
          <w:noProof/>
          <w:sz w:val="20"/>
        </w:rPr>
        <w:t>Anslag i miljoner euro (avrundat till tre decimaler)</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9"/>
        <w:gridCol w:w="1217"/>
        <w:gridCol w:w="1217"/>
        <w:gridCol w:w="1217"/>
        <w:gridCol w:w="1217"/>
        <w:gridCol w:w="1462"/>
      </w:tblGrid>
      <w:tr w:rsidR="00A27CF2" w:rsidRPr="00047543" w14:paraId="211366D7" w14:textId="77777777">
        <w:trPr>
          <w:cantSplit/>
        </w:trPr>
        <w:tc>
          <w:tcPr>
            <w:tcW w:w="1591" w:type="pct"/>
          </w:tcPr>
          <w:p w14:paraId="0AA73BC1" w14:textId="77777777" w:rsidR="00A27CF2" w:rsidRPr="00047543" w:rsidRDefault="00A27CF2">
            <w:pPr>
              <w:spacing w:before="60" w:after="60"/>
              <w:rPr>
                <w:noProof/>
                <w:sz w:val="20"/>
              </w:rPr>
            </w:pPr>
          </w:p>
        </w:tc>
        <w:tc>
          <w:tcPr>
            <w:tcW w:w="655" w:type="pct"/>
            <w:vAlign w:val="center"/>
          </w:tcPr>
          <w:p w14:paraId="4CAC1389" w14:textId="77777777" w:rsidR="00A27CF2" w:rsidRPr="00047543" w:rsidRDefault="00A27CF2">
            <w:pPr>
              <w:jc w:val="center"/>
              <w:rPr>
                <w:noProof/>
                <w:sz w:val="20"/>
              </w:rPr>
            </w:pPr>
            <w:r w:rsidRPr="00047543">
              <w:rPr>
                <w:noProof/>
                <w:sz w:val="20"/>
              </w:rPr>
              <w:t>År</w:t>
            </w:r>
            <w:r w:rsidRPr="00047543">
              <w:rPr>
                <w:noProof/>
              </w:rPr>
              <w:cr/>
            </w:r>
            <w:r w:rsidRPr="00047543">
              <w:rPr>
                <w:noProof/>
              </w:rPr>
              <w:br/>
            </w:r>
            <w:r w:rsidRPr="00047543">
              <w:rPr>
                <w:b/>
                <w:noProof/>
                <w:sz w:val="20"/>
              </w:rPr>
              <w:t>2024</w:t>
            </w:r>
          </w:p>
        </w:tc>
        <w:tc>
          <w:tcPr>
            <w:tcW w:w="655" w:type="pct"/>
            <w:vAlign w:val="center"/>
          </w:tcPr>
          <w:p w14:paraId="00763FFF" w14:textId="77777777" w:rsidR="00A27CF2" w:rsidRPr="00047543" w:rsidRDefault="00A27CF2">
            <w:pPr>
              <w:jc w:val="center"/>
              <w:rPr>
                <w:noProof/>
                <w:sz w:val="20"/>
              </w:rPr>
            </w:pPr>
            <w:r w:rsidRPr="00047543">
              <w:rPr>
                <w:noProof/>
                <w:sz w:val="20"/>
              </w:rPr>
              <w:t>År</w:t>
            </w:r>
            <w:r w:rsidRPr="00047543">
              <w:rPr>
                <w:noProof/>
              </w:rPr>
              <w:cr/>
            </w:r>
            <w:r w:rsidRPr="00047543">
              <w:rPr>
                <w:noProof/>
              </w:rPr>
              <w:br/>
            </w:r>
            <w:r w:rsidRPr="00047543">
              <w:rPr>
                <w:b/>
                <w:noProof/>
                <w:sz w:val="20"/>
              </w:rPr>
              <w:t>2025</w:t>
            </w:r>
          </w:p>
        </w:tc>
        <w:tc>
          <w:tcPr>
            <w:tcW w:w="655" w:type="pct"/>
            <w:vAlign w:val="center"/>
          </w:tcPr>
          <w:p w14:paraId="5381C937" w14:textId="77777777" w:rsidR="00A27CF2" w:rsidRPr="00047543" w:rsidRDefault="00A27CF2">
            <w:pPr>
              <w:jc w:val="center"/>
              <w:rPr>
                <w:noProof/>
                <w:sz w:val="20"/>
              </w:rPr>
            </w:pPr>
            <w:r w:rsidRPr="00047543">
              <w:rPr>
                <w:noProof/>
                <w:sz w:val="20"/>
              </w:rPr>
              <w:t>År</w:t>
            </w:r>
            <w:r w:rsidRPr="00047543">
              <w:rPr>
                <w:noProof/>
              </w:rPr>
              <w:cr/>
            </w:r>
            <w:r w:rsidRPr="00047543">
              <w:rPr>
                <w:noProof/>
              </w:rPr>
              <w:br/>
            </w:r>
            <w:r w:rsidRPr="00047543">
              <w:rPr>
                <w:b/>
                <w:noProof/>
                <w:sz w:val="20"/>
              </w:rPr>
              <w:t>2026</w:t>
            </w:r>
          </w:p>
        </w:tc>
        <w:tc>
          <w:tcPr>
            <w:tcW w:w="655" w:type="pct"/>
            <w:vAlign w:val="center"/>
          </w:tcPr>
          <w:p w14:paraId="351129EF" w14:textId="77777777" w:rsidR="00A27CF2" w:rsidRPr="00047543" w:rsidRDefault="00A27CF2">
            <w:pPr>
              <w:jc w:val="center"/>
              <w:rPr>
                <w:noProof/>
                <w:sz w:val="20"/>
              </w:rPr>
            </w:pPr>
            <w:r w:rsidRPr="00047543">
              <w:rPr>
                <w:noProof/>
                <w:sz w:val="20"/>
              </w:rPr>
              <w:t>År</w:t>
            </w:r>
            <w:r w:rsidRPr="00047543">
              <w:rPr>
                <w:noProof/>
              </w:rPr>
              <w:cr/>
            </w:r>
            <w:r w:rsidRPr="00047543">
              <w:rPr>
                <w:noProof/>
              </w:rPr>
              <w:br/>
            </w:r>
            <w:r w:rsidRPr="00047543">
              <w:rPr>
                <w:b/>
                <w:noProof/>
                <w:sz w:val="20"/>
              </w:rPr>
              <w:t>2027</w:t>
            </w:r>
          </w:p>
        </w:tc>
        <w:tc>
          <w:tcPr>
            <w:tcW w:w="787" w:type="pct"/>
            <w:vAlign w:val="center"/>
          </w:tcPr>
          <w:p w14:paraId="6E828ACA" w14:textId="77777777" w:rsidR="00A27CF2" w:rsidRPr="00047543" w:rsidRDefault="00A27CF2">
            <w:pPr>
              <w:spacing w:before="60" w:after="60"/>
              <w:jc w:val="center"/>
              <w:rPr>
                <w:noProof/>
                <w:sz w:val="20"/>
              </w:rPr>
            </w:pPr>
            <w:r w:rsidRPr="00047543">
              <w:rPr>
                <w:noProof/>
                <w:sz w:val="20"/>
              </w:rPr>
              <w:t>Totalt</w:t>
            </w:r>
          </w:p>
        </w:tc>
      </w:tr>
      <w:tr w:rsidR="00A27CF2" w:rsidRPr="00047543" w14:paraId="6A720AC6" w14:textId="77777777">
        <w:trPr>
          <w:cantSplit/>
        </w:trPr>
        <w:tc>
          <w:tcPr>
            <w:tcW w:w="1591" w:type="pct"/>
          </w:tcPr>
          <w:p w14:paraId="005CF889" w14:textId="77777777" w:rsidR="00A27CF2" w:rsidRPr="00047543" w:rsidRDefault="00A27CF2">
            <w:pPr>
              <w:rPr>
                <w:noProof/>
              </w:rPr>
            </w:pPr>
            <w:r w:rsidRPr="00047543">
              <w:rPr>
                <w:noProof/>
                <w:sz w:val="20"/>
              </w:rPr>
              <w:t>Ange vilket organ som deltar i samfinansieringen</w:t>
            </w:r>
            <w:r w:rsidRPr="00047543">
              <w:rPr>
                <w:i/>
                <w:noProof/>
                <w:sz w:val="20"/>
              </w:rPr>
              <w:t xml:space="preserve"> </w:t>
            </w:r>
          </w:p>
        </w:tc>
        <w:tc>
          <w:tcPr>
            <w:tcW w:w="655" w:type="pct"/>
            <w:vAlign w:val="center"/>
          </w:tcPr>
          <w:p w14:paraId="09B75C9D" w14:textId="77777777" w:rsidR="00A27CF2" w:rsidRPr="00047543" w:rsidRDefault="00A27CF2">
            <w:pPr>
              <w:spacing w:before="60" w:after="60"/>
              <w:jc w:val="center"/>
              <w:rPr>
                <w:noProof/>
                <w:sz w:val="20"/>
              </w:rPr>
            </w:pPr>
          </w:p>
        </w:tc>
        <w:tc>
          <w:tcPr>
            <w:tcW w:w="655" w:type="pct"/>
            <w:vAlign w:val="center"/>
          </w:tcPr>
          <w:p w14:paraId="5A68B965" w14:textId="77777777" w:rsidR="00A27CF2" w:rsidRPr="00047543" w:rsidRDefault="00A27CF2">
            <w:pPr>
              <w:spacing w:before="60" w:after="60"/>
              <w:jc w:val="center"/>
              <w:rPr>
                <w:noProof/>
                <w:sz w:val="20"/>
              </w:rPr>
            </w:pPr>
          </w:p>
        </w:tc>
        <w:tc>
          <w:tcPr>
            <w:tcW w:w="655" w:type="pct"/>
            <w:vAlign w:val="center"/>
          </w:tcPr>
          <w:p w14:paraId="7E9D2F0C" w14:textId="77777777" w:rsidR="00A27CF2" w:rsidRPr="00047543" w:rsidRDefault="00A27CF2">
            <w:pPr>
              <w:spacing w:before="60" w:after="60"/>
              <w:jc w:val="center"/>
              <w:rPr>
                <w:noProof/>
                <w:sz w:val="20"/>
              </w:rPr>
            </w:pPr>
          </w:p>
        </w:tc>
        <w:tc>
          <w:tcPr>
            <w:tcW w:w="655" w:type="pct"/>
            <w:vAlign w:val="center"/>
          </w:tcPr>
          <w:p w14:paraId="6F22C855" w14:textId="77777777" w:rsidR="00A27CF2" w:rsidRPr="00047543" w:rsidRDefault="00A27CF2">
            <w:pPr>
              <w:spacing w:before="60" w:after="60"/>
              <w:jc w:val="center"/>
              <w:rPr>
                <w:noProof/>
                <w:sz w:val="20"/>
              </w:rPr>
            </w:pPr>
          </w:p>
        </w:tc>
        <w:tc>
          <w:tcPr>
            <w:tcW w:w="787" w:type="pct"/>
            <w:vAlign w:val="center"/>
          </w:tcPr>
          <w:p w14:paraId="246C5127" w14:textId="77777777" w:rsidR="00A27CF2" w:rsidRPr="00047543" w:rsidRDefault="00A27CF2">
            <w:pPr>
              <w:spacing w:before="60" w:after="60"/>
              <w:jc w:val="center"/>
              <w:rPr>
                <w:noProof/>
                <w:sz w:val="20"/>
              </w:rPr>
            </w:pPr>
          </w:p>
        </w:tc>
      </w:tr>
      <w:tr w:rsidR="00A27CF2" w:rsidRPr="00047543" w14:paraId="7555F567" w14:textId="77777777">
        <w:trPr>
          <w:cantSplit/>
        </w:trPr>
        <w:tc>
          <w:tcPr>
            <w:tcW w:w="1591" w:type="pct"/>
          </w:tcPr>
          <w:p w14:paraId="34144451" w14:textId="77777777" w:rsidR="00A27CF2" w:rsidRPr="00047543" w:rsidRDefault="00A27CF2">
            <w:pPr>
              <w:spacing w:before="60" w:after="60"/>
              <w:jc w:val="left"/>
              <w:rPr>
                <w:noProof/>
                <w:sz w:val="20"/>
              </w:rPr>
            </w:pPr>
            <w:r w:rsidRPr="00047543">
              <w:rPr>
                <w:noProof/>
                <w:sz w:val="20"/>
              </w:rPr>
              <w:t xml:space="preserve">TOTALA anslag som tillförs genom samfinansiering </w:t>
            </w:r>
          </w:p>
        </w:tc>
        <w:tc>
          <w:tcPr>
            <w:tcW w:w="655" w:type="pct"/>
            <w:vAlign w:val="center"/>
          </w:tcPr>
          <w:p w14:paraId="088DB0F8" w14:textId="77777777" w:rsidR="00A27CF2" w:rsidRPr="00047543" w:rsidRDefault="00A27CF2">
            <w:pPr>
              <w:spacing w:before="60" w:after="60"/>
              <w:jc w:val="center"/>
              <w:rPr>
                <w:noProof/>
                <w:sz w:val="20"/>
              </w:rPr>
            </w:pPr>
          </w:p>
        </w:tc>
        <w:tc>
          <w:tcPr>
            <w:tcW w:w="655" w:type="pct"/>
            <w:vAlign w:val="center"/>
          </w:tcPr>
          <w:p w14:paraId="3ECACFE5" w14:textId="77777777" w:rsidR="00A27CF2" w:rsidRPr="00047543" w:rsidRDefault="00A27CF2">
            <w:pPr>
              <w:spacing w:before="60" w:after="60"/>
              <w:jc w:val="center"/>
              <w:rPr>
                <w:noProof/>
                <w:sz w:val="20"/>
              </w:rPr>
            </w:pPr>
          </w:p>
        </w:tc>
        <w:tc>
          <w:tcPr>
            <w:tcW w:w="655" w:type="pct"/>
            <w:vAlign w:val="center"/>
          </w:tcPr>
          <w:p w14:paraId="059647B5" w14:textId="77777777" w:rsidR="00A27CF2" w:rsidRPr="00047543" w:rsidRDefault="00A27CF2">
            <w:pPr>
              <w:spacing w:before="60" w:after="60"/>
              <w:jc w:val="center"/>
              <w:rPr>
                <w:noProof/>
                <w:sz w:val="20"/>
              </w:rPr>
            </w:pPr>
          </w:p>
        </w:tc>
        <w:tc>
          <w:tcPr>
            <w:tcW w:w="655" w:type="pct"/>
            <w:vAlign w:val="center"/>
          </w:tcPr>
          <w:p w14:paraId="7149911D" w14:textId="77777777" w:rsidR="00A27CF2" w:rsidRPr="00047543" w:rsidRDefault="00A27CF2">
            <w:pPr>
              <w:spacing w:before="60" w:after="60"/>
              <w:jc w:val="center"/>
              <w:rPr>
                <w:noProof/>
                <w:sz w:val="20"/>
              </w:rPr>
            </w:pPr>
          </w:p>
        </w:tc>
        <w:tc>
          <w:tcPr>
            <w:tcW w:w="787" w:type="pct"/>
            <w:vAlign w:val="center"/>
          </w:tcPr>
          <w:p w14:paraId="2E5105BD" w14:textId="77777777" w:rsidR="00A27CF2" w:rsidRPr="00047543" w:rsidRDefault="00A27CF2">
            <w:pPr>
              <w:spacing w:before="60" w:after="60"/>
              <w:jc w:val="center"/>
              <w:rPr>
                <w:noProof/>
                <w:sz w:val="20"/>
              </w:rPr>
            </w:pPr>
          </w:p>
        </w:tc>
      </w:tr>
    </w:tbl>
    <w:p w14:paraId="7DB47723" w14:textId="77777777" w:rsidR="00A27CF2" w:rsidRPr="00047543" w:rsidRDefault="00A27CF2" w:rsidP="00A27CF2">
      <w:pPr>
        <w:outlineLvl w:val="1"/>
        <w:rPr>
          <w:noProof/>
          <w:szCs w:val="24"/>
        </w:rPr>
      </w:pPr>
      <w:r w:rsidRPr="00047543">
        <w:rPr>
          <w:noProof/>
        </w:rPr>
        <w:t xml:space="preserve"> </w:t>
      </w:r>
      <w:r w:rsidRPr="00047543">
        <w:rPr>
          <w:noProof/>
        </w:rPr>
        <w:cr/>
      </w:r>
      <w:r w:rsidRPr="00047543">
        <w:rPr>
          <w:noProof/>
        </w:rPr>
        <w:br/>
        <w:t>3.3</w:t>
      </w:r>
      <w:r w:rsidRPr="00047543">
        <w:rPr>
          <w:noProof/>
        </w:rPr>
        <w:tab/>
        <w:t xml:space="preserve">Beräknad inverkan på inkomsterna </w:t>
      </w:r>
    </w:p>
    <w:p w14:paraId="0F4B6A56" w14:textId="77777777" w:rsidR="00A27CF2" w:rsidRPr="00047543" w:rsidRDefault="00A27CF2" w:rsidP="00A27CF2">
      <w:pPr>
        <w:pStyle w:val="ListDash1"/>
        <w:rPr>
          <w:noProof/>
        </w:rPr>
      </w:pPr>
      <w:r w:rsidRPr="00047543">
        <w:rPr>
          <w:rFonts w:ascii="Wingdings" w:hAnsi="Wingdings"/>
          <w:noProof/>
        </w:rPr>
        <w:t></w:t>
      </w:r>
      <w:r w:rsidRPr="00047543">
        <w:rPr>
          <w:noProof/>
        </w:rPr>
        <w:tab/>
        <w:t>Förslaget/initiativet påverkar inte inkomsterna.</w:t>
      </w:r>
    </w:p>
    <w:p w14:paraId="5B3B1904" w14:textId="77777777" w:rsidR="00A27CF2" w:rsidRPr="00047543" w:rsidRDefault="00A27CF2" w:rsidP="00A27CF2">
      <w:pPr>
        <w:pStyle w:val="ListDash1"/>
        <w:rPr>
          <w:noProof/>
        </w:rPr>
      </w:pPr>
      <w:r w:rsidRPr="00047543">
        <w:rPr>
          <w:rFonts w:ascii="Wingdings" w:hAnsi="Wingdings"/>
          <w:noProof/>
        </w:rPr>
        <w:t></w:t>
      </w:r>
      <w:r w:rsidRPr="00047543">
        <w:rPr>
          <w:noProof/>
        </w:rPr>
        <w:tab/>
        <w:t>Förslaget/initiativet påverkar inkomsterna på följande sätt:</w:t>
      </w:r>
    </w:p>
    <w:p w14:paraId="053B9C01" w14:textId="77777777" w:rsidR="00A27CF2" w:rsidRPr="00047543" w:rsidRDefault="00A27CF2" w:rsidP="00A27CF2">
      <w:pPr>
        <w:pStyle w:val="ListNumberLevel3"/>
        <w:rPr>
          <w:noProof/>
        </w:rPr>
      </w:pPr>
      <w:r w:rsidRPr="00047543">
        <w:rPr>
          <w:rFonts w:ascii="Wingdings" w:hAnsi="Wingdings"/>
          <w:noProof/>
        </w:rPr>
        <w:t></w:t>
      </w:r>
      <w:r w:rsidRPr="00047543">
        <w:rPr>
          <w:noProof/>
        </w:rPr>
        <w:tab/>
        <w:t xml:space="preserve">Påverkan på egna medel </w:t>
      </w:r>
    </w:p>
    <w:p w14:paraId="5ADC74E7" w14:textId="77777777" w:rsidR="00A27CF2" w:rsidRPr="00047543" w:rsidRDefault="00A27CF2" w:rsidP="00A27CF2">
      <w:pPr>
        <w:pStyle w:val="ListNumberLevel3"/>
        <w:rPr>
          <w:noProof/>
        </w:rPr>
      </w:pPr>
      <w:r w:rsidRPr="00047543">
        <w:rPr>
          <w:rFonts w:ascii="Wingdings" w:hAnsi="Wingdings"/>
          <w:noProof/>
        </w:rPr>
        <w:t></w:t>
      </w:r>
      <w:r w:rsidRPr="00047543">
        <w:rPr>
          <w:noProof/>
        </w:rPr>
        <w:tab/>
        <w:t>Påverkan på andra inkomster</w:t>
      </w:r>
    </w:p>
    <w:p w14:paraId="567DB801" w14:textId="77777777" w:rsidR="00A27CF2" w:rsidRPr="00047543" w:rsidRDefault="00A27CF2" w:rsidP="00A27CF2">
      <w:pPr>
        <w:pStyle w:val="ListNumberLevel3"/>
        <w:rPr>
          <w:noProof/>
        </w:rPr>
      </w:pPr>
      <w:r w:rsidRPr="00047543">
        <w:rPr>
          <w:rFonts w:ascii="Wingdings" w:hAnsi="Wingdings"/>
          <w:noProof/>
        </w:rPr>
        <w:t></w:t>
      </w:r>
      <w:r w:rsidRPr="00047543">
        <w:rPr>
          <w:noProof/>
        </w:rPr>
        <w:tab/>
        <w:t>Ange om inkomsterna är avsatta för särskilda utgiftsposter</w:t>
      </w:r>
    </w:p>
    <w:p w14:paraId="3008E265" w14:textId="77777777" w:rsidR="00A27CF2" w:rsidRPr="00047543" w:rsidRDefault="008341E2" w:rsidP="00A27CF2">
      <w:pPr>
        <w:jc w:val="right"/>
        <w:rPr>
          <w:noProof/>
          <w:sz w:val="20"/>
        </w:rPr>
      </w:pPr>
      <w:r w:rsidRPr="00047543">
        <w:rPr>
          <w:noProof/>
          <w:sz w:val="20"/>
        </w:rPr>
        <w:t xml:space="preserve">    Miljoner EUR (avrundat till tre decimaler)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1614"/>
        <w:gridCol w:w="1692"/>
        <w:gridCol w:w="1044"/>
        <w:gridCol w:w="1035"/>
        <w:gridCol w:w="1260"/>
      </w:tblGrid>
      <w:tr w:rsidR="00A27CF2" w:rsidRPr="00047543" w14:paraId="6C7C2755" w14:textId="77777777">
        <w:trPr>
          <w:trHeight w:val="388"/>
        </w:trPr>
        <w:tc>
          <w:tcPr>
            <w:tcW w:w="1423" w:type="pct"/>
            <w:vMerge w:val="restart"/>
            <w:vAlign w:val="center"/>
          </w:tcPr>
          <w:p w14:paraId="5FE202F9" w14:textId="77777777" w:rsidR="00A27CF2" w:rsidRPr="00047543" w:rsidRDefault="00A27CF2">
            <w:pPr>
              <w:spacing w:before="40" w:after="40"/>
              <w:rPr>
                <w:noProof/>
                <w:sz w:val="18"/>
              </w:rPr>
            </w:pPr>
            <w:r w:rsidRPr="00047543">
              <w:rPr>
                <w:noProof/>
                <w:sz w:val="18"/>
              </w:rPr>
              <w:t>Inkomstposter i den årliga budgeten:</w:t>
            </w:r>
          </w:p>
        </w:tc>
        <w:tc>
          <w:tcPr>
            <w:tcW w:w="869" w:type="pct"/>
            <w:vMerge w:val="restart"/>
            <w:vAlign w:val="center"/>
          </w:tcPr>
          <w:p w14:paraId="7C98F2D4" w14:textId="77777777" w:rsidR="00A27CF2" w:rsidRPr="00047543" w:rsidRDefault="00A27CF2">
            <w:pPr>
              <w:jc w:val="center"/>
              <w:rPr>
                <w:noProof/>
                <w:sz w:val="18"/>
              </w:rPr>
            </w:pPr>
            <w:r w:rsidRPr="00047543">
              <w:rPr>
                <w:noProof/>
                <w:sz w:val="18"/>
              </w:rPr>
              <w:t>Belopp som förts in för det innevarande budgetåret</w:t>
            </w:r>
          </w:p>
        </w:tc>
        <w:tc>
          <w:tcPr>
            <w:tcW w:w="2709" w:type="pct"/>
            <w:gridSpan w:val="4"/>
            <w:vAlign w:val="center"/>
          </w:tcPr>
          <w:p w14:paraId="12A8B032" w14:textId="77777777" w:rsidR="00A27CF2" w:rsidRPr="00047543" w:rsidRDefault="00A27CF2">
            <w:pPr>
              <w:jc w:val="center"/>
              <w:rPr>
                <w:noProof/>
                <w:sz w:val="18"/>
              </w:rPr>
            </w:pPr>
            <w:r w:rsidRPr="00047543">
              <w:rPr>
                <w:noProof/>
                <w:sz w:val="18"/>
              </w:rPr>
              <w:t>Förslagets/initiativets inverkan på inkomsterna</w:t>
            </w:r>
            <w:r w:rsidRPr="00047543">
              <w:rPr>
                <w:rStyle w:val="FootnoteReference"/>
                <w:noProof/>
                <w:sz w:val="18"/>
                <w:szCs w:val="18"/>
              </w:rPr>
              <w:footnoteReference w:id="40"/>
            </w:r>
          </w:p>
        </w:tc>
      </w:tr>
      <w:tr w:rsidR="00A27CF2" w:rsidRPr="00047543" w14:paraId="04953F33" w14:textId="77777777">
        <w:trPr>
          <w:trHeight w:val="388"/>
        </w:trPr>
        <w:tc>
          <w:tcPr>
            <w:tcW w:w="1423" w:type="pct"/>
            <w:vMerge/>
          </w:tcPr>
          <w:p w14:paraId="71FDD86B" w14:textId="77777777" w:rsidR="00A27CF2" w:rsidRPr="00047543" w:rsidRDefault="00A27CF2">
            <w:pPr>
              <w:spacing w:before="40" w:after="40"/>
              <w:rPr>
                <w:noProof/>
                <w:sz w:val="18"/>
              </w:rPr>
            </w:pPr>
          </w:p>
        </w:tc>
        <w:tc>
          <w:tcPr>
            <w:tcW w:w="869" w:type="pct"/>
            <w:vMerge/>
          </w:tcPr>
          <w:p w14:paraId="32647A7B" w14:textId="77777777" w:rsidR="00A27CF2" w:rsidRPr="00047543" w:rsidRDefault="00A27CF2">
            <w:pPr>
              <w:spacing w:beforeLines="40" w:before="96" w:afterLines="40" w:after="96"/>
              <w:rPr>
                <w:i/>
                <w:noProof/>
                <w:sz w:val="18"/>
              </w:rPr>
            </w:pPr>
          </w:p>
        </w:tc>
        <w:tc>
          <w:tcPr>
            <w:tcW w:w="911" w:type="pct"/>
            <w:vAlign w:val="center"/>
          </w:tcPr>
          <w:p w14:paraId="53BB9307" w14:textId="77777777" w:rsidR="00A27CF2" w:rsidRPr="00047543" w:rsidRDefault="00A27CF2">
            <w:pPr>
              <w:jc w:val="center"/>
              <w:rPr>
                <w:noProof/>
                <w:sz w:val="18"/>
              </w:rPr>
            </w:pPr>
            <w:r w:rsidRPr="00047543">
              <w:rPr>
                <w:noProof/>
                <w:sz w:val="18"/>
              </w:rPr>
              <w:t xml:space="preserve">År </w:t>
            </w:r>
            <w:r w:rsidRPr="00047543">
              <w:rPr>
                <w:b/>
                <w:noProof/>
                <w:sz w:val="18"/>
              </w:rPr>
              <w:t>2024</w:t>
            </w:r>
          </w:p>
        </w:tc>
        <w:tc>
          <w:tcPr>
            <w:tcW w:w="562" w:type="pct"/>
            <w:vAlign w:val="center"/>
          </w:tcPr>
          <w:p w14:paraId="5E046548" w14:textId="77777777" w:rsidR="00A27CF2" w:rsidRPr="00047543" w:rsidRDefault="00A27CF2">
            <w:pPr>
              <w:jc w:val="center"/>
              <w:rPr>
                <w:noProof/>
                <w:sz w:val="18"/>
              </w:rPr>
            </w:pPr>
            <w:r w:rsidRPr="00047543">
              <w:rPr>
                <w:noProof/>
                <w:sz w:val="18"/>
              </w:rPr>
              <w:t xml:space="preserve">År </w:t>
            </w:r>
            <w:r w:rsidRPr="00047543">
              <w:rPr>
                <w:b/>
                <w:noProof/>
                <w:sz w:val="18"/>
              </w:rPr>
              <w:t>2025</w:t>
            </w:r>
          </w:p>
        </w:tc>
        <w:tc>
          <w:tcPr>
            <w:tcW w:w="557" w:type="pct"/>
            <w:vAlign w:val="center"/>
          </w:tcPr>
          <w:p w14:paraId="69AE7104" w14:textId="77777777" w:rsidR="00A27CF2" w:rsidRPr="00047543" w:rsidRDefault="00A27CF2">
            <w:pPr>
              <w:jc w:val="center"/>
              <w:rPr>
                <w:noProof/>
                <w:sz w:val="18"/>
              </w:rPr>
            </w:pPr>
            <w:r w:rsidRPr="00047543">
              <w:rPr>
                <w:noProof/>
                <w:sz w:val="18"/>
              </w:rPr>
              <w:t xml:space="preserve">År </w:t>
            </w:r>
            <w:r w:rsidRPr="00047543">
              <w:rPr>
                <w:b/>
                <w:noProof/>
                <w:sz w:val="18"/>
              </w:rPr>
              <w:t>2026</w:t>
            </w:r>
          </w:p>
        </w:tc>
        <w:tc>
          <w:tcPr>
            <w:tcW w:w="679" w:type="pct"/>
            <w:vAlign w:val="center"/>
          </w:tcPr>
          <w:p w14:paraId="64329BF0" w14:textId="77777777" w:rsidR="00A27CF2" w:rsidRPr="00047543" w:rsidRDefault="00A27CF2">
            <w:pPr>
              <w:jc w:val="center"/>
              <w:rPr>
                <w:noProof/>
                <w:sz w:val="18"/>
              </w:rPr>
            </w:pPr>
            <w:r w:rsidRPr="00047543">
              <w:rPr>
                <w:noProof/>
                <w:sz w:val="18"/>
              </w:rPr>
              <w:t xml:space="preserve">År </w:t>
            </w:r>
            <w:r w:rsidRPr="00047543">
              <w:rPr>
                <w:b/>
                <w:noProof/>
                <w:sz w:val="18"/>
              </w:rPr>
              <w:t>2027</w:t>
            </w:r>
          </w:p>
        </w:tc>
      </w:tr>
      <w:tr w:rsidR="00A27CF2" w:rsidRPr="00047543" w14:paraId="61A7CE5C" w14:textId="77777777">
        <w:trPr>
          <w:trHeight w:val="388"/>
        </w:trPr>
        <w:tc>
          <w:tcPr>
            <w:tcW w:w="1423" w:type="pct"/>
            <w:vAlign w:val="center"/>
          </w:tcPr>
          <w:p w14:paraId="6CA6486A" w14:textId="77777777" w:rsidR="00A27CF2" w:rsidRPr="00047543" w:rsidRDefault="00A27CF2">
            <w:pPr>
              <w:spacing w:before="40" w:after="40"/>
              <w:rPr>
                <w:noProof/>
                <w:sz w:val="18"/>
              </w:rPr>
            </w:pPr>
            <w:r w:rsidRPr="00047543">
              <w:rPr>
                <w:noProof/>
                <w:sz w:val="18"/>
              </w:rPr>
              <w:t>Artikel ………….</w:t>
            </w:r>
          </w:p>
        </w:tc>
        <w:tc>
          <w:tcPr>
            <w:tcW w:w="869" w:type="pct"/>
          </w:tcPr>
          <w:p w14:paraId="4234EFE3" w14:textId="77777777" w:rsidR="00A27CF2" w:rsidRPr="00047543" w:rsidRDefault="00A27CF2">
            <w:pPr>
              <w:spacing w:beforeLines="40" w:before="96" w:afterLines="40" w:after="96"/>
              <w:jc w:val="center"/>
              <w:rPr>
                <w:i/>
                <w:noProof/>
                <w:sz w:val="18"/>
              </w:rPr>
            </w:pPr>
          </w:p>
        </w:tc>
        <w:tc>
          <w:tcPr>
            <w:tcW w:w="911" w:type="pct"/>
          </w:tcPr>
          <w:p w14:paraId="03E3A82B" w14:textId="77777777" w:rsidR="00A27CF2" w:rsidRPr="00047543" w:rsidRDefault="00A27CF2">
            <w:pPr>
              <w:spacing w:beforeLines="40" w:before="96" w:afterLines="40" w:after="96"/>
              <w:jc w:val="center"/>
              <w:rPr>
                <w:noProof/>
                <w:sz w:val="18"/>
              </w:rPr>
            </w:pPr>
          </w:p>
        </w:tc>
        <w:tc>
          <w:tcPr>
            <w:tcW w:w="562" w:type="pct"/>
          </w:tcPr>
          <w:p w14:paraId="4FB71EC9" w14:textId="77777777" w:rsidR="00A27CF2" w:rsidRPr="00047543" w:rsidRDefault="00A27CF2">
            <w:pPr>
              <w:spacing w:beforeLines="40" w:before="96" w:afterLines="40" w:after="96"/>
              <w:jc w:val="center"/>
              <w:rPr>
                <w:noProof/>
                <w:sz w:val="18"/>
              </w:rPr>
            </w:pPr>
          </w:p>
        </w:tc>
        <w:tc>
          <w:tcPr>
            <w:tcW w:w="557" w:type="pct"/>
          </w:tcPr>
          <w:p w14:paraId="3F24E275" w14:textId="77777777" w:rsidR="00A27CF2" w:rsidRPr="00047543" w:rsidRDefault="00A27CF2">
            <w:pPr>
              <w:spacing w:beforeLines="40" w:before="96" w:afterLines="40" w:after="96"/>
              <w:jc w:val="center"/>
              <w:rPr>
                <w:noProof/>
                <w:sz w:val="18"/>
              </w:rPr>
            </w:pPr>
          </w:p>
        </w:tc>
        <w:tc>
          <w:tcPr>
            <w:tcW w:w="679" w:type="pct"/>
          </w:tcPr>
          <w:p w14:paraId="05106964" w14:textId="77777777" w:rsidR="00A27CF2" w:rsidRPr="00047543" w:rsidRDefault="00A27CF2">
            <w:pPr>
              <w:spacing w:beforeLines="40" w:before="96" w:afterLines="40" w:after="96"/>
              <w:jc w:val="center"/>
              <w:rPr>
                <w:noProof/>
                <w:sz w:val="18"/>
              </w:rPr>
            </w:pPr>
          </w:p>
        </w:tc>
      </w:tr>
    </w:tbl>
    <w:p w14:paraId="7DA47FA0" w14:textId="77777777" w:rsidR="00A27CF2" w:rsidRPr="00047543" w:rsidRDefault="00A27CF2" w:rsidP="00A27CF2">
      <w:pPr>
        <w:pStyle w:val="Text1"/>
        <w:rPr>
          <w:noProof/>
          <w:szCs w:val="24"/>
        </w:rPr>
      </w:pPr>
      <w:r w:rsidRPr="00047543">
        <w:rPr>
          <w:noProof/>
        </w:rPr>
        <w:t>För inkomster avsatta för särskilda ändamål, ange vilka utgiftsposter i budgeten som berörs.</w:t>
      </w:r>
    </w:p>
    <w:p w14:paraId="2AC12605" w14:textId="77777777" w:rsidR="00A27CF2" w:rsidRPr="00047543" w:rsidRDefault="00D2697D" w:rsidP="00A27CF2">
      <w:pPr>
        <w:pStyle w:val="Text1"/>
        <w:pBdr>
          <w:top w:val="single" w:sz="4" w:space="1" w:color="auto"/>
          <w:left w:val="single" w:sz="4" w:space="4" w:color="auto"/>
          <w:bottom w:val="single" w:sz="4" w:space="1" w:color="auto"/>
          <w:right w:val="single" w:sz="4" w:space="4" w:color="auto"/>
        </w:pBdr>
        <w:rPr>
          <w:noProof/>
        </w:rPr>
      </w:pPr>
      <w:r w:rsidRPr="00047543">
        <w:rPr>
          <w:noProof/>
        </w:rPr>
        <w:t>Ej tillämplig</w:t>
      </w:r>
    </w:p>
    <w:p w14:paraId="4EDC6243" w14:textId="77777777" w:rsidR="00A27CF2" w:rsidRPr="00047543" w:rsidRDefault="00A27CF2" w:rsidP="00A27CF2">
      <w:pPr>
        <w:pStyle w:val="Text1"/>
        <w:rPr>
          <w:noProof/>
          <w:szCs w:val="24"/>
        </w:rPr>
      </w:pPr>
      <w:r w:rsidRPr="00047543">
        <w:rPr>
          <w:noProof/>
        </w:rPr>
        <w:t>Övriga anmärkningar (t.ex. vilken metod/formel som har använts för att beräkna inverkan på inkomsterna eller andra relevanta uppgifter).</w:t>
      </w:r>
    </w:p>
    <w:p w14:paraId="77B27303" w14:textId="77777777" w:rsidR="0040501D" w:rsidRPr="00047543" w:rsidRDefault="0040501D" w:rsidP="00B871C4">
      <w:pPr>
        <w:pStyle w:val="ManualHeading1"/>
        <w:ind w:left="0" w:firstLine="0"/>
        <w:rPr>
          <w:caps/>
          <w:noProof/>
        </w:rPr>
      </w:pPr>
      <w:r w:rsidRPr="00047543">
        <w:rPr>
          <w:noProof/>
        </w:rPr>
        <w:br w:type="page"/>
      </w:r>
      <w:bookmarkStart w:id="73" w:name="_Toc167220301"/>
      <w:bookmarkStart w:id="74" w:name="_Toc177549035"/>
      <w:r w:rsidRPr="00047543">
        <w:rPr>
          <w:noProof/>
        </w:rPr>
        <w:t>4.</w:t>
      </w:r>
      <w:r w:rsidRPr="00047543">
        <w:rPr>
          <w:noProof/>
        </w:rPr>
        <w:tab/>
      </w:r>
      <w:bookmarkStart w:id="75" w:name="_Hlk167692977"/>
      <w:r w:rsidRPr="00047543">
        <w:rPr>
          <w:caps/>
          <w:noProof/>
        </w:rPr>
        <w:t>Digitala inslag</w:t>
      </w:r>
      <w:bookmarkEnd w:id="73"/>
      <w:bookmarkEnd w:id="74"/>
    </w:p>
    <w:p w14:paraId="13F32FA8" w14:textId="77777777" w:rsidR="0040501D" w:rsidRPr="00047543" w:rsidRDefault="00647A9C">
      <w:pPr>
        <w:pStyle w:val="ManualHeading2"/>
        <w:rPr>
          <w:noProof/>
        </w:rPr>
      </w:pPr>
      <w:bookmarkStart w:id="76" w:name="_Toc167220302"/>
      <w:bookmarkStart w:id="77" w:name="_Toc177549037"/>
      <w:r w:rsidRPr="00047543">
        <w:rPr>
          <w:smallCaps/>
          <w:noProof/>
        </w:rPr>
        <w:t>4.</w:t>
      </w:r>
      <w:r w:rsidRPr="00047543">
        <w:rPr>
          <w:noProof/>
        </w:rPr>
        <w:t>1</w:t>
      </w:r>
      <w:r w:rsidRPr="00047543">
        <w:rPr>
          <w:noProof/>
        </w:rPr>
        <w:tab/>
        <w:t>Krav med digital relevans</w:t>
      </w:r>
      <w:bookmarkEnd w:id="76"/>
      <w:bookmarkEnd w:id="77"/>
    </w:p>
    <w:p w14:paraId="7377F35B" w14:textId="77777777" w:rsidR="008879EE" w:rsidRPr="00047543" w:rsidRDefault="008879EE" w:rsidP="00B871C4">
      <w:pPr>
        <w:pStyle w:val="Text1"/>
        <w:ind w:left="0"/>
        <w:rPr>
          <w:noProof/>
        </w:rPr>
      </w:pPr>
    </w:p>
    <w:tbl>
      <w:tblPr>
        <w:tblStyle w:val="TableGrid"/>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2977"/>
        <w:gridCol w:w="1559"/>
        <w:gridCol w:w="1353"/>
        <w:gridCol w:w="1307"/>
      </w:tblGrid>
      <w:tr w:rsidR="00C42C3E" w:rsidRPr="00047543" w14:paraId="0CC3EFA3" w14:textId="77777777" w:rsidTr="00B871C4">
        <w:tc>
          <w:tcPr>
            <w:tcW w:w="1243" w:type="dxa"/>
          </w:tcPr>
          <w:p w14:paraId="5BBFD428" w14:textId="77777777" w:rsidR="00224B74" w:rsidRPr="00047543" w:rsidRDefault="00224B74" w:rsidP="00B871C4">
            <w:pPr>
              <w:pStyle w:val="Text1"/>
              <w:ind w:left="0"/>
              <w:jc w:val="center"/>
              <w:rPr>
                <w:noProof/>
              </w:rPr>
            </w:pPr>
            <w:r w:rsidRPr="00047543">
              <w:rPr>
                <w:noProof/>
              </w:rPr>
              <w:t>Hänvisning till kravet</w:t>
            </w:r>
          </w:p>
        </w:tc>
        <w:tc>
          <w:tcPr>
            <w:tcW w:w="2977" w:type="dxa"/>
          </w:tcPr>
          <w:p w14:paraId="693AE429" w14:textId="77777777" w:rsidR="00224B74" w:rsidRPr="00047543" w:rsidRDefault="00224B74" w:rsidP="00B871C4">
            <w:pPr>
              <w:pStyle w:val="Text1"/>
              <w:ind w:left="0"/>
              <w:jc w:val="center"/>
              <w:rPr>
                <w:noProof/>
              </w:rPr>
            </w:pPr>
            <w:r w:rsidRPr="00047543">
              <w:rPr>
                <w:noProof/>
              </w:rPr>
              <w:t>Beskrivning av kravet</w:t>
            </w:r>
          </w:p>
        </w:tc>
        <w:tc>
          <w:tcPr>
            <w:tcW w:w="1559" w:type="dxa"/>
          </w:tcPr>
          <w:p w14:paraId="134FECBD" w14:textId="77777777" w:rsidR="00224B74" w:rsidRPr="00047543" w:rsidRDefault="00224B74" w:rsidP="00B871C4">
            <w:pPr>
              <w:pStyle w:val="Text1"/>
              <w:ind w:left="0"/>
              <w:jc w:val="center"/>
              <w:rPr>
                <w:noProof/>
              </w:rPr>
            </w:pPr>
            <w:r w:rsidRPr="00047543">
              <w:rPr>
                <w:noProof/>
              </w:rPr>
              <w:t>Aktörer som påverkas eller berörs av kravet</w:t>
            </w:r>
          </w:p>
        </w:tc>
        <w:tc>
          <w:tcPr>
            <w:tcW w:w="1353" w:type="dxa"/>
          </w:tcPr>
          <w:p w14:paraId="7C39BB17" w14:textId="77777777" w:rsidR="00224B74" w:rsidRPr="00047543" w:rsidRDefault="00224B74" w:rsidP="00B871C4">
            <w:pPr>
              <w:pStyle w:val="Text1"/>
              <w:ind w:left="0"/>
              <w:jc w:val="center"/>
              <w:rPr>
                <w:noProof/>
              </w:rPr>
            </w:pPr>
            <w:r w:rsidRPr="00047543">
              <w:rPr>
                <w:noProof/>
              </w:rPr>
              <w:t>Processer på hög nivå</w:t>
            </w:r>
          </w:p>
        </w:tc>
        <w:tc>
          <w:tcPr>
            <w:tcW w:w="1307" w:type="dxa"/>
          </w:tcPr>
          <w:p w14:paraId="4DCB568B" w14:textId="77777777" w:rsidR="00224B74" w:rsidRPr="00047543" w:rsidRDefault="00224B74" w:rsidP="00B871C4">
            <w:pPr>
              <w:pStyle w:val="Text1"/>
              <w:ind w:left="0"/>
              <w:jc w:val="center"/>
              <w:rPr>
                <w:noProof/>
              </w:rPr>
            </w:pPr>
            <w:r w:rsidRPr="00047543">
              <w:rPr>
                <w:noProof/>
              </w:rPr>
              <w:t>Kategori</w:t>
            </w:r>
          </w:p>
        </w:tc>
      </w:tr>
      <w:tr w:rsidR="00C42C3E" w:rsidRPr="00047543" w14:paraId="645B597A" w14:textId="77777777" w:rsidTr="00B871C4">
        <w:tc>
          <w:tcPr>
            <w:tcW w:w="1243" w:type="dxa"/>
          </w:tcPr>
          <w:p w14:paraId="53CCEB39" w14:textId="77777777" w:rsidR="005057C3" w:rsidRPr="00047543" w:rsidRDefault="005057C3" w:rsidP="00B871C4">
            <w:pPr>
              <w:pStyle w:val="Text1"/>
              <w:ind w:left="0"/>
              <w:jc w:val="left"/>
              <w:rPr>
                <w:noProof/>
              </w:rPr>
            </w:pPr>
            <w:r w:rsidRPr="00047543">
              <w:rPr>
                <w:noProof/>
              </w:rPr>
              <w:t>Artikel 6</w:t>
            </w:r>
          </w:p>
        </w:tc>
        <w:tc>
          <w:tcPr>
            <w:tcW w:w="2977" w:type="dxa"/>
          </w:tcPr>
          <w:p w14:paraId="7768CD95" w14:textId="77777777" w:rsidR="005057C3" w:rsidRPr="00047543" w:rsidRDefault="005057C3" w:rsidP="00B871C4">
            <w:pPr>
              <w:pStyle w:val="Text1"/>
              <w:ind w:left="0"/>
              <w:jc w:val="left"/>
              <w:rPr>
                <w:noProof/>
              </w:rPr>
            </w:pPr>
            <w:r w:rsidRPr="00047543">
              <w:rPr>
                <w:noProof/>
              </w:rPr>
              <w:t>Registreringsuppgifter som ska göras tillgängliga i det befintliga registret. PEPP-sparinstitut måste visa sin förmåga att erbjuda valuta för pengarna som en del av registreringsprocessen</w:t>
            </w:r>
          </w:p>
        </w:tc>
        <w:tc>
          <w:tcPr>
            <w:tcW w:w="1559" w:type="dxa"/>
          </w:tcPr>
          <w:p w14:paraId="0AA3D235" w14:textId="77777777" w:rsidR="005057C3" w:rsidRPr="00047543" w:rsidRDefault="005057C3" w:rsidP="00B871C4">
            <w:pPr>
              <w:pStyle w:val="Text1"/>
              <w:ind w:left="0"/>
              <w:jc w:val="left"/>
              <w:rPr>
                <w:noProof/>
              </w:rPr>
            </w:pPr>
            <w:r w:rsidRPr="00047543">
              <w:rPr>
                <w:noProof/>
              </w:rPr>
              <w:t>Nationella behöriga myndigheter, Eiopa, PEPP-sparinstitut</w:t>
            </w:r>
          </w:p>
        </w:tc>
        <w:tc>
          <w:tcPr>
            <w:tcW w:w="1353" w:type="dxa"/>
          </w:tcPr>
          <w:p w14:paraId="49C3DF25" w14:textId="77777777" w:rsidR="001C3E89" w:rsidRPr="00047543" w:rsidRDefault="00B13B20" w:rsidP="00B871C4">
            <w:pPr>
              <w:pStyle w:val="Text1"/>
              <w:ind w:left="0"/>
              <w:jc w:val="left"/>
              <w:rPr>
                <w:noProof/>
              </w:rPr>
            </w:pPr>
            <w:r w:rsidRPr="00047543">
              <w:rPr>
                <w:noProof/>
              </w:rPr>
              <w:t>Överföring av information</w:t>
            </w:r>
          </w:p>
          <w:p w14:paraId="7A546881" w14:textId="77777777" w:rsidR="005057C3" w:rsidRPr="00047543" w:rsidRDefault="005057C3" w:rsidP="00B871C4">
            <w:pPr>
              <w:pStyle w:val="Text1"/>
              <w:ind w:left="0"/>
              <w:jc w:val="left"/>
              <w:rPr>
                <w:noProof/>
              </w:rPr>
            </w:pPr>
            <w:r w:rsidRPr="00047543">
              <w:rPr>
                <w:noProof/>
              </w:rPr>
              <w:t xml:space="preserve"> Hantering av register</w:t>
            </w:r>
          </w:p>
        </w:tc>
        <w:tc>
          <w:tcPr>
            <w:tcW w:w="1307" w:type="dxa"/>
          </w:tcPr>
          <w:p w14:paraId="133A0371" w14:textId="77777777" w:rsidR="005057C3" w:rsidRPr="00047543" w:rsidRDefault="005057C3" w:rsidP="00B871C4">
            <w:pPr>
              <w:pStyle w:val="Text1"/>
              <w:ind w:left="0"/>
              <w:jc w:val="left"/>
              <w:rPr>
                <w:noProof/>
              </w:rPr>
            </w:pPr>
            <w:r w:rsidRPr="00047543">
              <w:rPr>
                <w:noProof/>
              </w:rPr>
              <w:t xml:space="preserve">Data </w:t>
            </w:r>
          </w:p>
          <w:p w14:paraId="33A2D327" w14:textId="77777777" w:rsidR="00B13B20" w:rsidRPr="00047543" w:rsidRDefault="00B13B20" w:rsidP="00B871C4">
            <w:pPr>
              <w:pStyle w:val="Text1"/>
              <w:ind w:left="0"/>
              <w:jc w:val="left"/>
              <w:rPr>
                <w:noProof/>
              </w:rPr>
            </w:pPr>
            <w:r w:rsidRPr="00047543">
              <w:rPr>
                <w:noProof/>
              </w:rPr>
              <w:t>Digital lösning</w:t>
            </w:r>
          </w:p>
          <w:p w14:paraId="088B557D" w14:textId="77777777" w:rsidR="00B13B20" w:rsidRPr="00047543" w:rsidRDefault="00B13B20" w:rsidP="00B871C4">
            <w:pPr>
              <w:pStyle w:val="Text1"/>
              <w:ind w:left="0"/>
              <w:jc w:val="left"/>
              <w:rPr>
                <w:noProof/>
              </w:rPr>
            </w:pPr>
            <w:r w:rsidRPr="00047543">
              <w:rPr>
                <w:noProof/>
              </w:rPr>
              <w:t>Digital offentlig tjänst</w:t>
            </w:r>
          </w:p>
        </w:tc>
      </w:tr>
      <w:tr w:rsidR="00C42C3E" w:rsidRPr="00047543" w14:paraId="05DC8824" w14:textId="77777777" w:rsidTr="00B871C4">
        <w:tc>
          <w:tcPr>
            <w:tcW w:w="1243" w:type="dxa"/>
          </w:tcPr>
          <w:p w14:paraId="1F847896" w14:textId="77777777" w:rsidR="005C52DC" w:rsidRPr="00047543" w:rsidRDefault="005C52DC" w:rsidP="00B871C4">
            <w:pPr>
              <w:pStyle w:val="Text1"/>
              <w:ind w:left="0"/>
              <w:jc w:val="left"/>
              <w:rPr>
                <w:noProof/>
              </w:rPr>
            </w:pPr>
            <w:r w:rsidRPr="00047543">
              <w:rPr>
                <w:noProof/>
              </w:rPr>
              <w:t>Artikel 13</w:t>
            </w:r>
          </w:p>
        </w:tc>
        <w:tc>
          <w:tcPr>
            <w:tcW w:w="2977" w:type="dxa"/>
          </w:tcPr>
          <w:p w14:paraId="3812CF1C" w14:textId="77777777" w:rsidR="005C52DC" w:rsidRPr="00047543" w:rsidRDefault="005C52DC" w:rsidP="00B871C4">
            <w:pPr>
              <w:pStyle w:val="Text1"/>
              <w:ind w:left="0"/>
              <w:jc w:val="left"/>
              <w:rPr>
                <w:noProof/>
              </w:rPr>
            </w:pPr>
            <w:r w:rsidRPr="00047543">
              <w:rPr>
                <w:noProof/>
              </w:rPr>
              <w:t>Tillämpningsområdet för det befintliga centrala offentliga register som förvaltas av Eiopa utvidgas till att omfatta historiska uppgifter om kostnader, resultat och den sammanfattande riskindikatorn.</w:t>
            </w:r>
          </w:p>
        </w:tc>
        <w:tc>
          <w:tcPr>
            <w:tcW w:w="1559" w:type="dxa"/>
          </w:tcPr>
          <w:p w14:paraId="44A03CFD" w14:textId="77777777" w:rsidR="005C52DC" w:rsidRPr="00047543" w:rsidRDefault="00C8001F" w:rsidP="00B871C4">
            <w:pPr>
              <w:pStyle w:val="Text1"/>
              <w:ind w:left="0"/>
              <w:jc w:val="left"/>
              <w:rPr>
                <w:noProof/>
              </w:rPr>
            </w:pPr>
            <w:r w:rsidRPr="00047543">
              <w:rPr>
                <w:noProof/>
              </w:rPr>
              <w:t>Eiopa, nationella behöriga myndigheter, PEPP-sparinstitut</w:t>
            </w:r>
          </w:p>
        </w:tc>
        <w:tc>
          <w:tcPr>
            <w:tcW w:w="1353" w:type="dxa"/>
          </w:tcPr>
          <w:p w14:paraId="52508B41" w14:textId="77777777" w:rsidR="00C8001F" w:rsidRPr="00047543" w:rsidRDefault="00C8001F" w:rsidP="00B871C4">
            <w:pPr>
              <w:pStyle w:val="Text1"/>
              <w:ind w:left="0"/>
              <w:jc w:val="left"/>
              <w:rPr>
                <w:noProof/>
              </w:rPr>
            </w:pPr>
            <w:r w:rsidRPr="00047543">
              <w:rPr>
                <w:noProof/>
              </w:rPr>
              <w:t>Överföring av information</w:t>
            </w:r>
          </w:p>
          <w:p w14:paraId="76FB122E" w14:textId="77777777" w:rsidR="00C8001F" w:rsidRPr="00047543" w:rsidRDefault="00C8001F" w:rsidP="00B871C4">
            <w:pPr>
              <w:pStyle w:val="Text1"/>
              <w:ind w:left="0"/>
              <w:jc w:val="left"/>
              <w:rPr>
                <w:noProof/>
              </w:rPr>
            </w:pPr>
            <w:r w:rsidRPr="00047543">
              <w:rPr>
                <w:noProof/>
              </w:rPr>
              <w:t>Hantering av register</w:t>
            </w:r>
          </w:p>
          <w:p w14:paraId="18F55930" w14:textId="77777777" w:rsidR="00C8001F" w:rsidRPr="00047543" w:rsidRDefault="00C8001F" w:rsidP="00B871C4">
            <w:pPr>
              <w:pStyle w:val="Text1"/>
              <w:ind w:left="0"/>
              <w:jc w:val="left"/>
              <w:rPr>
                <w:noProof/>
              </w:rPr>
            </w:pPr>
            <w:r w:rsidRPr="00047543">
              <w:rPr>
                <w:noProof/>
              </w:rPr>
              <w:t>Offentliggöra</w:t>
            </w:r>
          </w:p>
          <w:p w14:paraId="176B3E43" w14:textId="77777777" w:rsidR="005C52DC" w:rsidRPr="00047543" w:rsidRDefault="00C8001F" w:rsidP="00B871C4">
            <w:pPr>
              <w:pStyle w:val="Text1"/>
              <w:ind w:left="0"/>
              <w:jc w:val="left"/>
              <w:rPr>
                <w:noProof/>
              </w:rPr>
            </w:pPr>
            <w:r w:rsidRPr="00047543">
              <w:rPr>
                <w:noProof/>
              </w:rPr>
              <w:t>Övervaka</w:t>
            </w:r>
          </w:p>
        </w:tc>
        <w:tc>
          <w:tcPr>
            <w:tcW w:w="1307" w:type="dxa"/>
          </w:tcPr>
          <w:p w14:paraId="0840502F" w14:textId="77777777" w:rsidR="009D1B12" w:rsidRPr="00047543" w:rsidRDefault="009D1B12" w:rsidP="00B871C4">
            <w:pPr>
              <w:pStyle w:val="Text1"/>
              <w:ind w:left="0"/>
              <w:jc w:val="left"/>
              <w:rPr>
                <w:noProof/>
              </w:rPr>
            </w:pPr>
            <w:r w:rsidRPr="00047543">
              <w:rPr>
                <w:noProof/>
              </w:rPr>
              <w:t xml:space="preserve">Data </w:t>
            </w:r>
          </w:p>
          <w:p w14:paraId="2650C543" w14:textId="77777777" w:rsidR="009D1B12" w:rsidRPr="00047543" w:rsidRDefault="009D1B12" w:rsidP="00B871C4">
            <w:pPr>
              <w:pStyle w:val="Text1"/>
              <w:ind w:left="0"/>
              <w:jc w:val="left"/>
              <w:rPr>
                <w:noProof/>
              </w:rPr>
            </w:pPr>
            <w:r w:rsidRPr="00047543">
              <w:rPr>
                <w:noProof/>
              </w:rPr>
              <w:t>Digital lösning</w:t>
            </w:r>
          </w:p>
          <w:p w14:paraId="03AC58EF" w14:textId="77777777" w:rsidR="005C52DC" w:rsidRPr="00047543" w:rsidRDefault="009D1B12" w:rsidP="00B871C4">
            <w:pPr>
              <w:pStyle w:val="Text1"/>
              <w:ind w:left="0"/>
              <w:jc w:val="left"/>
              <w:rPr>
                <w:noProof/>
              </w:rPr>
            </w:pPr>
            <w:r w:rsidRPr="00047543">
              <w:rPr>
                <w:noProof/>
              </w:rPr>
              <w:t>Digital offentlig tjänst</w:t>
            </w:r>
          </w:p>
        </w:tc>
      </w:tr>
      <w:tr w:rsidR="00C42C3E" w:rsidRPr="00047543" w14:paraId="24CFAF87" w14:textId="77777777" w:rsidTr="00B871C4">
        <w:tc>
          <w:tcPr>
            <w:tcW w:w="1243" w:type="dxa"/>
          </w:tcPr>
          <w:p w14:paraId="6387F950" w14:textId="77777777" w:rsidR="009D1B12" w:rsidRPr="00047543" w:rsidRDefault="009D1B12" w:rsidP="00B871C4">
            <w:pPr>
              <w:pStyle w:val="Text1"/>
              <w:ind w:left="0"/>
              <w:jc w:val="left"/>
              <w:rPr>
                <w:noProof/>
              </w:rPr>
            </w:pPr>
            <w:r w:rsidRPr="00047543">
              <w:rPr>
                <w:noProof/>
              </w:rPr>
              <w:t>Artikel 51a</w:t>
            </w:r>
          </w:p>
        </w:tc>
        <w:tc>
          <w:tcPr>
            <w:tcW w:w="2977" w:type="dxa"/>
          </w:tcPr>
          <w:p w14:paraId="72745E68" w14:textId="77777777" w:rsidR="009D1B12" w:rsidRPr="00047543" w:rsidRDefault="009D1B12" w:rsidP="00B871C4">
            <w:pPr>
              <w:pStyle w:val="Text1"/>
              <w:ind w:left="0"/>
              <w:jc w:val="left"/>
              <w:rPr>
                <w:noProof/>
              </w:rPr>
            </w:pPr>
            <w:r w:rsidRPr="00047543">
              <w:rPr>
                <w:noProof/>
              </w:rPr>
              <w:t>PEPP-sparinstitut och PEPP-distributörer skulle, i ett standardiserat och interoperabelt format, till system för insamling av pensionsuppgifter kunna överföra all information som är nödvändig för att ge kunderna en heltäckande, tillförlitlig och aktuell översikt över sina rätter.</w:t>
            </w:r>
          </w:p>
        </w:tc>
        <w:tc>
          <w:tcPr>
            <w:tcW w:w="1559" w:type="dxa"/>
          </w:tcPr>
          <w:p w14:paraId="7556AEA5" w14:textId="77777777" w:rsidR="009D1B12" w:rsidRPr="00047543" w:rsidRDefault="00D554F4" w:rsidP="00B871C4">
            <w:pPr>
              <w:pStyle w:val="Text1"/>
              <w:ind w:left="0"/>
              <w:jc w:val="left"/>
              <w:rPr>
                <w:noProof/>
              </w:rPr>
            </w:pPr>
            <w:r w:rsidRPr="00047543">
              <w:rPr>
                <w:noProof/>
              </w:rPr>
              <w:t>PEPP-sparinstitut, tillhandahållare av system för insamling av pensionsuppgifter, nationella behöriga myndigheter</w:t>
            </w:r>
          </w:p>
        </w:tc>
        <w:tc>
          <w:tcPr>
            <w:tcW w:w="1353" w:type="dxa"/>
          </w:tcPr>
          <w:p w14:paraId="1976DB51" w14:textId="77777777" w:rsidR="009D1B12" w:rsidRPr="00047543" w:rsidRDefault="00D554F4" w:rsidP="00B871C4">
            <w:pPr>
              <w:pStyle w:val="Text1"/>
              <w:ind w:left="0"/>
              <w:jc w:val="left"/>
              <w:rPr>
                <w:noProof/>
              </w:rPr>
            </w:pPr>
            <w:r w:rsidRPr="00047543">
              <w:rPr>
                <w:noProof/>
              </w:rPr>
              <w:t>Överföring av information</w:t>
            </w:r>
          </w:p>
        </w:tc>
        <w:tc>
          <w:tcPr>
            <w:tcW w:w="1307" w:type="dxa"/>
          </w:tcPr>
          <w:p w14:paraId="7FC87123" w14:textId="77777777" w:rsidR="00D554F4" w:rsidRPr="00047543" w:rsidRDefault="00D554F4" w:rsidP="00B871C4">
            <w:pPr>
              <w:pStyle w:val="Text1"/>
              <w:ind w:left="0"/>
              <w:jc w:val="left"/>
              <w:rPr>
                <w:noProof/>
              </w:rPr>
            </w:pPr>
            <w:r w:rsidRPr="00047543">
              <w:rPr>
                <w:noProof/>
              </w:rPr>
              <w:t xml:space="preserve">Data </w:t>
            </w:r>
          </w:p>
          <w:p w14:paraId="47A94D31" w14:textId="77777777" w:rsidR="00D554F4" w:rsidRPr="00047543" w:rsidRDefault="00D554F4" w:rsidP="00B871C4">
            <w:pPr>
              <w:pStyle w:val="Text1"/>
              <w:ind w:left="0"/>
              <w:jc w:val="left"/>
              <w:rPr>
                <w:noProof/>
              </w:rPr>
            </w:pPr>
            <w:r w:rsidRPr="00047543">
              <w:rPr>
                <w:noProof/>
              </w:rPr>
              <w:t>Digital lösning</w:t>
            </w:r>
          </w:p>
          <w:p w14:paraId="450325D8" w14:textId="77777777" w:rsidR="009D1B12" w:rsidRPr="00047543" w:rsidRDefault="00D554F4" w:rsidP="00B871C4">
            <w:pPr>
              <w:pStyle w:val="Text1"/>
              <w:ind w:left="0"/>
              <w:jc w:val="left"/>
              <w:rPr>
                <w:noProof/>
              </w:rPr>
            </w:pPr>
            <w:r w:rsidRPr="00047543">
              <w:rPr>
                <w:noProof/>
              </w:rPr>
              <w:t>Digital offentlig tjänst</w:t>
            </w:r>
          </w:p>
        </w:tc>
      </w:tr>
      <w:tr w:rsidR="00C42C3E" w:rsidRPr="00047543" w14:paraId="6CF333B5" w14:textId="77777777" w:rsidTr="00B871C4">
        <w:tc>
          <w:tcPr>
            <w:tcW w:w="1243" w:type="dxa"/>
          </w:tcPr>
          <w:p w14:paraId="4E8DA2A3" w14:textId="77777777" w:rsidR="00ED27E6" w:rsidRPr="00047543" w:rsidRDefault="00ED27E6" w:rsidP="00B871C4">
            <w:pPr>
              <w:pStyle w:val="Text1"/>
              <w:ind w:left="0"/>
              <w:jc w:val="left"/>
              <w:rPr>
                <w:noProof/>
              </w:rPr>
            </w:pPr>
            <w:r w:rsidRPr="00047543">
              <w:rPr>
                <w:noProof/>
              </w:rPr>
              <w:t>Artikel 65</w:t>
            </w:r>
          </w:p>
        </w:tc>
        <w:tc>
          <w:tcPr>
            <w:tcW w:w="2977" w:type="dxa"/>
          </w:tcPr>
          <w:p w14:paraId="2AA523D4" w14:textId="77777777" w:rsidR="00ED27E6" w:rsidRPr="00047543" w:rsidRDefault="00ED27E6" w:rsidP="00B871C4">
            <w:pPr>
              <w:pStyle w:val="Text1"/>
              <w:ind w:left="0"/>
              <w:jc w:val="left"/>
              <w:rPr>
                <w:noProof/>
              </w:rPr>
            </w:pPr>
            <w:r w:rsidRPr="00047543">
              <w:rPr>
                <w:noProof/>
              </w:rPr>
              <w:t>Eiopa kan på vissa villkor inrätta samarbetsplattformar för att stärka informationsutbytet och förbättra samarbetet mellan relevanta behöriga myndigheter – liknande den samarbetsplattform som inrättats i direktiv (EU) 2016/2341.</w:t>
            </w:r>
          </w:p>
        </w:tc>
        <w:tc>
          <w:tcPr>
            <w:tcW w:w="1559" w:type="dxa"/>
          </w:tcPr>
          <w:p w14:paraId="1C5C42FA" w14:textId="77777777" w:rsidR="00ED27E6" w:rsidRPr="00047543" w:rsidRDefault="00367F92" w:rsidP="00B871C4">
            <w:pPr>
              <w:pStyle w:val="Text1"/>
              <w:ind w:left="0"/>
              <w:jc w:val="left"/>
              <w:rPr>
                <w:noProof/>
              </w:rPr>
            </w:pPr>
            <w:r w:rsidRPr="00047543">
              <w:rPr>
                <w:noProof/>
              </w:rPr>
              <w:t>Eiopa, de nationella behöriga myndigheterna</w:t>
            </w:r>
          </w:p>
        </w:tc>
        <w:tc>
          <w:tcPr>
            <w:tcW w:w="1353" w:type="dxa"/>
          </w:tcPr>
          <w:p w14:paraId="1A8224D3" w14:textId="77777777" w:rsidR="00367F92" w:rsidRPr="00047543" w:rsidRDefault="00367F92" w:rsidP="00B871C4">
            <w:pPr>
              <w:jc w:val="left"/>
              <w:rPr>
                <w:noProof/>
              </w:rPr>
            </w:pPr>
            <w:r w:rsidRPr="00047543">
              <w:rPr>
                <w:noProof/>
              </w:rPr>
              <w:t>Inrätta en digital offentlig tjänst</w:t>
            </w:r>
          </w:p>
          <w:p w14:paraId="0DCB6861" w14:textId="77777777" w:rsidR="00ED27E6" w:rsidRPr="00047543" w:rsidRDefault="00367F92" w:rsidP="00B871C4">
            <w:pPr>
              <w:pStyle w:val="Text1"/>
              <w:ind w:left="0"/>
              <w:jc w:val="left"/>
              <w:rPr>
                <w:noProof/>
              </w:rPr>
            </w:pPr>
            <w:r w:rsidRPr="00047543">
              <w:rPr>
                <w:noProof/>
              </w:rPr>
              <w:t>Övervaka</w:t>
            </w:r>
          </w:p>
        </w:tc>
        <w:tc>
          <w:tcPr>
            <w:tcW w:w="1307" w:type="dxa"/>
          </w:tcPr>
          <w:p w14:paraId="4F700DC8" w14:textId="77777777" w:rsidR="00367F92" w:rsidRPr="00047543" w:rsidRDefault="00367F92" w:rsidP="00B871C4">
            <w:pPr>
              <w:pStyle w:val="Text1"/>
              <w:ind w:left="0"/>
              <w:jc w:val="left"/>
              <w:rPr>
                <w:noProof/>
              </w:rPr>
            </w:pPr>
            <w:r w:rsidRPr="00047543">
              <w:rPr>
                <w:noProof/>
              </w:rPr>
              <w:t xml:space="preserve">Data </w:t>
            </w:r>
          </w:p>
          <w:p w14:paraId="18CD8282" w14:textId="77777777" w:rsidR="00367F92" w:rsidRPr="00047543" w:rsidRDefault="00367F92" w:rsidP="00B871C4">
            <w:pPr>
              <w:pStyle w:val="Text1"/>
              <w:ind w:left="0"/>
              <w:jc w:val="left"/>
              <w:rPr>
                <w:noProof/>
              </w:rPr>
            </w:pPr>
            <w:r w:rsidRPr="00047543">
              <w:rPr>
                <w:noProof/>
              </w:rPr>
              <w:t>Digital lösning</w:t>
            </w:r>
          </w:p>
          <w:p w14:paraId="1F146854" w14:textId="77777777" w:rsidR="00ED27E6" w:rsidRPr="00047543" w:rsidRDefault="00367F92" w:rsidP="00B871C4">
            <w:pPr>
              <w:pStyle w:val="Text1"/>
              <w:ind w:left="0"/>
              <w:jc w:val="left"/>
              <w:rPr>
                <w:noProof/>
              </w:rPr>
            </w:pPr>
            <w:r w:rsidRPr="00047543">
              <w:rPr>
                <w:noProof/>
              </w:rPr>
              <w:t>Digital offentlig tjänst</w:t>
            </w:r>
          </w:p>
        </w:tc>
      </w:tr>
    </w:tbl>
    <w:p w14:paraId="491394C0" w14:textId="77777777" w:rsidR="008879EE" w:rsidRPr="00047543" w:rsidRDefault="008879EE">
      <w:pPr>
        <w:pStyle w:val="Text1"/>
        <w:rPr>
          <w:noProof/>
        </w:rPr>
      </w:pPr>
    </w:p>
    <w:p w14:paraId="0F3E561B" w14:textId="77777777" w:rsidR="008879EE" w:rsidRPr="00047543" w:rsidRDefault="008879EE">
      <w:pPr>
        <w:pStyle w:val="Text1"/>
        <w:rPr>
          <w:noProof/>
        </w:rPr>
      </w:pPr>
    </w:p>
    <w:p w14:paraId="657A00CE" w14:textId="77777777" w:rsidR="0040501D" w:rsidRPr="00047543" w:rsidRDefault="00647A9C">
      <w:pPr>
        <w:pStyle w:val="ManualHeading2"/>
        <w:rPr>
          <w:noProof/>
        </w:rPr>
      </w:pPr>
      <w:bookmarkStart w:id="78" w:name="_Toc167220303"/>
      <w:bookmarkStart w:id="79" w:name="_Toc177549038"/>
      <w:r w:rsidRPr="00047543">
        <w:rPr>
          <w:noProof/>
        </w:rPr>
        <w:t>4.2</w:t>
      </w:r>
      <w:r w:rsidRPr="00047543">
        <w:rPr>
          <w:noProof/>
        </w:rPr>
        <w:tab/>
        <w:t>Data</w:t>
      </w:r>
      <w:bookmarkEnd w:id="78"/>
      <w:bookmarkEnd w:id="79"/>
    </w:p>
    <w:p w14:paraId="147DC51E" w14:textId="77777777" w:rsidR="00B3271C" w:rsidRPr="00047543" w:rsidRDefault="00A929C8">
      <w:pPr>
        <w:rPr>
          <w:rFonts w:ascii="Calibri" w:eastAsia="Calibri" w:hAnsi="Calibri" w:cs="Calibri"/>
          <w:i/>
          <w:noProof/>
          <w:color w:val="000000" w:themeColor="text1"/>
          <w:sz w:val="20"/>
          <w:szCs w:val="20"/>
        </w:rPr>
      </w:pPr>
      <w:r w:rsidRPr="00047543">
        <w:rPr>
          <w:rFonts w:ascii="Calibri" w:hAnsi="Calibri"/>
          <w:i/>
          <w:noProof/>
          <w:color w:val="000000" w:themeColor="text1"/>
          <w:sz w:val="20"/>
        </w:rPr>
        <w:t>Beskrivning (övergripande nivå) av data som omfattas och eventuella tillhörande standarder/specifikationer</w:t>
      </w:r>
    </w:p>
    <w:tbl>
      <w:tblPr>
        <w:tblStyle w:val="TableGrid"/>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2"/>
        <w:gridCol w:w="3096"/>
        <w:gridCol w:w="3097"/>
      </w:tblGrid>
      <w:tr w:rsidR="005C73CE" w:rsidRPr="00047543" w14:paraId="60B15630" w14:textId="77777777" w:rsidTr="00B871C4">
        <w:tc>
          <w:tcPr>
            <w:tcW w:w="3332" w:type="dxa"/>
          </w:tcPr>
          <w:p w14:paraId="37FFC10D" w14:textId="77777777" w:rsidR="005C73CE" w:rsidRPr="00047543" w:rsidRDefault="005C73CE" w:rsidP="005C73CE">
            <w:pPr>
              <w:rPr>
                <w:rFonts w:ascii="Calibri" w:eastAsia="Calibri" w:hAnsi="Calibri" w:cs="Calibri"/>
                <w:i/>
                <w:iCs/>
                <w:noProof/>
                <w:color w:val="000000" w:themeColor="text1"/>
                <w:sz w:val="20"/>
              </w:rPr>
            </w:pPr>
            <w:r w:rsidRPr="00047543">
              <w:rPr>
                <w:noProof/>
              </w:rPr>
              <w:t>Typ av data</w:t>
            </w:r>
          </w:p>
        </w:tc>
        <w:tc>
          <w:tcPr>
            <w:tcW w:w="3096" w:type="dxa"/>
          </w:tcPr>
          <w:p w14:paraId="699DEF8E" w14:textId="77777777" w:rsidR="005C73CE" w:rsidRPr="00047543" w:rsidRDefault="005C73CE" w:rsidP="005C73CE">
            <w:pPr>
              <w:rPr>
                <w:rFonts w:ascii="Calibri" w:eastAsia="Calibri" w:hAnsi="Calibri" w:cs="Calibri"/>
                <w:i/>
                <w:iCs/>
                <w:noProof/>
                <w:color w:val="000000" w:themeColor="text1"/>
                <w:sz w:val="20"/>
              </w:rPr>
            </w:pPr>
            <w:r w:rsidRPr="00047543">
              <w:rPr>
                <w:noProof/>
              </w:rPr>
              <w:t>Hänvisning/hänvisningar till kravet</w:t>
            </w:r>
          </w:p>
        </w:tc>
        <w:tc>
          <w:tcPr>
            <w:tcW w:w="3097" w:type="dxa"/>
          </w:tcPr>
          <w:p w14:paraId="6AFC00A3" w14:textId="77777777" w:rsidR="005C73CE" w:rsidRPr="00047543" w:rsidRDefault="005C73CE" w:rsidP="005C73CE">
            <w:pPr>
              <w:rPr>
                <w:rFonts w:ascii="Calibri" w:eastAsia="Calibri" w:hAnsi="Calibri" w:cs="Calibri"/>
                <w:i/>
                <w:iCs/>
                <w:noProof/>
                <w:color w:val="000000" w:themeColor="text1"/>
                <w:sz w:val="20"/>
              </w:rPr>
            </w:pPr>
            <w:r w:rsidRPr="00047543">
              <w:rPr>
                <w:noProof/>
              </w:rPr>
              <w:t>Standard och/eller specifikation (i tillämpliga fall)</w:t>
            </w:r>
          </w:p>
        </w:tc>
      </w:tr>
      <w:tr w:rsidR="005C73CE" w:rsidRPr="00047543" w14:paraId="5B9C33F1" w14:textId="77777777" w:rsidTr="00B871C4">
        <w:tc>
          <w:tcPr>
            <w:tcW w:w="3332" w:type="dxa"/>
          </w:tcPr>
          <w:p w14:paraId="0E445BB6" w14:textId="77777777" w:rsidR="005C73CE" w:rsidRPr="00047543" w:rsidRDefault="004D1ECE" w:rsidP="005C73CE">
            <w:pPr>
              <w:rPr>
                <w:rFonts w:ascii="Calibri" w:eastAsia="Calibri" w:hAnsi="Calibri" w:cs="Calibri"/>
                <w:i/>
                <w:iCs/>
                <w:noProof/>
                <w:color w:val="000000" w:themeColor="text1"/>
                <w:sz w:val="20"/>
              </w:rPr>
            </w:pPr>
            <w:r w:rsidRPr="00047543">
              <w:rPr>
                <w:noProof/>
              </w:rPr>
              <w:t>Registreringsinformation om kapaciteten att tillhandahålla valuta för pengarna</w:t>
            </w:r>
          </w:p>
        </w:tc>
        <w:tc>
          <w:tcPr>
            <w:tcW w:w="3096" w:type="dxa"/>
          </w:tcPr>
          <w:p w14:paraId="6F7F1AA6" w14:textId="77777777" w:rsidR="005C73CE" w:rsidRPr="00047543" w:rsidRDefault="005C73CE" w:rsidP="005C73CE">
            <w:pPr>
              <w:rPr>
                <w:rFonts w:ascii="Calibri" w:eastAsia="Calibri" w:hAnsi="Calibri" w:cs="Calibri"/>
                <w:i/>
                <w:iCs/>
                <w:noProof/>
                <w:color w:val="000000" w:themeColor="text1"/>
                <w:sz w:val="20"/>
              </w:rPr>
            </w:pPr>
            <w:r w:rsidRPr="00047543">
              <w:rPr>
                <w:noProof/>
              </w:rPr>
              <w:t xml:space="preserve">Artikel 6 </w:t>
            </w:r>
          </w:p>
        </w:tc>
        <w:tc>
          <w:tcPr>
            <w:tcW w:w="3097" w:type="dxa"/>
          </w:tcPr>
          <w:p w14:paraId="7A2E41B8" w14:textId="77777777" w:rsidR="005C73CE" w:rsidRPr="00047543" w:rsidRDefault="00D84566" w:rsidP="005C73CE">
            <w:pPr>
              <w:rPr>
                <w:rFonts w:ascii="Calibri" w:eastAsia="Calibri" w:hAnsi="Calibri" w:cs="Calibri"/>
                <w:i/>
                <w:iCs/>
                <w:noProof/>
                <w:color w:val="000000" w:themeColor="text1"/>
                <w:sz w:val="20"/>
              </w:rPr>
            </w:pPr>
            <w:r w:rsidRPr="00047543">
              <w:rPr>
                <w:noProof/>
              </w:rPr>
              <w:t>Enligt vad som fastställts av Eiopa</w:t>
            </w:r>
          </w:p>
        </w:tc>
      </w:tr>
      <w:tr w:rsidR="005C73CE" w:rsidRPr="00047543" w14:paraId="45A46BE3" w14:textId="77777777" w:rsidTr="00B871C4">
        <w:tc>
          <w:tcPr>
            <w:tcW w:w="3332" w:type="dxa"/>
          </w:tcPr>
          <w:p w14:paraId="12818762" w14:textId="77777777" w:rsidR="005C73CE" w:rsidRPr="00047543" w:rsidRDefault="005E20D2" w:rsidP="005C73CE">
            <w:pPr>
              <w:rPr>
                <w:rFonts w:ascii="Calibri" w:eastAsia="Calibri" w:hAnsi="Calibri" w:cs="Calibri"/>
                <w:i/>
                <w:iCs/>
                <w:noProof/>
                <w:color w:val="000000" w:themeColor="text1"/>
                <w:sz w:val="20"/>
              </w:rPr>
            </w:pPr>
            <w:r w:rsidRPr="00047543">
              <w:rPr>
                <w:noProof/>
              </w:rPr>
              <w:t>Registrering av uppgifter om kostnader, resultat, riskindikatorer</w:t>
            </w:r>
          </w:p>
        </w:tc>
        <w:tc>
          <w:tcPr>
            <w:tcW w:w="3096" w:type="dxa"/>
          </w:tcPr>
          <w:p w14:paraId="0E33847C" w14:textId="77777777" w:rsidR="005C73CE" w:rsidRPr="00047543" w:rsidRDefault="005C73CE" w:rsidP="005C73CE">
            <w:pPr>
              <w:rPr>
                <w:rFonts w:ascii="Calibri" w:eastAsia="Calibri" w:hAnsi="Calibri" w:cs="Calibri"/>
                <w:i/>
                <w:iCs/>
                <w:noProof/>
                <w:color w:val="000000" w:themeColor="text1"/>
                <w:sz w:val="20"/>
              </w:rPr>
            </w:pPr>
            <w:r w:rsidRPr="00047543">
              <w:rPr>
                <w:noProof/>
              </w:rPr>
              <w:t>Artikel 13</w:t>
            </w:r>
          </w:p>
        </w:tc>
        <w:tc>
          <w:tcPr>
            <w:tcW w:w="3097" w:type="dxa"/>
          </w:tcPr>
          <w:p w14:paraId="696E4044" w14:textId="77777777" w:rsidR="005C73CE" w:rsidRPr="00047543" w:rsidRDefault="005E4C37" w:rsidP="005C73CE">
            <w:pPr>
              <w:rPr>
                <w:rFonts w:ascii="Calibri" w:eastAsia="Calibri" w:hAnsi="Calibri" w:cs="Calibri"/>
                <w:i/>
                <w:iCs/>
                <w:noProof/>
                <w:color w:val="000000" w:themeColor="text1"/>
                <w:sz w:val="20"/>
              </w:rPr>
            </w:pPr>
            <w:r w:rsidRPr="00047543">
              <w:rPr>
                <w:noProof/>
              </w:rPr>
              <w:t>Enligt vad som fastställts av Eiopa</w:t>
            </w:r>
          </w:p>
        </w:tc>
      </w:tr>
      <w:tr w:rsidR="005C73CE" w:rsidRPr="00047543" w14:paraId="721161E0" w14:textId="77777777" w:rsidTr="00B871C4">
        <w:tc>
          <w:tcPr>
            <w:tcW w:w="3332" w:type="dxa"/>
          </w:tcPr>
          <w:p w14:paraId="4C6F590E" w14:textId="77777777" w:rsidR="005C73CE" w:rsidRPr="00047543" w:rsidRDefault="000F3B2B" w:rsidP="005C73CE">
            <w:pPr>
              <w:rPr>
                <w:noProof/>
              </w:rPr>
            </w:pPr>
            <w:r w:rsidRPr="00047543">
              <w:rPr>
                <w:noProof/>
              </w:rPr>
              <w:t xml:space="preserve">Uppdaterad information om spararnas rätter som ska göras tillgänglig i systemet för insamling av pensionsuppgifter, om sådant finns </w:t>
            </w:r>
          </w:p>
        </w:tc>
        <w:tc>
          <w:tcPr>
            <w:tcW w:w="3096" w:type="dxa"/>
          </w:tcPr>
          <w:p w14:paraId="66B8448D" w14:textId="6230F60F" w:rsidR="005C73CE" w:rsidRPr="00047543" w:rsidRDefault="005C73CE" w:rsidP="005C73CE">
            <w:pPr>
              <w:rPr>
                <w:noProof/>
              </w:rPr>
            </w:pPr>
            <w:r w:rsidRPr="00047543">
              <w:rPr>
                <w:noProof/>
              </w:rPr>
              <w:t>Artikel 51a</w:t>
            </w:r>
          </w:p>
        </w:tc>
        <w:tc>
          <w:tcPr>
            <w:tcW w:w="3097" w:type="dxa"/>
          </w:tcPr>
          <w:p w14:paraId="462AC697" w14:textId="77777777" w:rsidR="005C73CE" w:rsidRPr="00047543" w:rsidRDefault="00906B3A" w:rsidP="005C73CE">
            <w:pPr>
              <w:rPr>
                <w:noProof/>
              </w:rPr>
            </w:pPr>
            <w:r w:rsidRPr="00047543">
              <w:rPr>
                <w:noProof/>
              </w:rPr>
              <w:t>Enligt vad som fastställts av de nationella behöriga myndigheterna</w:t>
            </w:r>
          </w:p>
        </w:tc>
      </w:tr>
      <w:tr w:rsidR="005C73CE" w:rsidRPr="00047543" w14:paraId="74044154" w14:textId="77777777" w:rsidTr="00B871C4">
        <w:tc>
          <w:tcPr>
            <w:tcW w:w="3332" w:type="dxa"/>
          </w:tcPr>
          <w:p w14:paraId="1FE4B21B" w14:textId="77777777" w:rsidR="005C73CE" w:rsidRPr="00047543" w:rsidRDefault="00BA3E8F" w:rsidP="005C73CE">
            <w:pPr>
              <w:rPr>
                <w:noProof/>
              </w:rPr>
            </w:pPr>
            <w:r w:rsidRPr="00047543">
              <w:rPr>
                <w:noProof/>
              </w:rPr>
              <w:t>Utbyte av relevant tillsynsinformation mellan myndigheter</w:t>
            </w:r>
          </w:p>
        </w:tc>
        <w:tc>
          <w:tcPr>
            <w:tcW w:w="3096" w:type="dxa"/>
          </w:tcPr>
          <w:p w14:paraId="239186A9" w14:textId="77777777" w:rsidR="005C73CE" w:rsidRPr="00047543" w:rsidRDefault="005C73CE" w:rsidP="005C73CE">
            <w:pPr>
              <w:rPr>
                <w:noProof/>
              </w:rPr>
            </w:pPr>
            <w:r w:rsidRPr="00047543">
              <w:rPr>
                <w:noProof/>
              </w:rPr>
              <w:t>Artikel 65</w:t>
            </w:r>
          </w:p>
        </w:tc>
        <w:tc>
          <w:tcPr>
            <w:tcW w:w="3097" w:type="dxa"/>
          </w:tcPr>
          <w:p w14:paraId="20E7B47F" w14:textId="77777777" w:rsidR="005C73CE" w:rsidRPr="00047543" w:rsidRDefault="00BA3E8F" w:rsidP="005C73CE">
            <w:pPr>
              <w:rPr>
                <w:noProof/>
              </w:rPr>
            </w:pPr>
            <w:r w:rsidRPr="00047543">
              <w:rPr>
                <w:noProof/>
              </w:rPr>
              <w:t>Enligt vad som fastställts av de nationella behöriga myndigheterna/Eiopa</w:t>
            </w:r>
          </w:p>
        </w:tc>
      </w:tr>
    </w:tbl>
    <w:p w14:paraId="624B2182" w14:textId="77777777" w:rsidR="0042046C" w:rsidRPr="00047543" w:rsidRDefault="0042046C">
      <w:pPr>
        <w:rPr>
          <w:rFonts w:ascii="Calibri" w:eastAsia="Calibri" w:hAnsi="Calibri" w:cs="Calibri"/>
          <w:i/>
          <w:iCs/>
          <w:noProof/>
          <w:color w:val="000000" w:themeColor="text1"/>
          <w:sz w:val="20"/>
          <w:szCs w:val="20"/>
        </w:rPr>
      </w:pPr>
    </w:p>
    <w:p w14:paraId="77516AF0" w14:textId="77777777" w:rsidR="005C73CE" w:rsidRPr="00047543" w:rsidRDefault="005C73CE">
      <w:pPr>
        <w:rPr>
          <w:rFonts w:ascii="Calibri" w:eastAsia="Calibri" w:hAnsi="Calibri" w:cs="Calibri"/>
          <w:i/>
          <w:iCs/>
          <w:noProof/>
          <w:color w:val="000000" w:themeColor="text1"/>
          <w:sz w:val="20"/>
          <w:szCs w:val="20"/>
        </w:rPr>
      </w:pPr>
    </w:p>
    <w:p w14:paraId="09807CEA" w14:textId="77777777" w:rsidR="005C73CE" w:rsidRPr="00047543" w:rsidRDefault="005C73CE">
      <w:pPr>
        <w:rPr>
          <w:rFonts w:ascii="Calibri" w:eastAsia="Calibri" w:hAnsi="Calibri" w:cs="Calibri"/>
          <w:i/>
          <w:iCs/>
          <w:noProof/>
          <w:color w:val="000000" w:themeColor="text1"/>
          <w:sz w:val="20"/>
          <w:szCs w:val="20"/>
        </w:rPr>
      </w:pPr>
      <w:r w:rsidRPr="00047543">
        <w:rPr>
          <w:rFonts w:ascii="Calibri" w:hAnsi="Calibri"/>
          <w:i/>
          <w:noProof/>
          <w:color w:val="000000" w:themeColor="text1"/>
          <w:sz w:val="20"/>
        </w:rPr>
        <w:t>Dataflöden</w:t>
      </w:r>
    </w:p>
    <w:tbl>
      <w:tblPr>
        <w:tblStyle w:val="TableGrid"/>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7"/>
        <w:gridCol w:w="1392"/>
        <w:gridCol w:w="2019"/>
        <w:gridCol w:w="1380"/>
        <w:gridCol w:w="1622"/>
        <w:gridCol w:w="422"/>
        <w:gridCol w:w="817"/>
        <w:gridCol w:w="33"/>
      </w:tblGrid>
      <w:tr w:rsidR="00E5374D" w:rsidRPr="00047543" w14:paraId="3AFA3E4E" w14:textId="77777777" w:rsidTr="00A07358">
        <w:trPr>
          <w:gridAfter w:val="1"/>
          <w:wAfter w:w="33" w:type="dxa"/>
        </w:trPr>
        <w:tc>
          <w:tcPr>
            <w:tcW w:w="1637" w:type="dxa"/>
          </w:tcPr>
          <w:p w14:paraId="2144DD13" w14:textId="77777777" w:rsidR="005C73CE" w:rsidRPr="00047543" w:rsidRDefault="005C73CE" w:rsidP="005C73CE">
            <w:pPr>
              <w:rPr>
                <w:rFonts w:ascii="Calibri" w:eastAsia="Calibri" w:hAnsi="Calibri" w:cs="Calibri"/>
                <w:i/>
                <w:iCs/>
                <w:noProof/>
                <w:color w:val="000000" w:themeColor="text1"/>
                <w:sz w:val="20"/>
              </w:rPr>
            </w:pPr>
            <w:r w:rsidRPr="00047543">
              <w:rPr>
                <w:noProof/>
              </w:rPr>
              <w:t>Typ av data</w:t>
            </w:r>
          </w:p>
        </w:tc>
        <w:tc>
          <w:tcPr>
            <w:tcW w:w="1392" w:type="dxa"/>
          </w:tcPr>
          <w:p w14:paraId="69E1E0FD" w14:textId="77777777" w:rsidR="005C73CE" w:rsidRPr="00047543" w:rsidRDefault="005C73CE" w:rsidP="005C73CE">
            <w:pPr>
              <w:rPr>
                <w:rFonts w:ascii="Calibri" w:eastAsia="Calibri" w:hAnsi="Calibri" w:cs="Calibri"/>
                <w:i/>
                <w:iCs/>
                <w:noProof/>
                <w:color w:val="000000" w:themeColor="text1"/>
                <w:sz w:val="20"/>
              </w:rPr>
            </w:pPr>
            <w:r w:rsidRPr="00047543">
              <w:rPr>
                <w:rFonts w:ascii="Calibri" w:hAnsi="Calibri"/>
                <w:noProof/>
                <w:color w:val="000000" w:themeColor="text1"/>
                <w:sz w:val="20"/>
              </w:rPr>
              <w:t>Hänvisning/hänvisningar till kravet/kraven</w:t>
            </w:r>
          </w:p>
        </w:tc>
        <w:tc>
          <w:tcPr>
            <w:tcW w:w="2019" w:type="dxa"/>
          </w:tcPr>
          <w:p w14:paraId="198147DE" w14:textId="77777777" w:rsidR="005C73CE" w:rsidRPr="00047543" w:rsidRDefault="005C73CE" w:rsidP="005C73CE">
            <w:pPr>
              <w:rPr>
                <w:rFonts w:ascii="Calibri" w:eastAsia="Calibri" w:hAnsi="Calibri" w:cs="Calibri"/>
                <w:i/>
                <w:iCs/>
                <w:noProof/>
                <w:color w:val="000000" w:themeColor="text1"/>
                <w:sz w:val="20"/>
              </w:rPr>
            </w:pPr>
            <w:r w:rsidRPr="00047543">
              <w:rPr>
                <w:rFonts w:ascii="Calibri" w:hAnsi="Calibri"/>
                <w:noProof/>
                <w:color w:val="000000" w:themeColor="text1"/>
                <w:sz w:val="20"/>
              </w:rPr>
              <w:t>Aktör som tillhandahåller data</w:t>
            </w:r>
          </w:p>
        </w:tc>
        <w:tc>
          <w:tcPr>
            <w:tcW w:w="1380" w:type="dxa"/>
          </w:tcPr>
          <w:p w14:paraId="0FAED017" w14:textId="77777777" w:rsidR="005C73CE" w:rsidRPr="00047543" w:rsidRDefault="005C73CE" w:rsidP="005C73CE">
            <w:pPr>
              <w:rPr>
                <w:rFonts w:ascii="Calibri" w:eastAsia="Calibri" w:hAnsi="Calibri" w:cs="Calibri"/>
                <w:i/>
                <w:iCs/>
                <w:noProof/>
                <w:color w:val="000000" w:themeColor="text1"/>
                <w:sz w:val="20"/>
              </w:rPr>
            </w:pPr>
            <w:r w:rsidRPr="00047543">
              <w:rPr>
                <w:rFonts w:ascii="Calibri" w:hAnsi="Calibri"/>
                <w:noProof/>
                <w:color w:val="000000" w:themeColor="text1"/>
                <w:sz w:val="20"/>
              </w:rPr>
              <w:t>Aktör som tar emot data</w:t>
            </w:r>
          </w:p>
        </w:tc>
        <w:tc>
          <w:tcPr>
            <w:tcW w:w="2044" w:type="dxa"/>
            <w:gridSpan w:val="2"/>
          </w:tcPr>
          <w:p w14:paraId="4071BDEC" w14:textId="77777777" w:rsidR="005C73CE" w:rsidRPr="00047543" w:rsidRDefault="005C73CE" w:rsidP="005C73CE">
            <w:pPr>
              <w:rPr>
                <w:rFonts w:ascii="Calibri" w:eastAsia="Calibri" w:hAnsi="Calibri" w:cs="Calibri"/>
                <w:i/>
                <w:iCs/>
                <w:noProof/>
                <w:color w:val="000000" w:themeColor="text1"/>
                <w:sz w:val="20"/>
              </w:rPr>
            </w:pPr>
            <w:r w:rsidRPr="00047543">
              <w:rPr>
                <w:rFonts w:ascii="Calibri" w:hAnsi="Calibri"/>
                <w:noProof/>
                <w:color w:val="000000" w:themeColor="text1"/>
                <w:sz w:val="20"/>
              </w:rPr>
              <w:t>Utlösande faktor för datautbyte</w:t>
            </w:r>
          </w:p>
        </w:tc>
        <w:tc>
          <w:tcPr>
            <w:tcW w:w="817" w:type="dxa"/>
          </w:tcPr>
          <w:p w14:paraId="668FF015" w14:textId="77777777" w:rsidR="005C73CE" w:rsidRPr="00047543" w:rsidRDefault="005C73CE" w:rsidP="005C73CE">
            <w:pPr>
              <w:rPr>
                <w:rFonts w:ascii="Calibri" w:eastAsia="Calibri" w:hAnsi="Calibri" w:cs="Calibri"/>
                <w:i/>
                <w:iCs/>
                <w:noProof/>
                <w:color w:val="000000" w:themeColor="text1"/>
                <w:sz w:val="20"/>
              </w:rPr>
            </w:pPr>
            <w:r w:rsidRPr="00047543">
              <w:rPr>
                <w:rFonts w:ascii="Calibri" w:hAnsi="Calibri"/>
                <w:noProof/>
                <w:color w:val="000000" w:themeColor="text1"/>
                <w:sz w:val="20"/>
              </w:rPr>
              <w:t>Frekvens (i tillämpliga fall)</w:t>
            </w:r>
          </w:p>
        </w:tc>
      </w:tr>
      <w:tr w:rsidR="00D63A07" w:rsidRPr="00047543" w14:paraId="4A3209B1" w14:textId="77777777" w:rsidTr="00A07358">
        <w:trPr>
          <w:gridAfter w:val="1"/>
          <w:wAfter w:w="33" w:type="dxa"/>
          <w:trHeight w:val="964"/>
        </w:trPr>
        <w:tc>
          <w:tcPr>
            <w:tcW w:w="1637" w:type="dxa"/>
          </w:tcPr>
          <w:p w14:paraId="2D3506A9" w14:textId="77777777" w:rsidR="005C73CE" w:rsidRPr="00047543" w:rsidRDefault="005C73CE" w:rsidP="005C73CE">
            <w:pPr>
              <w:rPr>
                <w:rFonts w:eastAsia="Calibri"/>
                <w:noProof/>
              </w:rPr>
            </w:pPr>
            <w:r w:rsidRPr="00047543">
              <w:rPr>
                <w:noProof/>
              </w:rPr>
              <w:t>Registreringsinformation</w:t>
            </w:r>
          </w:p>
          <w:p w14:paraId="664D5071" w14:textId="77777777" w:rsidR="005C73CE" w:rsidRPr="00047543" w:rsidRDefault="005C73CE" w:rsidP="005C73CE">
            <w:pPr>
              <w:rPr>
                <w:rFonts w:ascii="Calibri" w:eastAsia="Calibri" w:hAnsi="Calibri" w:cs="Calibri"/>
                <w:i/>
                <w:iCs/>
                <w:noProof/>
                <w:color w:val="000000" w:themeColor="text1"/>
                <w:sz w:val="20"/>
              </w:rPr>
            </w:pPr>
          </w:p>
        </w:tc>
        <w:tc>
          <w:tcPr>
            <w:tcW w:w="1392" w:type="dxa"/>
          </w:tcPr>
          <w:p w14:paraId="3F13F118" w14:textId="77777777" w:rsidR="005C73CE" w:rsidRPr="00047543" w:rsidRDefault="005C73CE" w:rsidP="005C73CE">
            <w:pPr>
              <w:rPr>
                <w:rFonts w:ascii="Calibri" w:eastAsia="Calibri" w:hAnsi="Calibri" w:cs="Calibri"/>
                <w:i/>
                <w:iCs/>
                <w:noProof/>
                <w:color w:val="000000" w:themeColor="text1"/>
                <w:sz w:val="20"/>
              </w:rPr>
            </w:pPr>
            <w:r w:rsidRPr="00047543">
              <w:rPr>
                <w:noProof/>
              </w:rPr>
              <w:t xml:space="preserve">Artikel 6 </w:t>
            </w:r>
          </w:p>
        </w:tc>
        <w:tc>
          <w:tcPr>
            <w:tcW w:w="2019" w:type="dxa"/>
          </w:tcPr>
          <w:p w14:paraId="7B14EAB9" w14:textId="77777777" w:rsidR="005C73CE" w:rsidRPr="00047543" w:rsidRDefault="005C73CE" w:rsidP="005C73CE">
            <w:pPr>
              <w:rPr>
                <w:noProof/>
              </w:rPr>
            </w:pPr>
            <w:r w:rsidRPr="00047543">
              <w:rPr>
                <w:noProof/>
              </w:rPr>
              <w:t>PEPP-sparinstitut</w:t>
            </w:r>
          </w:p>
          <w:p w14:paraId="6C7DC692" w14:textId="77777777" w:rsidR="005C73CE" w:rsidRPr="00047543" w:rsidRDefault="005C73CE" w:rsidP="005C73CE">
            <w:pPr>
              <w:rPr>
                <w:noProof/>
              </w:rPr>
            </w:pPr>
          </w:p>
          <w:p w14:paraId="3037C98C" w14:textId="77777777" w:rsidR="005C73CE" w:rsidRPr="00047543" w:rsidRDefault="005C73CE" w:rsidP="005C73CE">
            <w:pPr>
              <w:rPr>
                <w:rFonts w:ascii="Calibri" w:eastAsia="Calibri" w:hAnsi="Calibri" w:cs="Calibri"/>
                <w:i/>
                <w:iCs/>
                <w:noProof/>
                <w:color w:val="000000" w:themeColor="text1"/>
                <w:sz w:val="20"/>
              </w:rPr>
            </w:pPr>
          </w:p>
        </w:tc>
        <w:tc>
          <w:tcPr>
            <w:tcW w:w="1380" w:type="dxa"/>
          </w:tcPr>
          <w:p w14:paraId="673BD919" w14:textId="77777777" w:rsidR="001A5990" w:rsidRPr="00047543" w:rsidRDefault="001A5990" w:rsidP="001A5990">
            <w:pPr>
              <w:rPr>
                <w:noProof/>
              </w:rPr>
            </w:pPr>
            <w:r w:rsidRPr="00047543">
              <w:rPr>
                <w:noProof/>
              </w:rPr>
              <w:t>Nationell behörig myndighet</w:t>
            </w:r>
          </w:p>
          <w:p w14:paraId="7E047ABB" w14:textId="77777777" w:rsidR="005C73CE" w:rsidRPr="00047543" w:rsidRDefault="005C73CE" w:rsidP="005C73CE">
            <w:pPr>
              <w:rPr>
                <w:noProof/>
              </w:rPr>
            </w:pPr>
          </w:p>
          <w:p w14:paraId="0CE5524C" w14:textId="77777777" w:rsidR="005C73CE" w:rsidRPr="00047543" w:rsidRDefault="005C73CE" w:rsidP="005C73CE">
            <w:pPr>
              <w:rPr>
                <w:rFonts w:ascii="Calibri" w:eastAsia="Calibri" w:hAnsi="Calibri" w:cs="Calibri"/>
                <w:i/>
                <w:iCs/>
                <w:noProof/>
                <w:color w:val="000000" w:themeColor="text1"/>
                <w:sz w:val="20"/>
              </w:rPr>
            </w:pPr>
          </w:p>
        </w:tc>
        <w:tc>
          <w:tcPr>
            <w:tcW w:w="1622" w:type="dxa"/>
          </w:tcPr>
          <w:p w14:paraId="5492D28C" w14:textId="77777777" w:rsidR="005C73CE" w:rsidRPr="00047543" w:rsidRDefault="005C73CE" w:rsidP="005C73CE">
            <w:pPr>
              <w:rPr>
                <w:noProof/>
              </w:rPr>
            </w:pPr>
            <w:r w:rsidRPr="00047543">
              <w:rPr>
                <w:noProof/>
              </w:rPr>
              <w:t>Ansökan om registrering</w:t>
            </w:r>
          </w:p>
          <w:p w14:paraId="1FA433C1" w14:textId="77777777" w:rsidR="005C73CE" w:rsidRPr="00047543" w:rsidRDefault="005C73CE" w:rsidP="005C73CE">
            <w:pPr>
              <w:rPr>
                <w:rFonts w:ascii="Calibri" w:eastAsia="Calibri" w:hAnsi="Calibri" w:cs="Calibri"/>
                <w:i/>
                <w:iCs/>
                <w:noProof/>
                <w:color w:val="000000" w:themeColor="text1"/>
                <w:sz w:val="20"/>
              </w:rPr>
            </w:pPr>
          </w:p>
        </w:tc>
        <w:tc>
          <w:tcPr>
            <w:tcW w:w="1239" w:type="dxa"/>
            <w:gridSpan w:val="2"/>
          </w:tcPr>
          <w:p w14:paraId="7962465B" w14:textId="77777777" w:rsidR="005C73CE" w:rsidRPr="00047543" w:rsidRDefault="005C73CE" w:rsidP="005C73CE">
            <w:pPr>
              <w:rPr>
                <w:rFonts w:ascii="Calibri" w:eastAsia="Calibri" w:hAnsi="Calibri" w:cs="Calibri"/>
                <w:i/>
                <w:iCs/>
                <w:noProof/>
                <w:color w:val="000000" w:themeColor="text1"/>
                <w:sz w:val="20"/>
              </w:rPr>
            </w:pPr>
            <w:r w:rsidRPr="00047543">
              <w:rPr>
                <w:noProof/>
              </w:rPr>
              <w:t>//</w:t>
            </w:r>
          </w:p>
        </w:tc>
      </w:tr>
      <w:tr w:rsidR="00E5374D" w:rsidRPr="00047543" w14:paraId="7DA85DB6" w14:textId="77777777" w:rsidTr="00A07358">
        <w:trPr>
          <w:gridAfter w:val="1"/>
          <w:wAfter w:w="33" w:type="dxa"/>
          <w:trHeight w:val="902"/>
        </w:trPr>
        <w:tc>
          <w:tcPr>
            <w:tcW w:w="1637" w:type="dxa"/>
          </w:tcPr>
          <w:p w14:paraId="7CAAB638" w14:textId="77777777" w:rsidR="00354CE4" w:rsidRPr="00047543" w:rsidRDefault="00354CE4" w:rsidP="00354CE4">
            <w:pPr>
              <w:rPr>
                <w:rFonts w:eastAsia="Calibri"/>
                <w:noProof/>
              </w:rPr>
            </w:pPr>
            <w:r w:rsidRPr="00047543">
              <w:rPr>
                <w:noProof/>
              </w:rPr>
              <w:t>Registreringsinformation</w:t>
            </w:r>
          </w:p>
          <w:p w14:paraId="3C1D8A44" w14:textId="77777777" w:rsidR="00354CE4" w:rsidRPr="00047543" w:rsidRDefault="00354CE4" w:rsidP="00354CE4">
            <w:pPr>
              <w:rPr>
                <w:rFonts w:eastAsia="Calibri"/>
                <w:noProof/>
              </w:rPr>
            </w:pPr>
          </w:p>
        </w:tc>
        <w:tc>
          <w:tcPr>
            <w:tcW w:w="1392" w:type="dxa"/>
          </w:tcPr>
          <w:p w14:paraId="544E195C" w14:textId="77777777" w:rsidR="00354CE4" w:rsidRPr="00047543" w:rsidRDefault="00354CE4" w:rsidP="00354CE4">
            <w:pPr>
              <w:rPr>
                <w:noProof/>
              </w:rPr>
            </w:pPr>
            <w:r w:rsidRPr="00047543">
              <w:rPr>
                <w:noProof/>
              </w:rPr>
              <w:t xml:space="preserve">Artikel 6 </w:t>
            </w:r>
          </w:p>
        </w:tc>
        <w:tc>
          <w:tcPr>
            <w:tcW w:w="2019" w:type="dxa"/>
          </w:tcPr>
          <w:p w14:paraId="532FC346" w14:textId="77777777" w:rsidR="00354CE4" w:rsidRPr="00047543" w:rsidRDefault="00354CE4" w:rsidP="00354CE4">
            <w:pPr>
              <w:rPr>
                <w:noProof/>
              </w:rPr>
            </w:pPr>
            <w:r w:rsidRPr="00047543">
              <w:rPr>
                <w:noProof/>
              </w:rPr>
              <w:t>Nationell behörig myndighet</w:t>
            </w:r>
          </w:p>
        </w:tc>
        <w:tc>
          <w:tcPr>
            <w:tcW w:w="1380" w:type="dxa"/>
          </w:tcPr>
          <w:p w14:paraId="6A634100" w14:textId="77777777" w:rsidR="00354CE4" w:rsidRPr="00047543" w:rsidRDefault="00354CE4" w:rsidP="00354CE4">
            <w:pPr>
              <w:rPr>
                <w:noProof/>
              </w:rPr>
            </w:pPr>
            <w:r w:rsidRPr="00047543">
              <w:rPr>
                <w:noProof/>
              </w:rPr>
              <w:t>Eiopa</w:t>
            </w:r>
          </w:p>
        </w:tc>
        <w:tc>
          <w:tcPr>
            <w:tcW w:w="2044" w:type="dxa"/>
            <w:gridSpan w:val="2"/>
          </w:tcPr>
          <w:p w14:paraId="7CC17E67" w14:textId="77777777" w:rsidR="00354CE4" w:rsidRPr="00047543" w:rsidRDefault="00354CE4" w:rsidP="00354CE4">
            <w:pPr>
              <w:rPr>
                <w:noProof/>
              </w:rPr>
            </w:pPr>
            <w:r w:rsidRPr="00047543">
              <w:rPr>
                <w:noProof/>
              </w:rPr>
              <w:t>Beslut för registrering</w:t>
            </w:r>
          </w:p>
        </w:tc>
        <w:tc>
          <w:tcPr>
            <w:tcW w:w="817" w:type="dxa"/>
          </w:tcPr>
          <w:p w14:paraId="261B3AB8" w14:textId="77777777" w:rsidR="00354CE4" w:rsidRPr="00047543" w:rsidRDefault="00564728" w:rsidP="00354CE4">
            <w:pPr>
              <w:rPr>
                <w:noProof/>
              </w:rPr>
            </w:pPr>
            <w:r w:rsidRPr="00047543">
              <w:rPr>
                <w:noProof/>
              </w:rPr>
              <w:t>//</w:t>
            </w:r>
          </w:p>
        </w:tc>
      </w:tr>
      <w:tr w:rsidR="00E5374D" w:rsidRPr="00047543" w14:paraId="1435E269" w14:textId="77777777" w:rsidTr="00A07358">
        <w:trPr>
          <w:gridAfter w:val="1"/>
          <w:wAfter w:w="33" w:type="dxa"/>
        </w:trPr>
        <w:tc>
          <w:tcPr>
            <w:tcW w:w="1637" w:type="dxa"/>
          </w:tcPr>
          <w:p w14:paraId="3F200A26" w14:textId="77777777" w:rsidR="001A5990" w:rsidRPr="00047543" w:rsidRDefault="001A5990" w:rsidP="001A5990">
            <w:pPr>
              <w:rPr>
                <w:noProof/>
              </w:rPr>
            </w:pPr>
            <w:r w:rsidRPr="00047543">
              <w:rPr>
                <w:noProof/>
              </w:rPr>
              <w:t>Registrering av uppgifter om kostnader, resultat, riskindikatorer</w:t>
            </w:r>
          </w:p>
        </w:tc>
        <w:tc>
          <w:tcPr>
            <w:tcW w:w="1392" w:type="dxa"/>
          </w:tcPr>
          <w:p w14:paraId="4B323789" w14:textId="77777777" w:rsidR="001A5990" w:rsidRPr="00047543" w:rsidRDefault="001A5990" w:rsidP="001A5990">
            <w:pPr>
              <w:rPr>
                <w:noProof/>
              </w:rPr>
            </w:pPr>
            <w:r w:rsidRPr="00047543">
              <w:rPr>
                <w:noProof/>
              </w:rPr>
              <w:t>Artikel 13</w:t>
            </w:r>
          </w:p>
        </w:tc>
        <w:tc>
          <w:tcPr>
            <w:tcW w:w="2019" w:type="dxa"/>
          </w:tcPr>
          <w:p w14:paraId="6089538A" w14:textId="77777777" w:rsidR="001A5990" w:rsidRPr="00047543" w:rsidRDefault="001A5990" w:rsidP="001A5990">
            <w:pPr>
              <w:rPr>
                <w:noProof/>
              </w:rPr>
            </w:pPr>
            <w:r w:rsidRPr="00047543">
              <w:rPr>
                <w:noProof/>
              </w:rPr>
              <w:t>PEPP-sparinstitut</w:t>
            </w:r>
          </w:p>
        </w:tc>
        <w:tc>
          <w:tcPr>
            <w:tcW w:w="1380" w:type="dxa"/>
          </w:tcPr>
          <w:p w14:paraId="0F56CDFF" w14:textId="77777777" w:rsidR="001A5990" w:rsidRPr="00047543" w:rsidRDefault="001A5990" w:rsidP="001A5990">
            <w:pPr>
              <w:rPr>
                <w:noProof/>
              </w:rPr>
            </w:pPr>
            <w:r w:rsidRPr="00047543">
              <w:rPr>
                <w:noProof/>
              </w:rPr>
              <w:t>Nationell behörig myndighet</w:t>
            </w:r>
          </w:p>
        </w:tc>
        <w:tc>
          <w:tcPr>
            <w:tcW w:w="2044" w:type="dxa"/>
            <w:gridSpan w:val="2"/>
          </w:tcPr>
          <w:p w14:paraId="10296297" w14:textId="77777777" w:rsidR="001A5990" w:rsidRPr="00047543" w:rsidRDefault="00564728" w:rsidP="001A5990">
            <w:pPr>
              <w:rPr>
                <w:noProof/>
              </w:rPr>
            </w:pPr>
            <w:r w:rsidRPr="00047543">
              <w:rPr>
                <w:noProof/>
              </w:rPr>
              <w:t>Enligt vad som fastställts av Eiopa</w:t>
            </w:r>
          </w:p>
        </w:tc>
        <w:tc>
          <w:tcPr>
            <w:tcW w:w="817" w:type="dxa"/>
          </w:tcPr>
          <w:p w14:paraId="1EB8021D" w14:textId="77777777" w:rsidR="001A5990" w:rsidRPr="00047543" w:rsidRDefault="00564728" w:rsidP="001A5990">
            <w:pPr>
              <w:rPr>
                <w:noProof/>
              </w:rPr>
            </w:pPr>
            <w:r w:rsidRPr="00047543">
              <w:rPr>
                <w:noProof/>
              </w:rPr>
              <w:t>//</w:t>
            </w:r>
          </w:p>
        </w:tc>
      </w:tr>
      <w:tr w:rsidR="00E5374D" w:rsidRPr="00047543" w14:paraId="28BC149A" w14:textId="77777777" w:rsidTr="00A07358">
        <w:trPr>
          <w:gridAfter w:val="1"/>
          <w:wAfter w:w="33" w:type="dxa"/>
        </w:trPr>
        <w:tc>
          <w:tcPr>
            <w:tcW w:w="1637" w:type="dxa"/>
          </w:tcPr>
          <w:p w14:paraId="723BA1BF" w14:textId="77777777" w:rsidR="001A5990" w:rsidRPr="00047543" w:rsidRDefault="001A5990" w:rsidP="001A5990">
            <w:pPr>
              <w:rPr>
                <w:noProof/>
              </w:rPr>
            </w:pPr>
            <w:r w:rsidRPr="00047543">
              <w:rPr>
                <w:noProof/>
              </w:rPr>
              <w:t>Registrering av uppgifter om kostnader, resultat, riskindikatorer</w:t>
            </w:r>
          </w:p>
        </w:tc>
        <w:tc>
          <w:tcPr>
            <w:tcW w:w="1392" w:type="dxa"/>
          </w:tcPr>
          <w:p w14:paraId="74B900CA" w14:textId="77777777" w:rsidR="001A5990" w:rsidRPr="00047543" w:rsidRDefault="001A5990" w:rsidP="001A5990">
            <w:pPr>
              <w:rPr>
                <w:noProof/>
              </w:rPr>
            </w:pPr>
            <w:r w:rsidRPr="00047543">
              <w:rPr>
                <w:noProof/>
              </w:rPr>
              <w:t>Artikel 13</w:t>
            </w:r>
          </w:p>
        </w:tc>
        <w:tc>
          <w:tcPr>
            <w:tcW w:w="2019" w:type="dxa"/>
          </w:tcPr>
          <w:p w14:paraId="78602E81" w14:textId="77777777" w:rsidR="001A5990" w:rsidRPr="00047543" w:rsidRDefault="001A5990" w:rsidP="001A5990">
            <w:pPr>
              <w:rPr>
                <w:noProof/>
              </w:rPr>
            </w:pPr>
            <w:r w:rsidRPr="00047543">
              <w:rPr>
                <w:noProof/>
              </w:rPr>
              <w:t>Nationell behörig myndighet</w:t>
            </w:r>
          </w:p>
        </w:tc>
        <w:tc>
          <w:tcPr>
            <w:tcW w:w="1380" w:type="dxa"/>
          </w:tcPr>
          <w:p w14:paraId="1CE50513" w14:textId="77777777" w:rsidR="001A5990" w:rsidRPr="00047543" w:rsidRDefault="001A5990" w:rsidP="001A5990">
            <w:pPr>
              <w:rPr>
                <w:noProof/>
              </w:rPr>
            </w:pPr>
            <w:r w:rsidRPr="00047543">
              <w:rPr>
                <w:noProof/>
              </w:rPr>
              <w:t>Eiopa</w:t>
            </w:r>
          </w:p>
        </w:tc>
        <w:tc>
          <w:tcPr>
            <w:tcW w:w="2044" w:type="dxa"/>
            <w:gridSpan w:val="2"/>
          </w:tcPr>
          <w:p w14:paraId="19006745" w14:textId="77777777" w:rsidR="001A5990" w:rsidRPr="00047543" w:rsidRDefault="00564728" w:rsidP="001A5990">
            <w:pPr>
              <w:rPr>
                <w:noProof/>
              </w:rPr>
            </w:pPr>
            <w:r w:rsidRPr="00047543">
              <w:rPr>
                <w:noProof/>
              </w:rPr>
              <w:t>Enligt vad som fastställts av Eiopa</w:t>
            </w:r>
          </w:p>
        </w:tc>
        <w:tc>
          <w:tcPr>
            <w:tcW w:w="817" w:type="dxa"/>
          </w:tcPr>
          <w:p w14:paraId="3F8692D7" w14:textId="77777777" w:rsidR="001A5990" w:rsidRPr="00047543" w:rsidRDefault="00564728" w:rsidP="001A5990">
            <w:pPr>
              <w:rPr>
                <w:noProof/>
              </w:rPr>
            </w:pPr>
            <w:r w:rsidRPr="00047543">
              <w:rPr>
                <w:noProof/>
              </w:rPr>
              <w:t>//</w:t>
            </w:r>
          </w:p>
        </w:tc>
      </w:tr>
      <w:tr w:rsidR="00E5374D" w:rsidRPr="00047543" w14:paraId="0830F655" w14:textId="77777777" w:rsidTr="00A07358">
        <w:trPr>
          <w:gridAfter w:val="1"/>
          <w:wAfter w:w="33" w:type="dxa"/>
        </w:trPr>
        <w:tc>
          <w:tcPr>
            <w:tcW w:w="1637" w:type="dxa"/>
          </w:tcPr>
          <w:p w14:paraId="75816F4D" w14:textId="77777777" w:rsidR="00354CE4" w:rsidRPr="00047543" w:rsidRDefault="004E6F27" w:rsidP="00354CE4">
            <w:pPr>
              <w:rPr>
                <w:rFonts w:ascii="Calibri" w:eastAsia="Calibri" w:hAnsi="Calibri" w:cs="Calibri"/>
                <w:i/>
                <w:iCs/>
                <w:noProof/>
                <w:color w:val="000000" w:themeColor="text1"/>
                <w:sz w:val="20"/>
              </w:rPr>
            </w:pPr>
            <w:r w:rsidRPr="00047543">
              <w:rPr>
                <w:noProof/>
              </w:rPr>
              <w:t xml:space="preserve">Uppdaterad information om spararnas rätter </w:t>
            </w:r>
          </w:p>
        </w:tc>
        <w:tc>
          <w:tcPr>
            <w:tcW w:w="1392" w:type="dxa"/>
          </w:tcPr>
          <w:p w14:paraId="0197CD25" w14:textId="77777777" w:rsidR="00354CE4" w:rsidRPr="00047543" w:rsidRDefault="00354CE4" w:rsidP="00354CE4">
            <w:pPr>
              <w:rPr>
                <w:rFonts w:ascii="Calibri" w:eastAsia="Calibri" w:hAnsi="Calibri" w:cs="Calibri"/>
                <w:i/>
                <w:iCs/>
                <w:noProof/>
                <w:color w:val="000000" w:themeColor="text1"/>
                <w:sz w:val="20"/>
              </w:rPr>
            </w:pPr>
            <w:r w:rsidRPr="00047543">
              <w:rPr>
                <w:noProof/>
              </w:rPr>
              <w:t>Artikel 51</w:t>
            </w:r>
          </w:p>
        </w:tc>
        <w:tc>
          <w:tcPr>
            <w:tcW w:w="2019" w:type="dxa"/>
          </w:tcPr>
          <w:p w14:paraId="37A5B4C5" w14:textId="77777777" w:rsidR="00354CE4" w:rsidRPr="00047543" w:rsidRDefault="00354CE4" w:rsidP="00354CE4">
            <w:pPr>
              <w:rPr>
                <w:rFonts w:ascii="Calibri" w:eastAsia="Calibri" w:hAnsi="Calibri" w:cs="Calibri"/>
                <w:i/>
                <w:iCs/>
                <w:noProof/>
                <w:color w:val="000000" w:themeColor="text1"/>
                <w:sz w:val="20"/>
              </w:rPr>
            </w:pPr>
            <w:r w:rsidRPr="00047543">
              <w:rPr>
                <w:noProof/>
              </w:rPr>
              <w:t>PEPP-sparinstitut/PEPP-distributör</w:t>
            </w:r>
          </w:p>
        </w:tc>
        <w:tc>
          <w:tcPr>
            <w:tcW w:w="1380" w:type="dxa"/>
          </w:tcPr>
          <w:p w14:paraId="6B14C979" w14:textId="77777777" w:rsidR="00354CE4" w:rsidRPr="00047543" w:rsidRDefault="00E5374D" w:rsidP="00354CE4">
            <w:pPr>
              <w:rPr>
                <w:rFonts w:ascii="Calibri" w:eastAsia="Calibri" w:hAnsi="Calibri" w:cs="Calibri"/>
                <w:i/>
                <w:iCs/>
                <w:noProof/>
                <w:color w:val="000000" w:themeColor="text1"/>
                <w:sz w:val="20"/>
              </w:rPr>
            </w:pPr>
            <w:r w:rsidRPr="00047543">
              <w:rPr>
                <w:noProof/>
              </w:rPr>
              <w:t>Leverantör av system för insamling av pensionsuppgifter</w:t>
            </w:r>
          </w:p>
        </w:tc>
        <w:tc>
          <w:tcPr>
            <w:tcW w:w="2044" w:type="dxa"/>
            <w:gridSpan w:val="2"/>
          </w:tcPr>
          <w:p w14:paraId="17821F72" w14:textId="77777777" w:rsidR="00354CE4" w:rsidRPr="00047543" w:rsidRDefault="00354CE4" w:rsidP="00354CE4">
            <w:pPr>
              <w:rPr>
                <w:rFonts w:ascii="Calibri" w:eastAsia="Calibri" w:hAnsi="Calibri" w:cs="Calibri"/>
                <w:i/>
                <w:iCs/>
                <w:noProof/>
                <w:color w:val="000000" w:themeColor="text1"/>
                <w:sz w:val="20"/>
              </w:rPr>
            </w:pPr>
            <w:r w:rsidRPr="00047543">
              <w:rPr>
                <w:noProof/>
              </w:rPr>
              <w:t>Enligt vad som fastställts av de nationella behöriga myndigheterna</w:t>
            </w:r>
          </w:p>
        </w:tc>
        <w:tc>
          <w:tcPr>
            <w:tcW w:w="817" w:type="dxa"/>
          </w:tcPr>
          <w:p w14:paraId="75FD0EE2" w14:textId="77777777" w:rsidR="00354CE4" w:rsidRPr="00047543" w:rsidRDefault="00354CE4" w:rsidP="00354CE4">
            <w:pPr>
              <w:rPr>
                <w:rFonts w:ascii="Calibri" w:eastAsia="Calibri" w:hAnsi="Calibri" w:cs="Calibri"/>
                <w:i/>
                <w:iCs/>
                <w:noProof/>
                <w:color w:val="000000" w:themeColor="text1"/>
                <w:sz w:val="20"/>
              </w:rPr>
            </w:pPr>
            <w:r w:rsidRPr="00047543">
              <w:rPr>
                <w:noProof/>
              </w:rPr>
              <w:t>//</w:t>
            </w:r>
          </w:p>
        </w:tc>
      </w:tr>
      <w:tr w:rsidR="0099465F" w:rsidRPr="00047543" w14:paraId="27290730" w14:textId="77777777" w:rsidTr="00A07358">
        <w:tc>
          <w:tcPr>
            <w:tcW w:w="1637" w:type="dxa"/>
          </w:tcPr>
          <w:p w14:paraId="5966C2AA" w14:textId="77777777" w:rsidR="005C73CE" w:rsidRPr="00047543" w:rsidRDefault="00365D24" w:rsidP="005C73CE">
            <w:pPr>
              <w:rPr>
                <w:rFonts w:ascii="Calibri" w:eastAsia="Calibri" w:hAnsi="Calibri" w:cs="Calibri"/>
                <w:i/>
                <w:iCs/>
                <w:noProof/>
                <w:color w:val="000000" w:themeColor="text1"/>
                <w:sz w:val="20"/>
              </w:rPr>
            </w:pPr>
            <w:r w:rsidRPr="00047543">
              <w:rPr>
                <w:noProof/>
              </w:rPr>
              <w:t>Tillsynsinformation</w:t>
            </w:r>
          </w:p>
        </w:tc>
        <w:tc>
          <w:tcPr>
            <w:tcW w:w="1392" w:type="dxa"/>
          </w:tcPr>
          <w:p w14:paraId="5646DEE7" w14:textId="77777777" w:rsidR="005C73CE" w:rsidRPr="00047543" w:rsidRDefault="005C73CE" w:rsidP="005C73CE">
            <w:pPr>
              <w:rPr>
                <w:rFonts w:ascii="Calibri" w:eastAsia="Calibri" w:hAnsi="Calibri" w:cs="Calibri"/>
                <w:i/>
                <w:iCs/>
                <w:noProof/>
                <w:color w:val="000000" w:themeColor="text1"/>
                <w:sz w:val="20"/>
              </w:rPr>
            </w:pPr>
            <w:r w:rsidRPr="00047543">
              <w:rPr>
                <w:noProof/>
              </w:rPr>
              <w:t>Artikel 65</w:t>
            </w:r>
          </w:p>
        </w:tc>
        <w:tc>
          <w:tcPr>
            <w:tcW w:w="2019" w:type="dxa"/>
          </w:tcPr>
          <w:p w14:paraId="77E23A60" w14:textId="77777777" w:rsidR="005C73CE" w:rsidRPr="00047543" w:rsidRDefault="005C73CE" w:rsidP="005C73CE">
            <w:pPr>
              <w:rPr>
                <w:rFonts w:ascii="Calibri" w:eastAsia="Calibri" w:hAnsi="Calibri" w:cs="Calibri"/>
                <w:i/>
                <w:iCs/>
                <w:noProof/>
                <w:color w:val="000000" w:themeColor="text1"/>
                <w:sz w:val="20"/>
              </w:rPr>
            </w:pPr>
            <w:r w:rsidRPr="00047543">
              <w:rPr>
                <w:noProof/>
              </w:rPr>
              <w:t>Nationella behöriga myndigheter</w:t>
            </w:r>
          </w:p>
        </w:tc>
        <w:tc>
          <w:tcPr>
            <w:tcW w:w="1380" w:type="dxa"/>
          </w:tcPr>
          <w:p w14:paraId="3CE67BBF" w14:textId="77777777" w:rsidR="005C73CE" w:rsidRPr="00047543" w:rsidRDefault="005C73CE" w:rsidP="005C73CE">
            <w:pPr>
              <w:rPr>
                <w:rFonts w:ascii="Calibri" w:eastAsia="Calibri" w:hAnsi="Calibri" w:cs="Calibri"/>
                <w:i/>
                <w:iCs/>
                <w:noProof/>
                <w:color w:val="000000" w:themeColor="text1"/>
                <w:sz w:val="20"/>
              </w:rPr>
            </w:pPr>
            <w:r w:rsidRPr="00047543">
              <w:rPr>
                <w:noProof/>
              </w:rPr>
              <w:t>Eiopa</w:t>
            </w:r>
          </w:p>
        </w:tc>
        <w:tc>
          <w:tcPr>
            <w:tcW w:w="2044" w:type="dxa"/>
            <w:gridSpan w:val="2"/>
          </w:tcPr>
          <w:p w14:paraId="7126266D" w14:textId="77777777" w:rsidR="005C73CE" w:rsidRPr="00047543" w:rsidRDefault="00365D24" w:rsidP="005C73CE">
            <w:pPr>
              <w:rPr>
                <w:rFonts w:ascii="Calibri" w:eastAsia="Calibri" w:hAnsi="Calibri" w:cs="Calibri"/>
                <w:i/>
                <w:iCs/>
                <w:noProof/>
                <w:color w:val="000000" w:themeColor="text1"/>
                <w:sz w:val="20"/>
              </w:rPr>
            </w:pPr>
            <w:r w:rsidRPr="00047543">
              <w:rPr>
                <w:noProof/>
              </w:rPr>
              <w:t>Enligt vad som fastställts av de nationella behöriga myndigheterna/Eiopa</w:t>
            </w:r>
          </w:p>
        </w:tc>
        <w:tc>
          <w:tcPr>
            <w:tcW w:w="850" w:type="dxa"/>
            <w:gridSpan w:val="2"/>
          </w:tcPr>
          <w:p w14:paraId="5F9D0DD8" w14:textId="77777777" w:rsidR="005C73CE" w:rsidRPr="00047543" w:rsidRDefault="005C73CE" w:rsidP="005C73CE">
            <w:pPr>
              <w:rPr>
                <w:rFonts w:ascii="Calibri" w:eastAsia="Calibri" w:hAnsi="Calibri" w:cs="Calibri"/>
                <w:i/>
                <w:iCs/>
                <w:noProof/>
                <w:color w:val="000000" w:themeColor="text1"/>
                <w:sz w:val="20"/>
              </w:rPr>
            </w:pPr>
            <w:r w:rsidRPr="00047543">
              <w:rPr>
                <w:noProof/>
              </w:rPr>
              <w:t>//</w:t>
            </w:r>
          </w:p>
        </w:tc>
      </w:tr>
    </w:tbl>
    <w:p w14:paraId="6C058F9B" w14:textId="77777777" w:rsidR="0040501D" w:rsidRPr="00047543" w:rsidRDefault="00647A9C">
      <w:pPr>
        <w:pStyle w:val="ManualHeading2"/>
        <w:rPr>
          <w:noProof/>
        </w:rPr>
      </w:pPr>
      <w:bookmarkStart w:id="80" w:name="_Toc167220305"/>
      <w:bookmarkStart w:id="81" w:name="_Toc177549039"/>
      <w:r w:rsidRPr="00047543">
        <w:rPr>
          <w:noProof/>
        </w:rPr>
        <w:t>4.3</w:t>
      </w:r>
      <w:r w:rsidRPr="00047543">
        <w:rPr>
          <w:noProof/>
        </w:rPr>
        <w:tab/>
        <w:t>Digitala lösningar</w:t>
      </w:r>
      <w:bookmarkEnd w:id="80"/>
      <w:bookmarkEnd w:id="81"/>
    </w:p>
    <w:p w14:paraId="2C631EFA" w14:textId="77777777" w:rsidR="00817DF5" w:rsidRPr="00047543" w:rsidRDefault="00817DF5" w:rsidP="00B871C4">
      <w:pPr>
        <w:rPr>
          <w:noProof/>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740"/>
        <w:gridCol w:w="1618"/>
        <w:gridCol w:w="983"/>
        <w:gridCol w:w="1235"/>
        <w:gridCol w:w="1218"/>
        <w:gridCol w:w="966"/>
      </w:tblGrid>
      <w:tr w:rsidR="00747FCF" w:rsidRPr="00047543" w14:paraId="794BDDD8" w14:textId="77777777" w:rsidTr="00A07358">
        <w:tc>
          <w:tcPr>
            <w:tcW w:w="1185" w:type="dxa"/>
          </w:tcPr>
          <w:p w14:paraId="71A8256C" w14:textId="77777777" w:rsidR="004848F5" w:rsidRPr="00047543" w:rsidRDefault="004848F5" w:rsidP="00B871C4">
            <w:pPr>
              <w:rPr>
                <w:noProof/>
              </w:rPr>
            </w:pPr>
            <w:r w:rsidRPr="00047543">
              <w:rPr>
                <w:noProof/>
              </w:rPr>
              <w:t>Digital lösning</w:t>
            </w:r>
          </w:p>
        </w:tc>
        <w:tc>
          <w:tcPr>
            <w:tcW w:w="1262" w:type="dxa"/>
          </w:tcPr>
          <w:p w14:paraId="5AB0A0CF" w14:textId="77777777" w:rsidR="004848F5" w:rsidRPr="00047543" w:rsidRDefault="004848F5" w:rsidP="00B871C4">
            <w:pPr>
              <w:rPr>
                <w:noProof/>
              </w:rPr>
            </w:pPr>
            <w:r w:rsidRPr="00047543">
              <w:rPr>
                <w:noProof/>
              </w:rPr>
              <w:t>Hänvisning/hänvisningar till kravet/kraven</w:t>
            </w:r>
          </w:p>
        </w:tc>
        <w:tc>
          <w:tcPr>
            <w:tcW w:w="1336" w:type="dxa"/>
          </w:tcPr>
          <w:p w14:paraId="451619B6" w14:textId="77777777" w:rsidR="004848F5" w:rsidRPr="00047543" w:rsidRDefault="004848F5" w:rsidP="00B871C4">
            <w:pPr>
              <w:rPr>
                <w:noProof/>
              </w:rPr>
            </w:pPr>
            <w:r w:rsidRPr="00047543">
              <w:rPr>
                <w:noProof/>
              </w:rPr>
              <w:t>Huvudsakliga föreskrivna funktioner</w:t>
            </w:r>
          </w:p>
        </w:tc>
        <w:tc>
          <w:tcPr>
            <w:tcW w:w="1638" w:type="dxa"/>
          </w:tcPr>
          <w:p w14:paraId="7BE54643" w14:textId="77777777" w:rsidR="004848F5" w:rsidRPr="00047543" w:rsidRDefault="004848F5" w:rsidP="00B871C4">
            <w:pPr>
              <w:rPr>
                <w:noProof/>
              </w:rPr>
            </w:pPr>
            <w:r w:rsidRPr="00047543">
              <w:rPr>
                <w:noProof/>
              </w:rPr>
              <w:t>Ansvarigt organ</w:t>
            </w:r>
          </w:p>
        </w:tc>
        <w:tc>
          <w:tcPr>
            <w:tcW w:w="1115" w:type="dxa"/>
          </w:tcPr>
          <w:p w14:paraId="25C56ECE" w14:textId="77777777" w:rsidR="004848F5" w:rsidRPr="00047543" w:rsidRDefault="004848F5" w:rsidP="00B871C4">
            <w:pPr>
              <w:rPr>
                <w:noProof/>
              </w:rPr>
            </w:pPr>
            <w:r w:rsidRPr="00047543">
              <w:rPr>
                <w:noProof/>
              </w:rPr>
              <w:t>Hur tillgodoses tillgängligheten?</w:t>
            </w:r>
          </w:p>
        </w:tc>
        <w:tc>
          <w:tcPr>
            <w:tcW w:w="1638" w:type="dxa"/>
          </w:tcPr>
          <w:p w14:paraId="22388F0F" w14:textId="77777777" w:rsidR="004848F5" w:rsidRPr="00047543" w:rsidRDefault="004848F5" w:rsidP="00B871C4">
            <w:pPr>
              <w:rPr>
                <w:noProof/>
              </w:rPr>
            </w:pPr>
            <w:r w:rsidRPr="00047543">
              <w:rPr>
                <w:noProof/>
              </w:rPr>
              <w:t>Hur övervägs möjligheten till återanvändning?</w:t>
            </w:r>
          </w:p>
        </w:tc>
        <w:tc>
          <w:tcPr>
            <w:tcW w:w="1115" w:type="dxa"/>
          </w:tcPr>
          <w:p w14:paraId="6ED4EB18" w14:textId="77777777" w:rsidR="004848F5" w:rsidRPr="00047543" w:rsidRDefault="004848F5" w:rsidP="00B871C4">
            <w:pPr>
              <w:rPr>
                <w:noProof/>
              </w:rPr>
            </w:pPr>
            <w:r w:rsidRPr="00047543">
              <w:rPr>
                <w:noProof/>
              </w:rPr>
              <w:t>Användning av AI-teknik (i tillämpliga fall)</w:t>
            </w:r>
          </w:p>
        </w:tc>
      </w:tr>
      <w:tr w:rsidR="00747FCF" w:rsidRPr="00047543" w14:paraId="054F1E31" w14:textId="77777777" w:rsidTr="00A07358">
        <w:tc>
          <w:tcPr>
            <w:tcW w:w="1185" w:type="dxa"/>
          </w:tcPr>
          <w:p w14:paraId="6E8A977C" w14:textId="77777777" w:rsidR="00817DF5" w:rsidRPr="00047543" w:rsidRDefault="000336DC" w:rsidP="00B871C4">
            <w:pPr>
              <w:rPr>
                <w:noProof/>
              </w:rPr>
            </w:pPr>
            <w:r w:rsidRPr="00047543">
              <w:rPr>
                <w:noProof/>
              </w:rPr>
              <w:t>Centralt offentligt register</w:t>
            </w:r>
          </w:p>
        </w:tc>
        <w:tc>
          <w:tcPr>
            <w:tcW w:w="1262" w:type="dxa"/>
          </w:tcPr>
          <w:p w14:paraId="55E25F2A" w14:textId="77777777" w:rsidR="00817DF5" w:rsidRPr="00047543" w:rsidRDefault="000336DC" w:rsidP="00B871C4">
            <w:pPr>
              <w:rPr>
                <w:noProof/>
              </w:rPr>
            </w:pPr>
            <w:r w:rsidRPr="00047543">
              <w:rPr>
                <w:noProof/>
              </w:rPr>
              <w:t>Artikel 6. Artikel 13</w:t>
            </w:r>
          </w:p>
        </w:tc>
        <w:tc>
          <w:tcPr>
            <w:tcW w:w="1336" w:type="dxa"/>
          </w:tcPr>
          <w:p w14:paraId="6869B67B" w14:textId="77777777" w:rsidR="00817DF5" w:rsidRPr="00047543" w:rsidRDefault="000336DC" w:rsidP="00B871C4">
            <w:pPr>
              <w:rPr>
                <w:noProof/>
              </w:rPr>
            </w:pPr>
            <w:r w:rsidRPr="00047543">
              <w:rPr>
                <w:noProof/>
              </w:rPr>
              <w:t>Registreringsuppgifter, kostnader, resultat och riskindikatorer som ska införlivas i det centrala offentliga register som förs av Eiopa – redan befintliga</w:t>
            </w:r>
          </w:p>
        </w:tc>
        <w:tc>
          <w:tcPr>
            <w:tcW w:w="1638" w:type="dxa"/>
          </w:tcPr>
          <w:p w14:paraId="3A8A7FED" w14:textId="77777777" w:rsidR="00817DF5" w:rsidRPr="00047543" w:rsidRDefault="000336DC" w:rsidP="00B871C4">
            <w:pPr>
              <w:rPr>
                <w:noProof/>
              </w:rPr>
            </w:pPr>
            <w:r w:rsidRPr="00047543">
              <w:rPr>
                <w:noProof/>
              </w:rPr>
              <w:t>Eiopa</w:t>
            </w:r>
          </w:p>
        </w:tc>
        <w:tc>
          <w:tcPr>
            <w:tcW w:w="1115" w:type="dxa"/>
          </w:tcPr>
          <w:p w14:paraId="6E5A6882" w14:textId="77777777" w:rsidR="00817DF5" w:rsidRPr="00047543" w:rsidRDefault="00D940BB" w:rsidP="00B871C4">
            <w:pPr>
              <w:rPr>
                <w:noProof/>
              </w:rPr>
            </w:pPr>
            <w:r w:rsidRPr="00047543">
              <w:rPr>
                <w:noProof/>
              </w:rPr>
              <w:t>Allmänt tillgängliga</w:t>
            </w:r>
          </w:p>
        </w:tc>
        <w:tc>
          <w:tcPr>
            <w:tcW w:w="1638" w:type="dxa"/>
          </w:tcPr>
          <w:p w14:paraId="1D683306" w14:textId="77777777" w:rsidR="00817DF5" w:rsidRPr="00047543" w:rsidRDefault="00FB5566" w:rsidP="00B871C4">
            <w:pPr>
              <w:rPr>
                <w:noProof/>
              </w:rPr>
            </w:pPr>
            <w:r w:rsidRPr="00047543">
              <w:rPr>
                <w:noProof/>
              </w:rPr>
              <w:t>Ska fastställas av Eiopa</w:t>
            </w:r>
          </w:p>
        </w:tc>
        <w:tc>
          <w:tcPr>
            <w:tcW w:w="1115" w:type="dxa"/>
          </w:tcPr>
          <w:p w14:paraId="417A20F5" w14:textId="77777777" w:rsidR="00817DF5" w:rsidRPr="00047543" w:rsidRDefault="00A158DF" w:rsidP="00B871C4">
            <w:pPr>
              <w:rPr>
                <w:noProof/>
              </w:rPr>
            </w:pPr>
            <w:r w:rsidRPr="00047543">
              <w:rPr>
                <w:noProof/>
              </w:rPr>
              <w:t>//</w:t>
            </w:r>
          </w:p>
        </w:tc>
      </w:tr>
      <w:tr w:rsidR="00747FCF" w:rsidRPr="00047543" w14:paraId="09BDF6B6" w14:textId="77777777" w:rsidTr="00A07358">
        <w:tc>
          <w:tcPr>
            <w:tcW w:w="1185" w:type="dxa"/>
          </w:tcPr>
          <w:p w14:paraId="4A893A81" w14:textId="77777777" w:rsidR="0010119A" w:rsidRPr="00047543" w:rsidRDefault="00132CE8" w:rsidP="00B871C4">
            <w:pPr>
              <w:rPr>
                <w:noProof/>
              </w:rPr>
            </w:pPr>
            <w:r w:rsidRPr="00047543">
              <w:rPr>
                <w:noProof/>
              </w:rPr>
              <w:t>Uppdatering av befintliga system för insamling av pensionsuppgifter</w:t>
            </w:r>
          </w:p>
        </w:tc>
        <w:tc>
          <w:tcPr>
            <w:tcW w:w="1262" w:type="dxa"/>
          </w:tcPr>
          <w:p w14:paraId="0D964EB8" w14:textId="77777777" w:rsidR="0010119A" w:rsidRPr="00047543" w:rsidRDefault="00132CE8" w:rsidP="00B871C4">
            <w:pPr>
              <w:rPr>
                <w:noProof/>
              </w:rPr>
            </w:pPr>
            <w:r w:rsidRPr="00047543">
              <w:rPr>
                <w:noProof/>
              </w:rPr>
              <w:t>Artikel 51a</w:t>
            </w:r>
          </w:p>
        </w:tc>
        <w:tc>
          <w:tcPr>
            <w:tcW w:w="1336" w:type="dxa"/>
          </w:tcPr>
          <w:p w14:paraId="5A5692E1" w14:textId="77777777" w:rsidR="0010119A" w:rsidRPr="00047543" w:rsidRDefault="0010119A" w:rsidP="00B871C4">
            <w:pPr>
              <w:rPr>
                <w:noProof/>
              </w:rPr>
            </w:pPr>
            <w:r w:rsidRPr="00047543">
              <w:rPr>
                <w:noProof/>
              </w:rPr>
              <w:t>PEPP-sparinstitut och PEPP-distributörer skulle, i ett standardiserat och interoperabelt format, till system för insamling av pensionsuppgifter kunna överföra all information som är nödvändig för att ge kunderna en heltäckande, tillförlitlig och aktuell översikt över sina rätter.</w:t>
            </w:r>
          </w:p>
        </w:tc>
        <w:tc>
          <w:tcPr>
            <w:tcW w:w="1638" w:type="dxa"/>
          </w:tcPr>
          <w:p w14:paraId="464D97C2" w14:textId="77777777" w:rsidR="0010119A" w:rsidRPr="00047543" w:rsidRDefault="00D940BB" w:rsidP="00B871C4">
            <w:pPr>
              <w:rPr>
                <w:noProof/>
              </w:rPr>
            </w:pPr>
            <w:r w:rsidRPr="00047543">
              <w:rPr>
                <w:noProof/>
              </w:rPr>
              <w:t>Nationella behöriga myndigheter</w:t>
            </w:r>
          </w:p>
        </w:tc>
        <w:tc>
          <w:tcPr>
            <w:tcW w:w="1115" w:type="dxa"/>
          </w:tcPr>
          <w:p w14:paraId="29C3B509" w14:textId="77777777" w:rsidR="0010119A" w:rsidRPr="00047543" w:rsidRDefault="00FB5566" w:rsidP="00B871C4">
            <w:pPr>
              <w:rPr>
                <w:noProof/>
              </w:rPr>
            </w:pPr>
            <w:r w:rsidRPr="00047543">
              <w:rPr>
                <w:noProof/>
              </w:rPr>
              <w:t>Ska fastställas av nationella behöriga myndigheter</w:t>
            </w:r>
          </w:p>
        </w:tc>
        <w:tc>
          <w:tcPr>
            <w:tcW w:w="1638" w:type="dxa"/>
          </w:tcPr>
          <w:p w14:paraId="5404DFA7" w14:textId="77777777" w:rsidR="0010119A" w:rsidRPr="00047543" w:rsidRDefault="00FB5566" w:rsidP="00B871C4">
            <w:pPr>
              <w:rPr>
                <w:noProof/>
              </w:rPr>
            </w:pPr>
            <w:r w:rsidRPr="00047543">
              <w:rPr>
                <w:noProof/>
              </w:rPr>
              <w:t>Ska fastställas av nationella behöriga myndigheter</w:t>
            </w:r>
          </w:p>
        </w:tc>
        <w:tc>
          <w:tcPr>
            <w:tcW w:w="1115" w:type="dxa"/>
          </w:tcPr>
          <w:p w14:paraId="5A04EB26" w14:textId="77777777" w:rsidR="0010119A" w:rsidRPr="00047543" w:rsidRDefault="00132CE8" w:rsidP="00B871C4">
            <w:pPr>
              <w:rPr>
                <w:noProof/>
              </w:rPr>
            </w:pPr>
            <w:r w:rsidRPr="00047543">
              <w:rPr>
                <w:noProof/>
              </w:rPr>
              <w:t>//</w:t>
            </w:r>
          </w:p>
        </w:tc>
      </w:tr>
      <w:tr w:rsidR="00747FCF" w:rsidRPr="00047543" w14:paraId="2D4013A5" w14:textId="77777777" w:rsidTr="00A07358">
        <w:tc>
          <w:tcPr>
            <w:tcW w:w="1185" w:type="dxa"/>
          </w:tcPr>
          <w:p w14:paraId="57AE58CA" w14:textId="77777777" w:rsidR="0010119A" w:rsidRPr="00047543" w:rsidRDefault="00132CE8" w:rsidP="00B871C4">
            <w:pPr>
              <w:rPr>
                <w:noProof/>
              </w:rPr>
            </w:pPr>
            <w:r w:rsidRPr="00047543">
              <w:rPr>
                <w:noProof/>
              </w:rPr>
              <w:t>Samarbetsplattformar</w:t>
            </w:r>
          </w:p>
        </w:tc>
        <w:tc>
          <w:tcPr>
            <w:tcW w:w="1262" w:type="dxa"/>
          </w:tcPr>
          <w:p w14:paraId="569131D2" w14:textId="77777777" w:rsidR="0010119A" w:rsidRPr="00047543" w:rsidRDefault="00132CE8" w:rsidP="00B871C4">
            <w:pPr>
              <w:rPr>
                <w:noProof/>
              </w:rPr>
            </w:pPr>
            <w:r w:rsidRPr="00047543">
              <w:rPr>
                <w:noProof/>
              </w:rPr>
              <w:t>Artikel 65</w:t>
            </w:r>
          </w:p>
        </w:tc>
        <w:tc>
          <w:tcPr>
            <w:tcW w:w="1336" w:type="dxa"/>
          </w:tcPr>
          <w:p w14:paraId="1B312979" w14:textId="77777777" w:rsidR="0010119A" w:rsidRPr="00047543" w:rsidRDefault="0010119A" w:rsidP="00B871C4">
            <w:pPr>
              <w:rPr>
                <w:noProof/>
              </w:rPr>
            </w:pPr>
            <w:r w:rsidRPr="00047543">
              <w:rPr>
                <w:noProof/>
              </w:rPr>
              <w:t>Eiopa kan på vissa villkor inrätta samarbetsplattformar för att stärka informationsutbytet och förbättra samarbetet mellan relevanta behöriga myndigheter – liknande den samarbetsplattform som inrättats i direktiv (EU) 2016/2341.</w:t>
            </w:r>
          </w:p>
        </w:tc>
        <w:tc>
          <w:tcPr>
            <w:tcW w:w="1638" w:type="dxa"/>
          </w:tcPr>
          <w:p w14:paraId="4810B4D0" w14:textId="77777777" w:rsidR="0010119A" w:rsidRPr="00047543" w:rsidRDefault="00132CE8" w:rsidP="00B871C4">
            <w:pPr>
              <w:rPr>
                <w:noProof/>
              </w:rPr>
            </w:pPr>
            <w:r w:rsidRPr="00047543">
              <w:rPr>
                <w:noProof/>
              </w:rPr>
              <w:t>Eiopa</w:t>
            </w:r>
          </w:p>
        </w:tc>
        <w:tc>
          <w:tcPr>
            <w:tcW w:w="1115" w:type="dxa"/>
          </w:tcPr>
          <w:p w14:paraId="43F56FB2" w14:textId="77777777" w:rsidR="0010119A" w:rsidRPr="00047543" w:rsidRDefault="00FB5566" w:rsidP="00B871C4">
            <w:pPr>
              <w:rPr>
                <w:noProof/>
              </w:rPr>
            </w:pPr>
            <w:r w:rsidRPr="00047543">
              <w:rPr>
                <w:noProof/>
              </w:rPr>
              <w:t>Ska fastställas av Eiopa</w:t>
            </w:r>
          </w:p>
        </w:tc>
        <w:tc>
          <w:tcPr>
            <w:tcW w:w="1638" w:type="dxa"/>
          </w:tcPr>
          <w:p w14:paraId="39CADB3A" w14:textId="77777777" w:rsidR="0010119A" w:rsidRPr="00047543" w:rsidRDefault="00FB5566" w:rsidP="00B871C4">
            <w:pPr>
              <w:rPr>
                <w:noProof/>
              </w:rPr>
            </w:pPr>
            <w:r w:rsidRPr="00047543">
              <w:rPr>
                <w:noProof/>
              </w:rPr>
              <w:t>Ska fastställas av Eiopa</w:t>
            </w:r>
          </w:p>
        </w:tc>
        <w:tc>
          <w:tcPr>
            <w:tcW w:w="1115" w:type="dxa"/>
          </w:tcPr>
          <w:p w14:paraId="36491890" w14:textId="77777777" w:rsidR="0010119A" w:rsidRPr="00047543" w:rsidRDefault="00132CE8" w:rsidP="00B871C4">
            <w:pPr>
              <w:rPr>
                <w:noProof/>
              </w:rPr>
            </w:pPr>
            <w:r w:rsidRPr="00047543">
              <w:rPr>
                <w:noProof/>
              </w:rPr>
              <w:t>//</w:t>
            </w:r>
          </w:p>
        </w:tc>
      </w:tr>
    </w:tbl>
    <w:p w14:paraId="0E3E77C9" w14:textId="77777777" w:rsidR="00817DF5" w:rsidRPr="00047543" w:rsidRDefault="00817DF5" w:rsidP="00817DF5">
      <w:pPr>
        <w:rPr>
          <w:noProof/>
        </w:rPr>
      </w:pPr>
    </w:p>
    <w:p w14:paraId="0D862181" w14:textId="77777777" w:rsidR="00FB5566" w:rsidRPr="00047543" w:rsidRDefault="00FB5566" w:rsidP="00817DF5">
      <w:pPr>
        <w:rPr>
          <w:noProof/>
        </w:rPr>
      </w:pPr>
      <w:r w:rsidRPr="00047543">
        <w:rPr>
          <w:noProof/>
        </w:rPr>
        <w:t>Centralt offentligt register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63F9C" w:rsidRPr="00047543" w14:paraId="589B5D38" w14:textId="77777777" w:rsidTr="00B871C4">
        <w:tc>
          <w:tcPr>
            <w:tcW w:w="4644" w:type="dxa"/>
          </w:tcPr>
          <w:p w14:paraId="6DC01047" w14:textId="77777777" w:rsidR="00363F9C" w:rsidRPr="00047543" w:rsidRDefault="00363F9C" w:rsidP="00740FA9">
            <w:pPr>
              <w:rPr>
                <w:noProof/>
              </w:rPr>
            </w:pPr>
            <w:r w:rsidRPr="00047543">
              <w:rPr>
                <w:noProof/>
              </w:rPr>
              <w:t>Digital och/eller sektoriell politik (i tillämpliga fall)</w:t>
            </w:r>
          </w:p>
        </w:tc>
        <w:tc>
          <w:tcPr>
            <w:tcW w:w="4645" w:type="dxa"/>
          </w:tcPr>
          <w:p w14:paraId="7C3D5964" w14:textId="77777777" w:rsidR="00363F9C" w:rsidRPr="00047543" w:rsidRDefault="00363F9C" w:rsidP="00740FA9">
            <w:pPr>
              <w:rPr>
                <w:noProof/>
              </w:rPr>
            </w:pPr>
            <w:r w:rsidRPr="00047543">
              <w:rPr>
                <w:noProof/>
              </w:rPr>
              <w:t>Beskrivning av överensstämmelse</w:t>
            </w:r>
          </w:p>
        </w:tc>
      </w:tr>
      <w:tr w:rsidR="00363F9C" w:rsidRPr="00047543" w14:paraId="6CC75CC7" w14:textId="77777777" w:rsidTr="00B871C4">
        <w:tc>
          <w:tcPr>
            <w:tcW w:w="4644" w:type="dxa"/>
          </w:tcPr>
          <w:p w14:paraId="5B540BFA" w14:textId="77777777" w:rsidR="00363F9C" w:rsidRPr="00047543" w:rsidRDefault="00363F9C" w:rsidP="00740FA9">
            <w:pPr>
              <w:rPr>
                <w:noProof/>
              </w:rPr>
            </w:pPr>
            <w:r w:rsidRPr="00047543">
              <w:rPr>
                <w:noProof/>
              </w:rPr>
              <w:t>Förordningen om artificiell intelligens</w:t>
            </w:r>
          </w:p>
        </w:tc>
        <w:tc>
          <w:tcPr>
            <w:tcW w:w="4645" w:type="dxa"/>
          </w:tcPr>
          <w:p w14:paraId="425C5F78" w14:textId="77777777" w:rsidR="00363F9C" w:rsidRPr="00047543" w:rsidRDefault="00363F9C" w:rsidP="00740FA9">
            <w:pPr>
              <w:rPr>
                <w:noProof/>
              </w:rPr>
            </w:pPr>
            <w:r w:rsidRPr="00047543">
              <w:rPr>
                <w:noProof/>
              </w:rPr>
              <w:t>Ej tillämpligt</w:t>
            </w:r>
          </w:p>
        </w:tc>
      </w:tr>
      <w:tr w:rsidR="00363F9C" w:rsidRPr="00047543" w14:paraId="5178F5B8" w14:textId="77777777" w:rsidTr="00B871C4">
        <w:tc>
          <w:tcPr>
            <w:tcW w:w="4644" w:type="dxa"/>
          </w:tcPr>
          <w:p w14:paraId="373F247F" w14:textId="77777777" w:rsidR="00363F9C" w:rsidRPr="00047543" w:rsidRDefault="00363F9C" w:rsidP="00740FA9">
            <w:pPr>
              <w:rPr>
                <w:noProof/>
              </w:rPr>
            </w:pPr>
            <w:r w:rsidRPr="00047543">
              <w:rPr>
                <w:noProof/>
              </w:rPr>
              <w:t>EU:s cybersäkerhetsram</w:t>
            </w:r>
          </w:p>
        </w:tc>
        <w:tc>
          <w:tcPr>
            <w:tcW w:w="4645" w:type="dxa"/>
          </w:tcPr>
          <w:p w14:paraId="0C67ECB0" w14:textId="77777777" w:rsidR="00363F9C" w:rsidRPr="00047543" w:rsidRDefault="00363F9C" w:rsidP="00363F9C">
            <w:pPr>
              <w:rPr>
                <w:noProof/>
              </w:rPr>
            </w:pPr>
            <w:r w:rsidRPr="00047543">
              <w:rPr>
                <w:noProof/>
              </w:rPr>
              <w:t xml:space="preserve">Utan att det påverkar förordning (EU) 2016/679 ska medlemsstaterna säkerställa säkerheten, integriteten, äktheten och konfidentialiteten med avseende på de uppgifter som samlas in och lagras vid tillämpningen av denna förordning. </w:t>
            </w:r>
          </w:p>
          <w:p w14:paraId="09EFD988" w14:textId="77777777" w:rsidR="00363F9C" w:rsidRPr="00047543" w:rsidRDefault="00363F9C" w:rsidP="00740FA9">
            <w:pPr>
              <w:rPr>
                <w:noProof/>
              </w:rPr>
            </w:pPr>
            <w:r w:rsidRPr="00047543">
              <w:rPr>
                <w:noProof/>
              </w:rPr>
              <w:t>Ska beskrivas närmare av Eiopa</w:t>
            </w:r>
          </w:p>
        </w:tc>
      </w:tr>
      <w:tr w:rsidR="00363F9C" w:rsidRPr="00047543" w14:paraId="4AA1DD0D" w14:textId="77777777" w:rsidTr="00B871C4">
        <w:tc>
          <w:tcPr>
            <w:tcW w:w="4644" w:type="dxa"/>
          </w:tcPr>
          <w:p w14:paraId="28778057" w14:textId="77777777" w:rsidR="00363F9C" w:rsidRPr="00047543" w:rsidRDefault="00363F9C" w:rsidP="00740FA9">
            <w:pPr>
              <w:rPr>
                <w:noProof/>
              </w:rPr>
            </w:pPr>
            <w:r w:rsidRPr="00047543">
              <w:rPr>
                <w:noProof/>
              </w:rPr>
              <w:t>eIDA</w:t>
            </w:r>
          </w:p>
        </w:tc>
        <w:tc>
          <w:tcPr>
            <w:tcW w:w="4645" w:type="dxa"/>
          </w:tcPr>
          <w:p w14:paraId="0B83640C" w14:textId="77777777" w:rsidR="00363F9C" w:rsidRPr="00047543" w:rsidRDefault="00363F9C" w:rsidP="00740FA9">
            <w:pPr>
              <w:rPr>
                <w:noProof/>
              </w:rPr>
            </w:pPr>
            <w:r w:rsidRPr="00047543">
              <w:rPr>
                <w:noProof/>
              </w:rPr>
              <w:t>Ska beskrivas närmare av Eiopa</w:t>
            </w:r>
          </w:p>
        </w:tc>
      </w:tr>
      <w:tr w:rsidR="00363F9C" w:rsidRPr="00047543" w14:paraId="6FE217B8" w14:textId="77777777" w:rsidTr="00B871C4">
        <w:tc>
          <w:tcPr>
            <w:tcW w:w="4644" w:type="dxa"/>
          </w:tcPr>
          <w:p w14:paraId="3EAA1A82" w14:textId="77777777" w:rsidR="00363F9C" w:rsidRPr="00047543" w:rsidRDefault="00363F9C" w:rsidP="00740FA9">
            <w:pPr>
              <w:rPr>
                <w:noProof/>
              </w:rPr>
            </w:pPr>
            <w:r w:rsidRPr="00047543">
              <w:rPr>
                <w:noProof/>
              </w:rPr>
              <w:t>Övriga</w:t>
            </w:r>
          </w:p>
        </w:tc>
        <w:tc>
          <w:tcPr>
            <w:tcW w:w="4645" w:type="dxa"/>
          </w:tcPr>
          <w:p w14:paraId="1EC7BE74" w14:textId="77777777" w:rsidR="00363F9C" w:rsidRPr="00047543" w:rsidRDefault="00363F9C" w:rsidP="00740FA9">
            <w:pPr>
              <w:rPr>
                <w:noProof/>
              </w:rPr>
            </w:pPr>
            <w:r w:rsidRPr="00047543">
              <w:rPr>
                <w:noProof/>
              </w:rPr>
              <w:t>//</w:t>
            </w:r>
          </w:p>
        </w:tc>
      </w:tr>
    </w:tbl>
    <w:p w14:paraId="4FB4D4CB" w14:textId="77777777" w:rsidR="00FB5566" w:rsidRPr="00047543" w:rsidRDefault="00FB5566" w:rsidP="00817DF5">
      <w:pPr>
        <w:rPr>
          <w:noProof/>
        </w:rPr>
      </w:pPr>
    </w:p>
    <w:p w14:paraId="67545FC3" w14:textId="77777777" w:rsidR="00FB5566" w:rsidRPr="00047543" w:rsidRDefault="00FB5566" w:rsidP="00817DF5">
      <w:pPr>
        <w:rPr>
          <w:noProof/>
        </w:rPr>
      </w:pPr>
    </w:p>
    <w:p w14:paraId="2AEAAAE3" w14:textId="77777777" w:rsidR="00FB5566" w:rsidRPr="00047543" w:rsidRDefault="00FB5566" w:rsidP="00817DF5">
      <w:pPr>
        <w:rPr>
          <w:noProof/>
        </w:rPr>
      </w:pPr>
      <w:r w:rsidRPr="00047543">
        <w:rPr>
          <w:noProof/>
        </w:rPr>
        <w:t>System för insamling av pensionsuppgifter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63F9C" w:rsidRPr="00047543" w14:paraId="1D78C162" w14:textId="77777777">
        <w:tc>
          <w:tcPr>
            <w:tcW w:w="4644" w:type="dxa"/>
          </w:tcPr>
          <w:p w14:paraId="07AA814A" w14:textId="77777777" w:rsidR="00363F9C" w:rsidRPr="00047543" w:rsidRDefault="00363F9C">
            <w:pPr>
              <w:rPr>
                <w:noProof/>
              </w:rPr>
            </w:pPr>
            <w:r w:rsidRPr="00047543">
              <w:rPr>
                <w:noProof/>
              </w:rPr>
              <w:t>Digital och/eller sektoriell politik (i tillämpliga fall)</w:t>
            </w:r>
          </w:p>
        </w:tc>
        <w:tc>
          <w:tcPr>
            <w:tcW w:w="4645" w:type="dxa"/>
          </w:tcPr>
          <w:p w14:paraId="332E978D" w14:textId="77777777" w:rsidR="00363F9C" w:rsidRPr="00047543" w:rsidRDefault="00363F9C">
            <w:pPr>
              <w:rPr>
                <w:noProof/>
              </w:rPr>
            </w:pPr>
            <w:r w:rsidRPr="00047543">
              <w:rPr>
                <w:noProof/>
              </w:rPr>
              <w:t>Beskrivning av överensstämmelse</w:t>
            </w:r>
          </w:p>
        </w:tc>
      </w:tr>
      <w:tr w:rsidR="00363F9C" w:rsidRPr="00047543" w14:paraId="71AF71F2" w14:textId="77777777">
        <w:tc>
          <w:tcPr>
            <w:tcW w:w="4644" w:type="dxa"/>
          </w:tcPr>
          <w:p w14:paraId="3C9F992E" w14:textId="77777777" w:rsidR="00363F9C" w:rsidRPr="00047543" w:rsidRDefault="00363F9C">
            <w:pPr>
              <w:rPr>
                <w:noProof/>
              </w:rPr>
            </w:pPr>
            <w:r w:rsidRPr="00047543">
              <w:rPr>
                <w:noProof/>
              </w:rPr>
              <w:t>Förordningen om artificiell intelligens</w:t>
            </w:r>
          </w:p>
        </w:tc>
        <w:tc>
          <w:tcPr>
            <w:tcW w:w="4645" w:type="dxa"/>
          </w:tcPr>
          <w:p w14:paraId="51C4459D" w14:textId="77777777" w:rsidR="00363F9C" w:rsidRPr="00047543" w:rsidRDefault="00363F9C">
            <w:pPr>
              <w:rPr>
                <w:noProof/>
              </w:rPr>
            </w:pPr>
            <w:r w:rsidRPr="00047543">
              <w:rPr>
                <w:noProof/>
              </w:rPr>
              <w:t>Ej tillämpligt</w:t>
            </w:r>
          </w:p>
        </w:tc>
      </w:tr>
      <w:tr w:rsidR="00363F9C" w:rsidRPr="00047543" w14:paraId="284B87B4" w14:textId="77777777">
        <w:tc>
          <w:tcPr>
            <w:tcW w:w="4644" w:type="dxa"/>
          </w:tcPr>
          <w:p w14:paraId="72B34FEA" w14:textId="77777777" w:rsidR="00363F9C" w:rsidRPr="00047543" w:rsidRDefault="00363F9C">
            <w:pPr>
              <w:rPr>
                <w:noProof/>
              </w:rPr>
            </w:pPr>
            <w:r w:rsidRPr="00047543">
              <w:rPr>
                <w:noProof/>
              </w:rPr>
              <w:t>EU:s cybersäkerhetsram</w:t>
            </w:r>
          </w:p>
        </w:tc>
        <w:tc>
          <w:tcPr>
            <w:tcW w:w="4645" w:type="dxa"/>
          </w:tcPr>
          <w:p w14:paraId="640DBFB6" w14:textId="77777777" w:rsidR="00363F9C" w:rsidRPr="00047543" w:rsidRDefault="00363F9C">
            <w:pPr>
              <w:rPr>
                <w:noProof/>
              </w:rPr>
            </w:pPr>
            <w:r w:rsidRPr="00047543">
              <w:rPr>
                <w:noProof/>
              </w:rPr>
              <w:t xml:space="preserve">Utan att det påverkar förordning (EU) 2016/679 ska medlemsstaterna säkerställa säkerheten, integriteten, äktheten och konfidentialiteten med avseende på de uppgifter som samlas in och lagras vid tillämpningen av denna förordning. </w:t>
            </w:r>
          </w:p>
          <w:p w14:paraId="7E80A51F" w14:textId="77777777" w:rsidR="00363F9C" w:rsidRPr="00047543" w:rsidRDefault="00363F9C">
            <w:pPr>
              <w:rPr>
                <w:noProof/>
              </w:rPr>
            </w:pPr>
            <w:r w:rsidRPr="00047543">
              <w:rPr>
                <w:noProof/>
              </w:rPr>
              <w:t>Ska beskrivas närmare av nationella behöriga myndigheter</w:t>
            </w:r>
          </w:p>
        </w:tc>
      </w:tr>
      <w:tr w:rsidR="00363F9C" w:rsidRPr="00047543" w14:paraId="181C3FEA" w14:textId="77777777">
        <w:tc>
          <w:tcPr>
            <w:tcW w:w="4644" w:type="dxa"/>
          </w:tcPr>
          <w:p w14:paraId="74A1DE87" w14:textId="77777777" w:rsidR="00363F9C" w:rsidRPr="00047543" w:rsidRDefault="00363F9C">
            <w:pPr>
              <w:rPr>
                <w:noProof/>
              </w:rPr>
            </w:pPr>
            <w:r w:rsidRPr="00047543">
              <w:rPr>
                <w:noProof/>
              </w:rPr>
              <w:t>eIDA</w:t>
            </w:r>
          </w:p>
        </w:tc>
        <w:tc>
          <w:tcPr>
            <w:tcW w:w="4645" w:type="dxa"/>
          </w:tcPr>
          <w:p w14:paraId="00E2CE98" w14:textId="77777777" w:rsidR="00363F9C" w:rsidRPr="00047543" w:rsidRDefault="00363F9C">
            <w:pPr>
              <w:rPr>
                <w:noProof/>
              </w:rPr>
            </w:pPr>
            <w:r w:rsidRPr="00047543">
              <w:rPr>
                <w:noProof/>
              </w:rPr>
              <w:t>//</w:t>
            </w:r>
          </w:p>
        </w:tc>
      </w:tr>
      <w:tr w:rsidR="00363F9C" w:rsidRPr="00047543" w14:paraId="676EEDCE" w14:textId="77777777">
        <w:tc>
          <w:tcPr>
            <w:tcW w:w="4644" w:type="dxa"/>
          </w:tcPr>
          <w:p w14:paraId="0ECCAB4F" w14:textId="77777777" w:rsidR="00363F9C" w:rsidRPr="00047543" w:rsidRDefault="00363F9C">
            <w:pPr>
              <w:rPr>
                <w:noProof/>
              </w:rPr>
            </w:pPr>
            <w:r w:rsidRPr="00047543">
              <w:rPr>
                <w:noProof/>
              </w:rPr>
              <w:t>Övriga</w:t>
            </w:r>
          </w:p>
        </w:tc>
        <w:tc>
          <w:tcPr>
            <w:tcW w:w="4645" w:type="dxa"/>
          </w:tcPr>
          <w:p w14:paraId="5CD4B6A0" w14:textId="77777777" w:rsidR="00363F9C" w:rsidRPr="00047543" w:rsidRDefault="00363F9C">
            <w:pPr>
              <w:rPr>
                <w:noProof/>
              </w:rPr>
            </w:pPr>
            <w:r w:rsidRPr="00047543">
              <w:rPr>
                <w:noProof/>
              </w:rPr>
              <w:t>//</w:t>
            </w:r>
          </w:p>
        </w:tc>
      </w:tr>
    </w:tbl>
    <w:p w14:paraId="25A5D98B" w14:textId="77777777" w:rsidR="00FB5566" w:rsidRPr="00047543" w:rsidRDefault="00FB5566" w:rsidP="00817DF5">
      <w:pPr>
        <w:rPr>
          <w:noProof/>
        </w:rPr>
      </w:pPr>
    </w:p>
    <w:p w14:paraId="37BB3D0E" w14:textId="77777777" w:rsidR="00FB5566" w:rsidRPr="00047543" w:rsidRDefault="00FB5566" w:rsidP="00B871C4">
      <w:pPr>
        <w:rPr>
          <w:noProof/>
        </w:rPr>
      </w:pPr>
      <w:r w:rsidRPr="00047543">
        <w:rPr>
          <w:noProof/>
        </w:rPr>
        <w:t>Samarbetsplattformar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363F9C" w:rsidRPr="00047543" w14:paraId="5A403674" w14:textId="77777777">
        <w:tc>
          <w:tcPr>
            <w:tcW w:w="4644" w:type="dxa"/>
          </w:tcPr>
          <w:p w14:paraId="25221987" w14:textId="77777777" w:rsidR="00363F9C" w:rsidRPr="00047543" w:rsidRDefault="00363F9C">
            <w:pPr>
              <w:rPr>
                <w:noProof/>
              </w:rPr>
            </w:pPr>
            <w:r w:rsidRPr="00047543">
              <w:rPr>
                <w:noProof/>
              </w:rPr>
              <w:t>Digital och/eller sektoriell politik (i tillämpliga fall)</w:t>
            </w:r>
          </w:p>
        </w:tc>
        <w:tc>
          <w:tcPr>
            <w:tcW w:w="4645" w:type="dxa"/>
          </w:tcPr>
          <w:p w14:paraId="283A28E9" w14:textId="77777777" w:rsidR="00363F9C" w:rsidRPr="00047543" w:rsidRDefault="00363F9C">
            <w:pPr>
              <w:rPr>
                <w:noProof/>
              </w:rPr>
            </w:pPr>
            <w:r w:rsidRPr="00047543">
              <w:rPr>
                <w:noProof/>
              </w:rPr>
              <w:t>Beskrivning av överensstämmelse</w:t>
            </w:r>
          </w:p>
        </w:tc>
      </w:tr>
      <w:tr w:rsidR="00363F9C" w:rsidRPr="00047543" w14:paraId="65BF7E7B" w14:textId="77777777">
        <w:tc>
          <w:tcPr>
            <w:tcW w:w="4644" w:type="dxa"/>
          </w:tcPr>
          <w:p w14:paraId="6C75E8BD" w14:textId="77777777" w:rsidR="00363F9C" w:rsidRPr="00047543" w:rsidRDefault="00363F9C">
            <w:pPr>
              <w:rPr>
                <w:noProof/>
              </w:rPr>
            </w:pPr>
            <w:r w:rsidRPr="00047543">
              <w:rPr>
                <w:noProof/>
              </w:rPr>
              <w:t>Förordningen om artificiell intelligens</w:t>
            </w:r>
          </w:p>
        </w:tc>
        <w:tc>
          <w:tcPr>
            <w:tcW w:w="4645" w:type="dxa"/>
          </w:tcPr>
          <w:p w14:paraId="026E8A62" w14:textId="77777777" w:rsidR="00363F9C" w:rsidRPr="00047543" w:rsidRDefault="00363F9C">
            <w:pPr>
              <w:rPr>
                <w:noProof/>
              </w:rPr>
            </w:pPr>
            <w:r w:rsidRPr="00047543">
              <w:rPr>
                <w:noProof/>
              </w:rPr>
              <w:t>Ej tillämpligt</w:t>
            </w:r>
          </w:p>
        </w:tc>
      </w:tr>
      <w:tr w:rsidR="00363F9C" w:rsidRPr="00047543" w14:paraId="43E1F3FD" w14:textId="77777777">
        <w:tc>
          <w:tcPr>
            <w:tcW w:w="4644" w:type="dxa"/>
          </w:tcPr>
          <w:p w14:paraId="7E642D51" w14:textId="77777777" w:rsidR="00363F9C" w:rsidRPr="00047543" w:rsidRDefault="00363F9C">
            <w:pPr>
              <w:rPr>
                <w:noProof/>
              </w:rPr>
            </w:pPr>
            <w:r w:rsidRPr="00047543">
              <w:rPr>
                <w:noProof/>
              </w:rPr>
              <w:t>EU:s cybersäkerhetsram</w:t>
            </w:r>
          </w:p>
        </w:tc>
        <w:tc>
          <w:tcPr>
            <w:tcW w:w="4645" w:type="dxa"/>
          </w:tcPr>
          <w:p w14:paraId="642B7E33" w14:textId="77777777" w:rsidR="00363F9C" w:rsidRPr="00047543" w:rsidRDefault="00363F9C">
            <w:pPr>
              <w:rPr>
                <w:noProof/>
              </w:rPr>
            </w:pPr>
            <w:r w:rsidRPr="00047543">
              <w:rPr>
                <w:noProof/>
              </w:rPr>
              <w:t xml:space="preserve">Utan att det påverkar förordning (EU) 2016/679 ska medlemsstaterna säkerställa säkerheten, integriteten, äktheten och konfidentialiteten med avseende på de uppgifter som samlas in och lagras vid tillämpningen av denna förordning. </w:t>
            </w:r>
          </w:p>
          <w:p w14:paraId="73955B71" w14:textId="77777777" w:rsidR="00363F9C" w:rsidRPr="00047543" w:rsidRDefault="00363F9C">
            <w:pPr>
              <w:rPr>
                <w:noProof/>
              </w:rPr>
            </w:pPr>
            <w:r w:rsidRPr="00047543">
              <w:rPr>
                <w:noProof/>
              </w:rPr>
              <w:t>Ska beskrivas närmare av Eiopa</w:t>
            </w:r>
          </w:p>
        </w:tc>
      </w:tr>
      <w:tr w:rsidR="00363F9C" w:rsidRPr="00047543" w14:paraId="6C82E2DF" w14:textId="77777777">
        <w:tc>
          <w:tcPr>
            <w:tcW w:w="4644" w:type="dxa"/>
          </w:tcPr>
          <w:p w14:paraId="4E5A0727" w14:textId="77777777" w:rsidR="00363F9C" w:rsidRPr="00047543" w:rsidRDefault="00363F9C">
            <w:pPr>
              <w:rPr>
                <w:noProof/>
              </w:rPr>
            </w:pPr>
            <w:r w:rsidRPr="00047543">
              <w:rPr>
                <w:noProof/>
              </w:rPr>
              <w:t>eIDA</w:t>
            </w:r>
          </w:p>
        </w:tc>
        <w:tc>
          <w:tcPr>
            <w:tcW w:w="4645" w:type="dxa"/>
          </w:tcPr>
          <w:p w14:paraId="6ED13FA0" w14:textId="77777777" w:rsidR="00363F9C" w:rsidRPr="00047543" w:rsidRDefault="00363F9C">
            <w:pPr>
              <w:rPr>
                <w:noProof/>
              </w:rPr>
            </w:pPr>
            <w:r w:rsidRPr="00047543">
              <w:rPr>
                <w:noProof/>
              </w:rPr>
              <w:t>Ska beskrivas närmare av Eiopa</w:t>
            </w:r>
          </w:p>
        </w:tc>
      </w:tr>
      <w:tr w:rsidR="00363F9C" w:rsidRPr="00047543" w14:paraId="7039A714" w14:textId="77777777">
        <w:tc>
          <w:tcPr>
            <w:tcW w:w="4644" w:type="dxa"/>
          </w:tcPr>
          <w:p w14:paraId="744667B0" w14:textId="77777777" w:rsidR="00363F9C" w:rsidRPr="00047543" w:rsidRDefault="00363F9C">
            <w:pPr>
              <w:rPr>
                <w:noProof/>
              </w:rPr>
            </w:pPr>
            <w:r w:rsidRPr="00047543">
              <w:rPr>
                <w:noProof/>
              </w:rPr>
              <w:t>Övriga</w:t>
            </w:r>
          </w:p>
        </w:tc>
        <w:tc>
          <w:tcPr>
            <w:tcW w:w="4645" w:type="dxa"/>
          </w:tcPr>
          <w:p w14:paraId="4C04D3AE" w14:textId="77777777" w:rsidR="00363F9C" w:rsidRPr="00047543" w:rsidRDefault="00363F9C">
            <w:pPr>
              <w:rPr>
                <w:noProof/>
              </w:rPr>
            </w:pPr>
            <w:r w:rsidRPr="00047543">
              <w:rPr>
                <w:noProof/>
              </w:rPr>
              <w:t>//</w:t>
            </w:r>
          </w:p>
        </w:tc>
      </w:tr>
    </w:tbl>
    <w:p w14:paraId="6ECBA78B" w14:textId="77777777" w:rsidR="00817DF5" w:rsidRPr="00047543" w:rsidRDefault="00817DF5" w:rsidP="00B871C4">
      <w:pPr>
        <w:rPr>
          <w:noProof/>
        </w:rPr>
      </w:pPr>
    </w:p>
    <w:p w14:paraId="15E77450" w14:textId="77777777" w:rsidR="0040501D" w:rsidRPr="00047543" w:rsidRDefault="00647A9C">
      <w:pPr>
        <w:pStyle w:val="ManualHeading2"/>
        <w:rPr>
          <w:rStyle w:val="Emphasis"/>
          <w:i w:val="0"/>
          <w:noProof/>
        </w:rPr>
      </w:pPr>
      <w:bookmarkStart w:id="82" w:name="_Toc167220304"/>
      <w:bookmarkStart w:id="83" w:name="_Toc177549040"/>
      <w:r w:rsidRPr="00047543">
        <w:rPr>
          <w:rStyle w:val="Emphasis"/>
          <w:i w:val="0"/>
          <w:noProof/>
        </w:rPr>
        <w:t>4.4</w:t>
      </w:r>
      <w:r w:rsidRPr="00047543">
        <w:rPr>
          <w:noProof/>
        </w:rPr>
        <w:tab/>
      </w:r>
      <w:r w:rsidRPr="00047543">
        <w:rPr>
          <w:rStyle w:val="Emphasis"/>
          <w:i w:val="0"/>
          <w:noProof/>
        </w:rPr>
        <w:t>Interoperabilitetsbedömning</w:t>
      </w:r>
      <w:bookmarkEnd w:id="82"/>
      <w:bookmarkEnd w:id="83"/>
    </w:p>
    <w:p w14:paraId="6B65DB6E" w14:textId="77777777" w:rsidR="00FA7C8D" w:rsidRPr="00047543" w:rsidRDefault="00FA7C8D">
      <w:pPr>
        <w:rPr>
          <w:noProof/>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8"/>
        <w:gridCol w:w="1759"/>
        <w:gridCol w:w="2584"/>
        <w:gridCol w:w="2688"/>
      </w:tblGrid>
      <w:tr w:rsidR="00FA7C8D" w:rsidRPr="00047543" w14:paraId="1DDBBC90" w14:textId="77777777" w:rsidTr="00B871C4">
        <w:tc>
          <w:tcPr>
            <w:tcW w:w="2322" w:type="dxa"/>
          </w:tcPr>
          <w:p w14:paraId="3D9FF7E8" w14:textId="77777777" w:rsidR="00FA7C8D" w:rsidRPr="00047543" w:rsidRDefault="00A10A2F">
            <w:pPr>
              <w:rPr>
                <w:noProof/>
              </w:rPr>
            </w:pPr>
            <w:r w:rsidRPr="00047543">
              <w:rPr>
                <w:noProof/>
              </w:rPr>
              <w:t>Digital offentlig tjänst eller kategori av digitala offentliga tjänster</w:t>
            </w:r>
          </w:p>
        </w:tc>
        <w:tc>
          <w:tcPr>
            <w:tcW w:w="2322" w:type="dxa"/>
          </w:tcPr>
          <w:p w14:paraId="3CF65D51" w14:textId="77777777" w:rsidR="00FA7C8D" w:rsidRPr="00047543" w:rsidRDefault="00A10A2F">
            <w:pPr>
              <w:rPr>
                <w:noProof/>
              </w:rPr>
            </w:pPr>
            <w:r w:rsidRPr="00047543">
              <w:rPr>
                <w:noProof/>
              </w:rPr>
              <w:t>Beskrivning</w:t>
            </w:r>
          </w:p>
        </w:tc>
        <w:tc>
          <w:tcPr>
            <w:tcW w:w="2322" w:type="dxa"/>
          </w:tcPr>
          <w:p w14:paraId="5266C4B1" w14:textId="77777777" w:rsidR="00FA7C8D" w:rsidRPr="00047543" w:rsidRDefault="00DF5DA6">
            <w:pPr>
              <w:rPr>
                <w:noProof/>
              </w:rPr>
            </w:pPr>
            <w:r w:rsidRPr="00047543">
              <w:rPr>
                <w:noProof/>
              </w:rPr>
              <w:t>Hänvisning/hänvisningar till kravet/kraven</w:t>
            </w:r>
          </w:p>
        </w:tc>
        <w:tc>
          <w:tcPr>
            <w:tcW w:w="2323" w:type="dxa"/>
          </w:tcPr>
          <w:p w14:paraId="4B949317" w14:textId="77777777" w:rsidR="00FA7C8D" w:rsidRPr="00047543" w:rsidRDefault="00A90EC1">
            <w:pPr>
              <w:rPr>
                <w:noProof/>
              </w:rPr>
            </w:pPr>
            <w:r w:rsidRPr="00047543">
              <w:rPr>
                <w:noProof/>
              </w:rPr>
              <w:t>Andra interoperabilitetslösningar</w:t>
            </w:r>
          </w:p>
        </w:tc>
      </w:tr>
      <w:tr w:rsidR="00FA7C8D" w:rsidRPr="00047543" w14:paraId="31471D78" w14:textId="77777777" w:rsidTr="00B871C4">
        <w:tc>
          <w:tcPr>
            <w:tcW w:w="2322" w:type="dxa"/>
          </w:tcPr>
          <w:p w14:paraId="11DDA6AC" w14:textId="77777777" w:rsidR="00FA7C8D" w:rsidRPr="00047543" w:rsidRDefault="00363F9C">
            <w:pPr>
              <w:rPr>
                <w:noProof/>
              </w:rPr>
            </w:pPr>
            <w:r w:rsidRPr="00047543">
              <w:rPr>
                <w:noProof/>
              </w:rPr>
              <w:t>Centralt offentligt register</w:t>
            </w:r>
          </w:p>
        </w:tc>
        <w:tc>
          <w:tcPr>
            <w:tcW w:w="2322" w:type="dxa"/>
          </w:tcPr>
          <w:p w14:paraId="7F4FDD76" w14:textId="77777777" w:rsidR="00FA7C8D" w:rsidRPr="00047543" w:rsidRDefault="004B703A">
            <w:pPr>
              <w:rPr>
                <w:noProof/>
              </w:rPr>
            </w:pPr>
            <w:r w:rsidRPr="00047543">
              <w:rPr>
                <w:noProof/>
              </w:rPr>
              <w:t>Registrering av kapaciteten att erbjuda valuta för pengarna. Uppgifter om kostnader, resultat och den sammanfattande riskindikatorn.</w:t>
            </w:r>
          </w:p>
        </w:tc>
        <w:tc>
          <w:tcPr>
            <w:tcW w:w="2322" w:type="dxa"/>
          </w:tcPr>
          <w:p w14:paraId="35EFF4EC" w14:textId="77777777" w:rsidR="00FA7C8D" w:rsidRPr="00047543" w:rsidRDefault="00506F28">
            <w:pPr>
              <w:rPr>
                <w:noProof/>
              </w:rPr>
            </w:pPr>
            <w:r w:rsidRPr="00047543">
              <w:rPr>
                <w:noProof/>
              </w:rPr>
              <w:t>Artiklarna 6, 13</w:t>
            </w:r>
          </w:p>
        </w:tc>
        <w:tc>
          <w:tcPr>
            <w:tcW w:w="2323" w:type="dxa"/>
          </w:tcPr>
          <w:p w14:paraId="5193E1B7" w14:textId="77777777" w:rsidR="00FA7C8D" w:rsidRPr="00047543" w:rsidRDefault="00506F28">
            <w:pPr>
              <w:rPr>
                <w:noProof/>
              </w:rPr>
            </w:pPr>
            <w:r w:rsidRPr="00047543">
              <w:rPr>
                <w:noProof/>
              </w:rPr>
              <w:t>//</w:t>
            </w:r>
          </w:p>
        </w:tc>
      </w:tr>
      <w:tr w:rsidR="00FA7C8D" w:rsidRPr="00047543" w14:paraId="029AD49E" w14:textId="77777777" w:rsidTr="00B871C4">
        <w:tc>
          <w:tcPr>
            <w:tcW w:w="2322" w:type="dxa"/>
          </w:tcPr>
          <w:p w14:paraId="0B58F12A" w14:textId="77777777" w:rsidR="00FA7C8D" w:rsidRPr="00047543" w:rsidRDefault="00D66178">
            <w:pPr>
              <w:rPr>
                <w:noProof/>
              </w:rPr>
            </w:pPr>
            <w:r w:rsidRPr="00047543">
              <w:rPr>
                <w:noProof/>
              </w:rPr>
              <w:t>System för insamling av pensionsuppgifter</w:t>
            </w:r>
          </w:p>
        </w:tc>
        <w:tc>
          <w:tcPr>
            <w:tcW w:w="2322" w:type="dxa"/>
          </w:tcPr>
          <w:p w14:paraId="6E287F4B" w14:textId="77777777" w:rsidR="00FA7C8D" w:rsidRPr="00047543" w:rsidRDefault="00AD009D">
            <w:pPr>
              <w:rPr>
                <w:noProof/>
              </w:rPr>
            </w:pPr>
            <w:r w:rsidRPr="00047543">
              <w:rPr>
                <w:noProof/>
              </w:rPr>
              <w:t>Uppdaterad information om spararnas rätter</w:t>
            </w:r>
          </w:p>
        </w:tc>
        <w:tc>
          <w:tcPr>
            <w:tcW w:w="2322" w:type="dxa"/>
          </w:tcPr>
          <w:p w14:paraId="22A85270" w14:textId="77777777" w:rsidR="00FA7C8D" w:rsidRPr="00047543" w:rsidRDefault="00D66178">
            <w:pPr>
              <w:rPr>
                <w:noProof/>
              </w:rPr>
            </w:pPr>
            <w:r w:rsidRPr="00047543">
              <w:rPr>
                <w:noProof/>
              </w:rPr>
              <w:t>Artikel 51a</w:t>
            </w:r>
          </w:p>
        </w:tc>
        <w:tc>
          <w:tcPr>
            <w:tcW w:w="2323" w:type="dxa"/>
          </w:tcPr>
          <w:p w14:paraId="2E6F65A2" w14:textId="77777777" w:rsidR="00FA7C8D" w:rsidRPr="00047543" w:rsidRDefault="00D66178">
            <w:pPr>
              <w:rPr>
                <w:noProof/>
              </w:rPr>
            </w:pPr>
            <w:r w:rsidRPr="00047543">
              <w:rPr>
                <w:noProof/>
              </w:rPr>
              <w:t>//</w:t>
            </w:r>
          </w:p>
        </w:tc>
      </w:tr>
      <w:tr w:rsidR="00363F9C" w:rsidRPr="00047543" w14:paraId="28375E8B" w14:textId="77777777" w:rsidTr="001C4A8E">
        <w:tc>
          <w:tcPr>
            <w:tcW w:w="2322" w:type="dxa"/>
          </w:tcPr>
          <w:p w14:paraId="08DB5FEF" w14:textId="77777777" w:rsidR="00363F9C" w:rsidRPr="00047543" w:rsidRDefault="00363F9C" w:rsidP="00363F9C">
            <w:pPr>
              <w:rPr>
                <w:noProof/>
              </w:rPr>
            </w:pPr>
            <w:r w:rsidRPr="00047543">
              <w:rPr>
                <w:noProof/>
              </w:rPr>
              <w:t>Samarbetsplattformar</w:t>
            </w:r>
          </w:p>
        </w:tc>
        <w:tc>
          <w:tcPr>
            <w:tcW w:w="2322" w:type="dxa"/>
          </w:tcPr>
          <w:p w14:paraId="62FBFF95" w14:textId="77777777" w:rsidR="00363F9C" w:rsidRPr="00047543" w:rsidRDefault="00EC0B3A" w:rsidP="00363F9C">
            <w:pPr>
              <w:rPr>
                <w:noProof/>
                <w:szCs w:val="24"/>
              </w:rPr>
            </w:pPr>
            <w:r w:rsidRPr="00047543">
              <w:rPr>
                <w:noProof/>
              </w:rPr>
              <w:t>Ska inrättas, underhållas och uppdateras regelbundet samt göras tillgängliga för allmänheten</w:t>
            </w:r>
          </w:p>
        </w:tc>
        <w:tc>
          <w:tcPr>
            <w:tcW w:w="2322" w:type="dxa"/>
          </w:tcPr>
          <w:p w14:paraId="7888EAF5" w14:textId="77777777" w:rsidR="00363F9C" w:rsidRPr="00047543" w:rsidRDefault="00363F9C" w:rsidP="00363F9C">
            <w:pPr>
              <w:rPr>
                <w:noProof/>
              </w:rPr>
            </w:pPr>
            <w:r w:rsidRPr="00047543">
              <w:rPr>
                <w:noProof/>
              </w:rPr>
              <w:t>Artikel 65</w:t>
            </w:r>
          </w:p>
        </w:tc>
        <w:tc>
          <w:tcPr>
            <w:tcW w:w="2323" w:type="dxa"/>
          </w:tcPr>
          <w:p w14:paraId="37AAA2E1" w14:textId="77777777" w:rsidR="00363F9C" w:rsidRPr="00047543" w:rsidRDefault="00363F9C" w:rsidP="00363F9C">
            <w:pPr>
              <w:rPr>
                <w:noProof/>
              </w:rPr>
            </w:pPr>
            <w:r w:rsidRPr="00047543">
              <w:rPr>
                <w:noProof/>
              </w:rPr>
              <w:t>//</w:t>
            </w:r>
          </w:p>
        </w:tc>
      </w:tr>
    </w:tbl>
    <w:p w14:paraId="486B7249" w14:textId="77777777" w:rsidR="00646839" w:rsidRPr="00047543" w:rsidRDefault="00646839" w:rsidP="00B871C4">
      <w:pPr>
        <w:rPr>
          <w:noProof/>
        </w:rPr>
      </w:pPr>
    </w:p>
    <w:p w14:paraId="5D0C2C31" w14:textId="77777777" w:rsidR="0040501D" w:rsidRPr="00047543" w:rsidRDefault="00647A9C">
      <w:pPr>
        <w:pStyle w:val="ManualHeading2"/>
        <w:rPr>
          <w:noProof/>
        </w:rPr>
      </w:pPr>
      <w:bookmarkStart w:id="84" w:name="_Toc167220306"/>
      <w:bookmarkStart w:id="85" w:name="_Toc177549041"/>
      <w:r w:rsidRPr="00047543">
        <w:rPr>
          <w:noProof/>
        </w:rPr>
        <w:t>4.5</w:t>
      </w:r>
      <w:r w:rsidRPr="00047543">
        <w:rPr>
          <w:noProof/>
        </w:rPr>
        <w:tab/>
        <w:t>Åtgärder till stöd för digitalt genomförande</w:t>
      </w:r>
      <w:bookmarkEnd w:id="84"/>
      <w:bookmarkEnd w:id="85"/>
    </w:p>
    <w:p w14:paraId="40A7FB4C" w14:textId="1A317FE8" w:rsidR="0040501D" w:rsidRPr="00047543" w:rsidRDefault="00646839">
      <w:pPr>
        <w:rPr>
          <w:noProof/>
        </w:rPr>
      </w:pPr>
      <w:r w:rsidRPr="00047543">
        <w:rPr>
          <w:noProof/>
        </w:rPr>
        <w:t>Ej tillämpligt</w:t>
      </w:r>
      <w:bookmarkEnd w:id="75"/>
    </w:p>
    <w:sectPr w:rsidR="0040501D" w:rsidRPr="00047543" w:rsidSect="003E44E5">
      <w:headerReference w:type="default" r:id="rId20"/>
      <w:footerReference w:type="default" r:id="rId2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D4497" w14:textId="77777777" w:rsidR="0023404F" w:rsidRDefault="0023404F" w:rsidP="0040501D">
      <w:pPr>
        <w:spacing w:before="0" w:after="0"/>
      </w:pPr>
      <w:r>
        <w:separator/>
      </w:r>
    </w:p>
  </w:endnote>
  <w:endnote w:type="continuationSeparator" w:id="0">
    <w:p w14:paraId="76E209BF" w14:textId="77777777" w:rsidR="0023404F" w:rsidRDefault="0023404F" w:rsidP="0040501D">
      <w:pPr>
        <w:spacing w:before="0" w:after="0"/>
      </w:pPr>
      <w:r>
        <w:continuationSeparator/>
      </w:r>
    </w:p>
  </w:endnote>
  <w:endnote w:type="continuationNotice" w:id="1">
    <w:p w14:paraId="1242D156" w14:textId="77777777" w:rsidR="0023404F" w:rsidRDefault="0023404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libri"/>
    <w:charset w:val="00"/>
    <w:family w:val="auto"/>
    <w:pitch w:val="variable"/>
    <w:sig w:usb0="800002EF" w:usb1="1000E0FB" w:usb2="00000000" w:usb3="00000000" w:csb0="0000009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CFA30" w14:textId="01216B73" w:rsidR="003E44E5" w:rsidRPr="003E44E5" w:rsidRDefault="003E44E5" w:rsidP="003E44E5">
    <w:pPr>
      <w:pStyle w:val="Footer"/>
      <w:rPr>
        <w:rFonts w:ascii="Arial" w:hAnsi="Arial" w:cs="Arial"/>
        <w:b/>
        <w:sz w:val="48"/>
      </w:rPr>
    </w:pPr>
    <w:r w:rsidRPr="003E44E5">
      <w:rPr>
        <w:rFonts w:ascii="Arial" w:hAnsi="Arial" w:cs="Arial"/>
        <w:b/>
        <w:sz w:val="48"/>
      </w:rPr>
      <w:t>SV</w:t>
    </w:r>
    <w:r w:rsidRPr="003E44E5">
      <w:rPr>
        <w:rFonts w:ascii="Arial" w:hAnsi="Arial" w:cs="Arial"/>
        <w:b/>
        <w:sz w:val="48"/>
      </w:rPr>
      <w:tab/>
    </w:r>
    <w:r w:rsidRPr="003E44E5">
      <w:rPr>
        <w:rFonts w:ascii="Arial" w:hAnsi="Arial" w:cs="Arial"/>
        <w:b/>
        <w:sz w:val="48"/>
      </w:rPr>
      <w:tab/>
    </w:r>
    <w:r w:rsidRPr="003E44E5">
      <w:tab/>
    </w:r>
    <w:r w:rsidRPr="003E44E5">
      <w:rPr>
        <w:rFonts w:ascii="Arial" w:hAnsi="Arial" w:cs="Arial"/>
        <w:b/>
        <w:sz w:val="48"/>
      </w:rPr>
      <w:t>SV</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44B65" w14:textId="7DC2DF9B" w:rsidR="003E44E5" w:rsidRPr="003E44E5" w:rsidRDefault="003E44E5" w:rsidP="003E44E5">
    <w:pPr>
      <w:pStyle w:val="Footer"/>
      <w:rPr>
        <w:rFonts w:ascii="Arial" w:hAnsi="Arial" w:cs="Arial"/>
        <w:b/>
        <w:sz w:val="48"/>
      </w:rPr>
    </w:pPr>
    <w:r w:rsidRPr="003E44E5">
      <w:rPr>
        <w:rFonts w:ascii="Arial" w:hAnsi="Arial" w:cs="Arial"/>
        <w:b/>
        <w:sz w:val="48"/>
      </w:rPr>
      <w:t>SV</w:t>
    </w:r>
    <w:r w:rsidRPr="003E44E5">
      <w:rPr>
        <w:rFonts w:ascii="Arial" w:hAnsi="Arial" w:cs="Arial"/>
        <w:b/>
        <w:sz w:val="48"/>
      </w:rPr>
      <w:tab/>
    </w:r>
    <w:r w:rsidRPr="003E44E5">
      <w:rPr>
        <w:rFonts w:ascii="Arial" w:hAnsi="Arial" w:cs="Arial"/>
        <w:b/>
        <w:sz w:val="48"/>
      </w:rPr>
      <w:tab/>
    </w:r>
    <w:r w:rsidRPr="003E44E5">
      <w:tab/>
    </w:r>
    <w:r w:rsidRPr="003E44E5">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52EDF" w14:textId="77777777" w:rsidR="003E44E5" w:rsidRDefault="003E44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A01D9" w14:textId="4B150BCE" w:rsidR="003E44E5" w:rsidRPr="003E44E5" w:rsidRDefault="003E44E5" w:rsidP="003E44E5">
    <w:pPr>
      <w:pStyle w:val="Footer"/>
      <w:rPr>
        <w:rFonts w:ascii="Arial" w:hAnsi="Arial" w:cs="Arial"/>
        <w:b/>
        <w:sz w:val="48"/>
      </w:rPr>
    </w:pPr>
    <w:r w:rsidRPr="003E44E5">
      <w:rPr>
        <w:rFonts w:ascii="Arial" w:hAnsi="Arial" w:cs="Arial"/>
        <w:b/>
        <w:sz w:val="48"/>
      </w:rPr>
      <w:t>SV</w:t>
    </w:r>
    <w:r w:rsidRPr="003E44E5">
      <w:rPr>
        <w:rFonts w:ascii="Arial" w:hAnsi="Arial" w:cs="Arial"/>
        <w:b/>
        <w:sz w:val="48"/>
      </w:rPr>
      <w:tab/>
    </w:r>
    <w:r>
      <w:fldChar w:fldCharType="begin"/>
    </w:r>
    <w:r>
      <w:instrText xml:space="preserve"> PAGE  \* MERGEFORMAT </w:instrText>
    </w:r>
    <w:r>
      <w:fldChar w:fldCharType="separate"/>
    </w:r>
    <w:r w:rsidR="00644F0B">
      <w:rPr>
        <w:noProof/>
      </w:rPr>
      <w:t>31</w:t>
    </w:r>
    <w:r>
      <w:fldChar w:fldCharType="end"/>
    </w:r>
    <w:r>
      <w:tab/>
    </w:r>
    <w:r w:rsidRPr="003E44E5">
      <w:tab/>
    </w:r>
    <w:r w:rsidRPr="003E44E5">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96808" w14:textId="77777777" w:rsidR="003E44E5" w:rsidRDefault="003E44E5" w:rsidP="003E44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4ACFC" w14:textId="17B3184C" w:rsidR="003E44E5" w:rsidRPr="003E44E5" w:rsidRDefault="003E44E5" w:rsidP="003E44E5">
    <w:pPr>
      <w:pStyle w:val="FooterLandscape"/>
      <w:rPr>
        <w:rFonts w:ascii="Arial" w:hAnsi="Arial" w:cs="Arial"/>
        <w:b/>
        <w:sz w:val="48"/>
      </w:rPr>
    </w:pPr>
    <w:r w:rsidRPr="003E44E5">
      <w:rPr>
        <w:rFonts w:ascii="Arial" w:hAnsi="Arial" w:cs="Arial"/>
        <w:b/>
        <w:sz w:val="48"/>
      </w:rPr>
      <w:t>SV</w:t>
    </w:r>
    <w:r w:rsidRPr="003E44E5">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3E44E5">
      <w:tab/>
    </w:r>
    <w:r w:rsidRPr="003E44E5">
      <w:rPr>
        <w:rFonts w:ascii="Arial" w:hAnsi="Arial" w:cs="Arial"/>
        <w:b/>
        <w:sz w:val="48"/>
      </w:rPr>
      <w:t>SV</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EC0A" w14:textId="2D5F1303" w:rsidR="003E44E5" w:rsidRPr="003E44E5" w:rsidRDefault="003E44E5" w:rsidP="003E44E5">
    <w:pPr>
      <w:pStyle w:val="Footer"/>
      <w:rPr>
        <w:rFonts w:ascii="Arial" w:hAnsi="Arial" w:cs="Arial"/>
        <w:b/>
        <w:sz w:val="48"/>
      </w:rPr>
    </w:pPr>
    <w:r w:rsidRPr="003E44E5">
      <w:rPr>
        <w:rFonts w:ascii="Arial" w:hAnsi="Arial" w:cs="Arial"/>
        <w:b/>
        <w:sz w:val="48"/>
      </w:rPr>
      <w:t>SV</w:t>
    </w:r>
    <w:r w:rsidRPr="003E44E5">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rsidRPr="003E44E5">
      <w:tab/>
    </w:r>
    <w:r w:rsidRPr="003E44E5">
      <w:rPr>
        <w:rFonts w:ascii="Arial" w:hAnsi="Arial" w:cs="Arial"/>
        <w:b/>
        <w:sz w:val="48"/>
      </w:rPr>
      <w:t>SV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74B77" w14:textId="77777777" w:rsidR="0023404F" w:rsidRDefault="0023404F" w:rsidP="0040501D">
      <w:pPr>
        <w:spacing w:before="0" w:after="0"/>
      </w:pPr>
      <w:r>
        <w:separator/>
      </w:r>
    </w:p>
  </w:footnote>
  <w:footnote w:type="continuationSeparator" w:id="0">
    <w:p w14:paraId="7C5078B6" w14:textId="77777777" w:rsidR="0023404F" w:rsidRDefault="0023404F" w:rsidP="0040501D">
      <w:pPr>
        <w:spacing w:before="0" w:after="0"/>
      </w:pPr>
      <w:r>
        <w:continuationSeparator/>
      </w:r>
    </w:p>
  </w:footnote>
  <w:footnote w:type="continuationNotice" w:id="1">
    <w:p w14:paraId="7FD91677" w14:textId="77777777" w:rsidR="0023404F" w:rsidRDefault="0023404F">
      <w:pPr>
        <w:spacing w:before="0" w:after="0"/>
      </w:pPr>
    </w:p>
  </w:footnote>
  <w:footnote w:id="2">
    <w:p w14:paraId="6F8C911A" w14:textId="77777777" w:rsidR="00A27A51" w:rsidRPr="00047543" w:rsidRDefault="00A27A51" w:rsidP="00A27A51">
      <w:pPr>
        <w:pStyle w:val="FootnoteText"/>
      </w:pPr>
      <w:r>
        <w:rPr>
          <w:rStyle w:val="FootnoteReference"/>
        </w:rPr>
        <w:footnoteRef/>
      </w:r>
      <w:r w:rsidRPr="00047543">
        <w:tab/>
      </w:r>
      <w:hyperlink r:id="rId1" w:history="1">
        <w:r w:rsidRPr="00047543">
          <w:rPr>
            <w:rStyle w:val="Hyperlink"/>
          </w:rPr>
          <w:t>Den europeiska pelaren för sociala rättigheter</w:t>
        </w:r>
      </w:hyperlink>
      <w:r w:rsidRPr="00047543">
        <w:t xml:space="preserve"> (ej översatt till svenska). </w:t>
      </w:r>
    </w:p>
  </w:footnote>
  <w:footnote w:id="3">
    <w:p w14:paraId="7EA792DE" w14:textId="77777777" w:rsidR="00FA3559" w:rsidRPr="00047543" w:rsidRDefault="00FA3559" w:rsidP="00FA3559">
      <w:pPr>
        <w:pStyle w:val="FootnoteText"/>
      </w:pPr>
      <w:r>
        <w:rPr>
          <w:rStyle w:val="FootnoteReference"/>
        </w:rPr>
        <w:footnoteRef/>
      </w:r>
      <w:r w:rsidRPr="00047543">
        <w:tab/>
        <w:t xml:space="preserve">Draghi, M. (2024) </w:t>
      </w:r>
      <w:hyperlink r:id="rId2" w:history="1">
        <w:r w:rsidRPr="00047543">
          <w:rPr>
            <w:rStyle w:val="Hyperlink"/>
            <w:i/>
            <w:iCs/>
          </w:rPr>
          <w:t>The future of European competitiveness</w:t>
        </w:r>
      </w:hyperlink>
      <w:r w:rsidRPr="00047543">
        <w:t xml:space="preserve"> (ej översatt till svenska).</w:t>
      </w:r>
    </w:p>
  </w:footnote>
  <w:footnote w:id="4">
    <w:p w14:paraId="7DBA5BBC" w14:textId="77777777" w:rsidR="00FA3559" w:rsidRPr="00047543" w:rsidRDefault="00FA3559" w:rsidP="00FA3559">
      <w:pPr>
        <w:pStyle w:val="FootnoteText"/>
      </w:pPr>
      <w:r>
        <w:rPr>
          <w:rStyle w:val="FootnoteReference"/>
        </w:rPr>
        <w:footnoteRef/>
      </w:r>
      <w:r w:rsidRPr="00047543">
        <w:tab/>
        <w:t xml:space="preserve">Letta, E. (2024) </w:t>
      </w:r>
      <w:hyperlink r:id="rId3" w:history="1">
        <w:r w:rsidRPr="00047543">
          <w:rPr>
            <w:rStyle w:val="Hyperlink"/>
            <w:i/>
            <w:iCs/>
          </w:rPr>
          <w:t>Much more than a market</w:t>
        </w:r>
      </w:hyperlink>
      <w:r w:rsidRPr="00047543">
        <w:t xml:space="preserve"> (ej översatt till svenska).</w:t>
      </w:r>
    </w:p>
  </w:footnote>
  <w:footnote w:id="5">
    <w:p w14:paraId="715E3CB2" w14:textId="77777777" w:rsidR="00380898" w:rsidRPr="00047543" w:rsidRDefault="00380898" w:rsidP="00380898">
      <w:pPr>
        <w:pStyle w:val="FootnoteText"/>
      </w:pPr>
      <w:r>
        <w:rPr>
          <w:rStyle w:val="FootnoteReference"/>
        </w:rPr>
        <w:footnoteRef/>
      </w:r>
      <w:r w:rsidRPr="00047543">
        <w:tab/>
        <w:t xml:space="preserve">Europeiska rådets </w:t>
      </w:r>
      <w:hyperlink r:id="rId4" w:history="1">
        <w:r w:rsidRPr="00047543">
          <w:rPr>
            <w:rStyle w:val="Hyperlink"/>
          </w:rPr>
          <w:t>slutsatser</w:t>
        </w:r>
      </w:hyperlink>
      <w:r w:rsidRPr="00047543">
        <w:t xml:space="preserve"> av den 17–18 april 2024 (ej översatta till svenska).</w:t>
      </w:r>
    </w:p>
  </w:footnote>
  <w:footnote w:id="6">
    <w:p w14:paraId="474B6D2D" w14:textId="77777777" w:rsidR="00380898" w:rsidRPr="00047543" w:rsidRDefault="00380898" w:rsidP="00380898">
      <w:pPr>
        <w:pStyle w:val="FootnoteText"/>
      </w:pPr>
      <w:r>
        <w:rPr>
          <w:rStyle w:val="FootnoteReference"/>
        </w:rPr>
        <w:footnoteRef/>
      </w:r>
      <w:r w:rsidRPr="00047543">
        <w:tab/>
        <w:t xml:space="preserve">Europeiska rådets </w:t>
      </w:r>
      <w:hyperlink r:id="rId5" w:history="1">
        <w:r w:rsidRPr="00047543">
          <w:rPr>
            <w:rStyle w:val="Hyperlink"/>
          </w:rPr>
          <w:t>slutsatser</w:t>
        </w:r>
      </w:hyperlink>
      <w:r w:rsidRPr="00047543">
        <w:t xml:space="preserve"> av den 20 mars 2025.</w:t>
      </w:r>
    </w:p>
  </w:footnote>
  <w:footnote w:id="7">
    <w:p w14:paraId="33A84292" w14:textId="338F95A7" w:rsidR="00122166" w:rsidRPr="00047543" w:rsidRDefault="00122166" w:rsidP="00122166">
      <w:pPr>
        <w:pStyle w:val="FootnoteText"/>
      </w:pPr>
      <w:r>
        <w:rPr>
          <w:rStyle w:val="FootnoteReference"/>
        </w:rPr>
        <w:footnoteRef/>
      </w:r>
      <w:r w:rsidRPr="00047543">
        <w:tab/>
      </w:r>
      <w:hyperlink r:id="rId6" w:history="1">
        <w:r w:rsidRPr="00047543">
          <w:rPr>
            <w:rStyle w:val="Hyperlink"/>
          </w:rPr>
          <w:t>Politiska riktlinjer</w:t>
        </w:r>
      </w:hyperlink>
      <w:r w:rsidRPr="00047543">
        <w:t xml:space="preserve"> för nästa Europeiska kommission, 2024–2029.</w:t>
      </w:r>
    </w:p>
  </w:footnote>
  <w:footnote w:id="8">
    <w:p w14:paraId="590EB21B" w14:textId="77777777" w:rsidR="00122166" w:rsidRPr="00047543" w:rsidRDefault="00122166" w:rsidP="00122166">
      <w:pPr>
        <w:pStyle w:val="FootnoteText"/>
      </w:pPr>
      <w:r>
        <w:rPr>
          <w:rStyle w:val="FootnoteReference"/>
        </w:rPr>
        <w:footnoteRef/>
      </w:r>
      <w:r w:rsidRPr="00047543">
        <w:tab/>
      </w:r>
      <w:hyperlink r:id="rId7" w:history="1">
        <w:r w:rsidRPr="00047543">
          <w:rPr>
            <w:rStyle w:val="Hyperlink"/>
          </w:rPr>
          <w:t>Uppdragsbeskrivning</w:t>
        </w:r>
      </w:hyperlink>
      <w:r w:rsidRPr="00047543">
        <w:t xml:space="preserve"> (ej översatt till svenska).</w:t>
      </w:r>
    </w:p>
  </w:footnote>
  <w:footnote w:id="9">
    <w:p w14:paraId="23D39232" w14:textId="77777777" w:rsidR="00033049" w:rsidRPr="00047543" w:rsidRDefault="00033049" w:rsidP="00033049">
      <w:pPr>
        <w:pStyle w:val="FootnoteText"/>
      </w:pPr>
      <w:r>
        <w:rPr>
          <w:rStyle w:val="FootnoteReference"/>
        </w:rPr>
        <w:footnoteRef/>
      </w:r>
      <w:r w:rsidRPr="00047543">
        <w:tab/>
        <w:t xml:space="preserve">Europeiska revisionsrätten, </w:t>
      </w:r>
      <w:r w:rsidRPr="00047543">
        <w:rPr>
          <w:i/>
          <w:iCs/>
        </w:rPr>
        <w:t>Utvecklingen av kompletterande pensioner i EU</w:t>
      </w:r>
      <w:r w:rsidRPr="00047543">
        <w:t xml:space="preserve">, </w:t>
      </w:r>
      <w:hyperlink r:id="rId8" w:history="1">
        <w:r w:rsidRPr="00047543">
          <w:rPr>
            <w:rStyle w:val="Hyperlink"/>
          </w:rPr>
          <w:t>Särskild rapport 14/2025</w:t>
        </w:r>
      </w:hyperlink>
      <w:r w:rsidRPr="00047543">
        <w:t>.</w:t>
      </w:r>
    </w:p>
  </w:footnote>
  <w:footnote w:id="10">
    <w:p w14:paraId="069C6095" w14:textId="17334EA7" w:rsidR="00F4176F" w:rsidRPr="00047543" w:rsidRDefault="00F4176F" w:rsidP="00F4176F">
      <w:pPr>
        <w:pStyle w:val="FootnoteText"/>
      </w:pPr>
      <w:r>
        <w:rPr>
          <w:rStyle w:val="FootnoteReference"/>
        </w:rPr>
        <w:footnoteRef/>
      </w:r>
      <w:r w:rsidRPr="00047543">
        <w:tab/>
        <w:t>Europaparlamentets och rådets förordning (EU) 2019/1238 om en paneuropeisk privat pensionsprodukt (PEPP-produkt) (</w:t>
      </w:r>
      <w:hyperlink r:id="rId9" w:history="1">
        <w:r w:rsidRPr="00047543">
          <w:rPr>
            <w:rStyle w:val="Hyperlink"/>
          </w:rPr>
          <w:t>EUT L 198, 25.7.2019, s. 1</w:t>
        </w:r>
      </w:hyperlink>
      <w:r w:rsidRPr="00047543">
        <w:t>).</w:t>
      </w:r>
    </w:p>
  </w:footnote>
  <w:footnote w:id="11">
    <w:p w14:paraId="3831F47E" w14:textId="77777777" w:rsidR="001A7524" w:rsidRPr="00047543" w:rsidRDefault="001A7524" w:rsidP="001A7524">
      <w:pPr>
        <w:pStyle w:val="FootnoteText"/>
      </w:pPr>
      <w:r>
        <w:rPr>
          <w:rStyle w:val="FootnoteReference"/>
        </w:rPr>
        <w:footnoteRef/>
      </w:r>
      <w:r w:rsidRPr="00047543">
        <w:tab/>
        <w:t>Rådets direktiv 98/49/EG om skydd av kompletterande pensionsrättigheter för anställda och egenföretagare som flyttar inom gemenskapen (</w:t>
      </w:r>
      <w:hyperlink r:id="rId10" w:history="1">
        <w:r w:rsidRPr="00047543">
          <w:rPr>
            <w:rStyle w:val="Hyperlink"/>
          </w:rPr>
          <w:t>EGT L 209, 25.7.1998, s. 46</w:t>
        </w:r>
      </w:hyperlink>
      <w:r w:rsidRPr="00047543">
        <w:t>).</w:t>
      </w:r>
    </w:p>
  </w:footnote>
  <w:footnote w:id="12">
    <w:p w14:paraId="6F7D60BC" w14:textId="77777777" w:rsidR="001A7524" w:rsidRPr="00047543" w:rsidRDefault="001A7524" w:rsidP="001A7524">
      <w:pPr>
        <w:pStyle w:val="FootnoteText"/>
      </w:pPr>
      <w:r>
        <w:rPr>
          <w:rStyle w:val="FootnoteReference"/>
        </w:rPr>
        <w:footnoteRef/>
      </w:r>
      <w:r w:rsidRPr="00047543">
        <w:tab/>
        <w:t>Europaparlamentets och rådets direktiv 2014/50/EU om minimikrav för ökad rörlighet mellan medlemsstaterna för arbetstagare genom förbättrade villkor för intjänande och bevarande av kompletterande pensionsrättigheter (</w:t>
      </w:r>
      <w:hyperlink r:id="rId11" w:history="1">
        <w:r w:rsidRPr="00047543">
          <w:rPr>
            <w:rStyle w:val="Hyperlink"/>
          </w:rPr>
          <w:t>EUT L 128, 30.4.2014, s. 1</w:t>
        </w:r>
      </w:hyperlink>
      <w:r w:rsidRPr="00047543">
        <w:t>).</w:t>
      </w:r>
    </w:p>
  </w:footnote>
  <w:footnote w:id="13">
    <w:p w14:paraId="37F4F9C5" w14:textId="77777777" w:rsidR="001A7524" w:rsidRPr="00047543" w:rsidRDefault="001A7524" w:rsidP="001A7524">
      <w:pPr>
        <w:pStyle w:val="FootnoteText"/>
      </w:pPr>
      <w:r>
        <w:rPr>
          <w:rStyle w:val="FootnoteReference"/>
        </w:rPr>
        <w:footnoteRef/>
      </w:r>
      <w:r w:rsidRPr="00047543">
        <w:tab/>
        <w:t>Europaparlamentets och rådets direktiv (EU) 2016/2341 om verksamhet i och tillsyn över tjänstepensionsinstitut (</w:t>
      </w:r>
      <w:hyperlink r:id="rId12" w:history="1">
        <w:r w:rsidRPr="00047543">
          <w:rPr>
            <w:rStyle w:val="Hyperlink"/>
          </w:rPr>
          <w:t>EUT L 354, 23.12.2016, s. 37</w:t>
        </w:r>
      </w:hyperlink>
      <w:r w:rsidRPr="00047543">
        <w:t>).</w:t>
      </w:r>
    </w:p>
  </w:footnote>
  <w:footnote w:id="14">
    <w:p w14:paraId="4C1EBC94" w14:textId="77777777" w:rsidR="001A7524" w:rsidRPr="00047543" w:rsidRDefault="001A7524" w:rsidP="001A7524">
      <w:pPr>
        <w:pStyle w:val="FootnoteText"/>
      </w:pPr>
      <w:r>
        <w:rPr>
          <w:rStyle w:val="FootnoteReference"/>
        </w:rPr>
        <w:footnoteRef/>
      </w:r>
      <w:r w:rsidRPr="00047543">
        <w:tab/>
        <w:t>Europaparlamentets och rådets förordning (EU) 2019/1238 om en paneuropeisk privat pensionsprodukt (PEPP-produkt) (</w:t>
      </w:r>
      <w:hyperlink r:id="rId13" w:history="1">
        <w:r w:rsidRPr="00047543">
          <w:rPr>
            <w:rStyle w:val="Hyperlink"/>
          </w:rPr>
          <w:t>EUT L 198, 25.7.2019, s. 1</w:t>
        </w:r>
      </w:hyperlink>
      <w:r w:rsidRPr="00047543">
        <w:t>).</w:t>
      </w:r>
    </w:p>
  </w:footnote>
  <w:footnote w:id="15">
    <w:p w14:paraId="52355494" w14:textId="2DFBB123" w:rsidR="00DC21B6" w:rsidRPr="00047543" w:rsidRDefault="00DC21B6">
      <w:pPr>
        <w:pStyle w:val="FootnoteText"/>
      </w:pPr>
      <w:r>
        <w:rPr>
          <w:rStyle w:val="FootnoteReference"/>
        </w:rPr>
        <w:footnoteRef/>
      </w:r>
      <w:r w:rsidRPr="00047543">
        <w:tab/>
        <w:t xml:space="preserve">Meddelande från kommissionen till Europaparlamentet, rådet, Europeiska ekonomiska och sociala kommittén samt Regionkommittén om en strategi för finansiell kompetens för EU, </w:t>
      </w:r>
      <w:hyperlink r:id="rId14" w:history="1">
        <w:r w:rsidRPr="00047543">
          <w:rPr>
            <w:rStyle w:val="Hyperlink"/>
          </w:rPr>
          <w:t>COM(2025) 681 final</w:t>
        </w:r>
      </w:hyperlink>
      <w:r w:rsidRPr="00047543">
        <w:t>.</w:t>
      </w:r>
    </w:p>
  </w:footnote>
  <w:footnote w:id="16">
    <w:p w14:paraId="62FA914C" w14:textId="03963373" w:rsidR="00DC21B6" w:rsidRPr="00047543" w:rsidRDefault="00DC21B6">
      <w:pPr>
        <w:pStyle w:val="FootnoteText"/>
      </w:pPr>
      <w:r>
        <w:rPr>
          <w:rStyle w:val="FootnoteReference"/>
        </w:rPr>
        <w:footnoteRef/>
      </w:r>
      <w:r w:rsidRPr="00047543">
        <w:tab/>
        <w:t xml:space="preserve">Kommissionens rekommendation om förbättrad tillgång till investeringssparkonton med förenklad och förmånlig skattemässig behandling, </w:t>
      </w:r>
      <w:hyperlink r:id="rId15" w:history="1">
        <w:r w:rsidRPr="00047543">
          <w:rPr>
            <w:rStyle w:val="Hyperlink"/>
          </w:rPr>
          <w:t>C(2025)6800 final</w:t>
        </w:r>
      </w:hyperlink>
      <w:r w:rsidRPr="00047543">
        <w:t>.</w:t>
      </w:r>
    </w:p>
  </w:footnote>
  <w:footnote w:id="17">
    <w:p w14:paraId="41A50127" w14:textId="77777777" w:rsidR="00F562C1" w:rsidRPr="00047543" w:rsidRDefault="00F562C1">
      <w:pPr>
        <w:pStyle w:val="FootnoteText"/>
      </w:pPr>
      <w:r>
        <w:rPr>
          <w:rStyle w:val="FootnoteReference"/>
        </w:rPr>
        <w:footnoteRef/>
      </w:r>
      <w:r w:rsidRPr="00047543">
        <w:tab/>
      </w:r>
      <w:hyperlink r:id="rId16" w:history="1">
        <w:r w:rsidRPr="00047543">
          <w:rPr>
            <w:rStyle w:val="Hyperlink"/>
          </w:rPr>
          <w:t>Konkurrenskraftskompassen</w:t>
        </w:r>
      </w:hyperlink>
      <w:r w:rsidRPr="00047543">
        <w:t xml:space="preserve">, Europeiska kommissionen. </w:t>
      </w:r>
    </w:p>
  </w:footnote>
  <w:footnote w:id="18">
    <w:p w14:paraId="722A0843" w14:textId="77777777" w:rsidR="00C42B90" w:rsidRPr="00047543" w:rsidRDefault="00C42B90">
      <w:pPr>
        <w:pStyle w:val="FootnoteText"/>
      </w:pPr>
      <w:r>
        <w:rPr>
          <w:rStyle w:val="FootnoteReference"/>
        </w:rPr>
        <w:footnoteRef/>
      </w:r>
      <w:r w:rsidRPr="00047543">
        <w:tab/>
      </w:r>
      <w:hyperlink r:id="rId17" w:history="1">
        <w:r w:rsidRPr="00047543">
          <w:rPr>
            <w:rStyle w:val="Hyperlink"/>
          </w:rPr>
          <w:t>Riktat samråd om kompletterande pensioner</w:t>
        </w:r>
      </w:hyperlink>
      <w:r w:rsidRPr="00047543">
        <w:t>.</w:t>
      </w:r>
    </w:p>
  </w:footnote>
  <w:footnote w:id="19">
    <w:p w14:paraId="518BDD09" w14:textId="77777777" w:rsidR="005E299E" w:rsidRPr="00047543" w:rsidRDefault="005E299E">
      <w:pPr>
        <w:pStyle w:val="FootnoteText"/>
      </w:pPr>
      <w:r>
        <w:rPr>
          <w:rStyle w:val="FootnoteReference"/>
        </w:rPr>
        <w:footnoteRef/>
      </w:r>
      <w:r w:rsidRPr="00047543">
        <w:tab/>
      </w:r>
      <w:hyperlink r:id="rId18" w:history="1">
        <w:r w:rsidRPr="00047543">
          <w:rPr>
            <w:rStyle w:val="Hyperlink"/>
          </w:rPr>
          <w:t>Inbjudan att lämna synpunkter</w:t>
        </w:r>
      </w:hyperlink>
      <w:r w:rsidRPr="00047543">
        <w:t>.</w:t>
      </w:r>
    </w:p>
  </w:footnote>
  <w:footnote w:id="20">
    <w:p w14:paraId="7DAB9548" w14:textId="77777777" w:rsidR="00141077" w:rsidRPr="00047543" w:rsidRDefault="00141077">
      <w:pPr>
        <w:pStyle w:val="FootnoteText"/>
      </w:pPr>
      <w:r>
        <w:rPr>
          <w:rStyle w:val="FootnoteReference"/>
        </w:rPr>
        <w:footnoteRef/>
      </w:r>
      <w:r w:rsidRPr="00047543">
        <w:tab/>
        <w:t>”</w:t>
      </w:r>
      <w:hyperlink r:id="rId19" w:history="1">
        <w:r w:rsidRPr="00047543">
          <w:rPr>
            <w:rStyle w:val="Hyperlink"/>
          </w:rPr>
          <w:t>EIOPA Staff Paper</w:t>
        </w:r>
      </w:hyperlink>
      <w:r w:rsidRPr="00047543">
        <w:t xml:space="preserve"> on the future Pan-European Pension Product (PEPP)”. </w:t>
      </w:r>
    </w:p>
  </w:footnote>
  <w:footnote w:id="21">
    <w:p w14:paraId="3A8AE464" w14:textId="77777777" w:rsidR="00332688" w:rsidRDefault="00332688">
      <w:pPr>
        <w:pStyle w:val="FootnoteText"/>
      </w:pPr>
      <w:r>
        <w:rPr>
          <w:rStyle w:val="FootnoteReference"/>
        </w:rPr>
        <w:footnoteRef/>
      </w:r>
      <w:r>
        <w:tab/>
      </w:r>
      <w:hyperlink r:id="rId20" w:history="1">
        <w:r>
          <w:rPr>
            <w:rStyle w:val="Hyperlink"/>
          </w:rPr>
          <w:t>”Stakeholder forum &amp; reality check on retirement savings”</w:t>
        </w:r>
      </w:hyperlink>
      <w:r>
        <w:t>.</w:t>
      </w:r>
    </w:p>
  </w:footnote>
  <w:footnote w:id="22">
    <w:p w14:paraId="7D68A644" w14:textId="77777777" w:rsidR="001D2146" w:rsidRDefault="001D2146" w:rsidP="001D2146">
      <w:pPr>
        <w:pStyle w:val="FootnoteText"/>
      </w:pPr>
      <w:r>
        <w:rPr>
          <w:rStyle w:val="FootnoteReference"/>
        </w:rPr>
        <w:footnoteRef/>
      </w:r>
      <w:r>
        <w:tab/>
      </w:r>
      <w:hyperlink r:id="rId21" w:history="1">
        <w:r>
          <w:rPr>
            <w:rStyle w:val="Hyperlink"/>
          </w:rPr>
          <w:t>”Technical input for the reviews of the IORP II Directive and the PEPP Regulation in the context of the Savings and Investments Union”</w:t>
        </w:r>
      </w:hyperlink>
      <w:r>
        <w:t xml:space="preserve">, Eiopa. </w:t>
      </w:r>
    </w:p>
  </w:footnote>
  <w:footnote w:id="23">
    <w:p w14:paraId="32BF8C05" w14:textId="451F0AD1" w:rsidR="003833D7" w:rsidRPr="00047543" w:rsidRDefault="003833D7" w:rsidP="00C75CFA">
      <w:pPr>
        <w:pStyle w:val="FootnoteText"/>
      </w:pPr>
      <w:r>
        <w:rPr>
          <w:rStyle w:val="FootnoteReference"/>
        </w:rPr>
        <w:footnoteRef/>
      </w:r>
      <w:r w:rsidRPr="00047543">
        <w:tab/>
        <w:t>Europaparlamentets och rådets direktiv 2014/65/EU av den 15 maj 2014 om marknader för finansiella instrument och om ändring av direktiv 2002/92/EG och av direktiv 2011/61/EU (omarbetning) (EUT L 173, 12.6.2014, s. 349, ELI: </w:t>
      </w:r>
      <w:hyperlink r:id="rId22" w:tooltip="Ger åtkomst till dokumentet via dess ELI-adress." w:history="1">
        <w:r w:rsidRPr="00047543">
          <w:rPr>
            <w:rStyle w:val="Hyperlink"/>
          </w:rPr>
          <w:t>http://data.europa.eu/eli/dir/2014/65/oj</w:t>
        </w:r>
      </w:hyperlink>
      <w:r w:rsidRPr="00047543">
        <w:t>).</w:t>
      </w:r>
    </w:p>
  </w:footnote>
  <w:footnote w:id="24">
    <w:p w14:paraId="796B6578" w14:textId="54480197" w:rsidR="00575FEA" w:rsidRPr="00047543" w:rsidRDefault="00575FEA" w:rsidP="00A7074C">
      <w:pPr>
        <w:pStyle w:val="FootnoteText"/>
        <w:rPr>
          <w:b/>
          <w:bCs/>
        </w:rPr>
      </w:pPr>
      <w:r>
        <w:rPr>
          <w:rStyle w:val="FootnoteReference"/>
        </w:rPr>
        <w:footnoteRef/>
      </w:r>
      <w:r w:rsidRPr="00047543">
        <w:tab/>
        <w:t>Europaparlamentets och rådets direktiv (EU) 2016/97 av den 20 januari 2016 om försäkringsdistribution (omarbetning) (EUT L 26, 2.2.2016, s. 19, ELI: </w:t>
      </w:r>
      <w:hyperlink r:id="rId23" w:tooltip="Ger åtkomst till dokumentet via dess ELI-adress." w:history="1">
        <w:r w:rsidRPr="00047543">
          <w:rPr>
            <w:rStyle w:val="Hyperlink"/>
          </w:rPr>
          <w:t>http://data.europa.eu/eli/dir/2016/97/oj</w:t>
        </w:r>
      </w:hyperlink>
      <w:r w:rsidRPr="00047543">
        <w:t>).</w:t>
      </w:r>
    </w:p>
  </w:footnote>
  <w:footnote w:id="25">
    <w:p w14:paraId="08D93F30" w14:textId="77777777" w:rsidR="000C1C8F" w:rsidRPr="00047543" w:rsidRDefault="000C1C8F" w:rsidP="000C1C8F">
      <w:pPr>
        <w:pStyle w:val="FootnoteText"/>
      </w:pPr>
      <w:r>
        <w:rPr>
          <w:rStyle w:val="FootnoteReference"/>
        </w:rPr>
        <w:footnoteRef/>
      </w:r>
      <w:r w:rsidRPr="00047543">
        <w:tab/>
        <w:t>EUT C , , s. .</w:t>
      </w:r>
    </w:p>
  </w:footnote>
  <w:footnote w:id="26">
    <w:p w14:paraId="28209BA4" w14:textId="63E1813F" w:rsidR="00270904" w:rsidRPr="00047543" w:rsidRDefault="00270904">
      <w:pPr>
        <w:pStyle w:val="FootnoteText"/>
      </w:pPr>
      <w:r>
        <w:rPr>
          <w:rStyle w:val="FootnoteReference"/>
        </w:rPr>
        <w:footnoteRef/>
      </w:r>
      <w:r w:rsidRPr="00047543">
        <w:tab/>
        <w:t>Europaparlamentets ståndpunkt av den … och rådets beslut av den ….</w:t>
      </w:r>
    </w:p>
  </w:footnote>
  <w:footnote w:id="27">
    <w:p w14:paraId="05FF9D8D" w14:textId="77777777" w:rsidR="0001373B" w:rsidRPr="00047543" w:rsidRDefault="0001373B" w:rsidP="0001373B">
      <w:pPr>
        <w:pStyle w:val="FootnoteText"/>
      </w:pPr>
      <w:r>
        <w:rPr>
          <w:rStyle w:val="FootnoteReference"/>
        </w:rPr>
        <w:footnoteRef/>
      </w:r>
      <w:r w:rsidRPr="00047543">
        <w:tab/>
        <w:t xml:space="preserve">Meddelande från kommissionen till Europaparlamentet, Europeiska rådet, rådet, Europeiska centralbanken, Europeiska ekonomiska och sociala kommittén och Regionkommittén, Spar- och investeringsunionen – En strategi för att öka medborgarnas välstånd och den ekonomiska konkurrenskraften i EU, 19 mars 2025, </w:t>
      </w:r>
      <w:hyperlink r:id="rId24" w:history="1">
        <w:r w:rsidRPr="00047543">
          <w:rPr>
            <w:rStyle w:val="Hyperlink"/>
          </w:rPr>
          <w:t>COM(2025) 124 final</w:t>
        </w:r>
      </w:hyperlink>
      <w:r w:rsidRPr="00047543">
        <w:t>.</w:t>
      </w:r>
    </w:p>
  </w:footnote>
  <w:footnote w:id="28">
    <w:p w14:paraId="3A4BDBD3" w14:textId="26C1BC64" w:rsidR="00F8087D" w:rsidRPr="00047543" w:rsidRDefault="00F8087D">
      <w:pPr>
        <w:pStyle w:val="FootnoteText"/>
      </w:pPr>
      <w:r>
        <w:rPr>
          <w:rStyle w:val="FootnoteReference"/>
        </w:rPr>
        <w:footnoteRef/>
      </w:r>
      <w:r w:rsidRPr="00047543">
        <w:tab/>
        <w:t>Europaparlamentets och rådets förordning (EU) 2019/1238 om en paneuropeisk privat pensionsprodukt (PEPP-produkt) (EUT L 198, 25.7.2019, s. 1, ELI: </w:t>
      </w:r>
      <w:hyperlink r:id="rId25" w:tooltip="Ger åtkomst till dokumentet via dess ELI-adress." w:history="1">
        <w:r w:rsidRPr="00047543">
          <w:rPr>
            <w:rStyle w:val="Hyperlink"/>
          </w:rPr>
          <w:t>http://data.europa.eu/eli/reg/2019/1238/oj</w:t>
        </w:r>
      </w:hyperlink>
      <w:r w:rsidRPr="00047543">
        <w:t>).</w:t>
      </w:r>
    </w:p>
  </w:footnote>
  <w:footnote w:id="29">
    <w:p w14:paraId="0B3D10F0" w14:textId="5FB048F2" w:rsidR="00AF11D2" w:rsidRPr="00047543" w:rsidRDefault="00AF11D2">
      <w:pPr>
        <w:pStyle w:val="FootnoteText"/>
      </w:pPr>
      <w:r>
        <w:rPr>
          <w:rStyle w:val="FootnoteReference"/>
        </w:rPr>
        <w:footnoteRef/>
      </w:r>
      <w:r w:rsidRPr="00047543">
        <w:tab/>
        <w:t xml:space="preserve">Europeiska rådets möte (20 mars 2025) – </w:t>
      </w:r>
      <w:hyperlink r:id="rId26" w:history="1">
        <w:r w:rsidRPr="00047543">
          <w:rPr>
            <w:rStyle w:val="Hyperlink"/>
          </w:rPr>
          <w:t>Slutsatser</w:t>
        </w:r>
      </w:hyperlink>
      <w:r w:rsidRPr="00047543">
        <w:t>.</w:t>
      </w:r>
    </w:p>
  </w:footnote>
  <w:footnote w:id="30">
    <w:p w14:paraId="0AF19308" w14:textId="093FB96B" w:rsidR="00A7074C" w:rsidRPr="00047543" w:rsidRDefault="00A7074C" w:rsidP="00A7074C">
      <w:pPr>
        <w:pStyle w:val="FootnoteText"/>
        <w:rPr>
          <w:b/>
          <w:bCs/>
        </w:rPr>
      </w:pPr>
      <w:r>
        <w:rPr>
          <w:rStyle w:val="FootnoteReference"/>
        </w:rPr>
        <w:footnoteRef/>
      </w:r>
      <w:r w:rsidRPr="00047543">
        <w:tab/>
        <w:t>Europaparlamentets och rådets direktiv (EU) 2016/97 av den 20 januari 2016 om försäkringsdistribution (omarbetning) (EUT L 26, 2.2.2016, s. 19, ELI: </w:t>
      </w:r>
      <w:hyperlink r:id="rId27" w:tooltip="Ger åtkomst till dokumentet via dess ELI-adress." w:history="1">
        <w:r w:rsidRPr="00047543">
          <w:rPr>
            <w:rStyle w:val="Hyperlink"/>
          </w:rPr>
          <w:t>http://data.europa.eu/eli/dir/2016/97/oj</w:t>
        </w:r>
      </w:hyperlink>
      <w:r w:rsidRPr="00047543">
        <w:t>).</w:t>
      </w:r>
    </w:p>
  </w:footnote>
  <w:footnote w:id="31">
    <w:p w14:paraId="70A24A9B" w14:textId="073DD159" w:rsidR="005F71BB" w:rsidRPr="00047543" w:rsidRDefault="005F71BB">
      <w:pPr>
        <w:pStyle w:val="FootnoteText"/>
      </w:pPr>
      <w:r>
        <w:rPr>
          <w:rStyle w:val="FootnoteReference"/>
        </w:rPr>
        <w:footnoteRef/>
      </w:r>
      <w:r w:rsidRPr="00047543">
        <w:tab/>
        <w:t>Europaparlamentets och rådets direktiv 2014/65/EU av den 15 maj 2014 om marknader för finansiella instrument och om ändring av direktiv 2002/92/EG och av direktiv 2011/61/EU (omarbetning) (EUT L 173, 12.6.2014, s. 349, ELI: </w:t>
      </w:r>
      <w:hyperlink r:id="rId28" w:tooltip="Ger åtkomst till dokumentet via dess ELI-adress." w:history="1">
        <w:r w:rsidRPr="00047543">
          <w:rPr>
            <w:rStyle w:val="Hyperlink"/>
          </w:rPr>
          <w:t>http://data.europa.eu/eli/dir/2014/65/oj</w:t>
        </w:r>
      </w:hyperlink>
      <w:r w:rsidRPr="00047543">
        <w:t>).</w:t>
      </w:r>
    </w:p>
  </w:footnote>
  <w:footnote w:id="32">
    <w:p w14:paraId="1D151F10" w14:textId="244E11C6" w:rsidR="000F621C" w:rsidRPr="00047543" w:rsidRDefault="000F621C">
      <w:pPr>
        <w:pStyle w:val="FootnoteText"/>
      </w:pPr>
      <w:r>
        <w:rPr>
          <w:rStyle w:val="FootnoteReference"/>
        </w:rPr>
        <w:footnoteRef/>
      </w:r>
      <w:r w:rsidRPr="00047543">
        <w:tab/>
        <w:t>Europaparlamentets och rådets förordning (EU) 2016/679 av den 27 april 2016 om skydd för fysiska personer med avseende på behandling av personuppgifter och om det fria flödet av sådana uppgifter och om upphävande av direktiv 95/46/EG (allmän dataskyddsförordning) (EUT L 119, 4.5.2016, s. 1, ELI: </w:t>
      </w:r>
      <w:hyperlink r:id="rId29" w:tooltip="Ger åtkomst till dokumentet via dess ELI-adress." w:history="1">
        <w:r w:rsidRPr="00047543">
          <w:rPr>
            <w:rStyle w:val="Hyperlink"/>
          </w:rPr>
          <w:t>http://data.europa.eu/eli/reg/2016/679/oj</w:t>
        </w:r>
      </w:hyperlink>
      <w:r w:rsidRPr="00047543">
        <w:t>).</w:t>
      </w:r>
    </w:p>
  </w:footnote>
  <w:footnote w:id="33">
    <w:p w14:paraId="4E555AF0" w14:textId="1CAD3697" w:rsidR="00655BB4" w:rsidRPr="00047543" w:rsidRDefault="00655BB4">
      <w:pPr>
        <w:pStyle w:val="FootnoteText"/>
      </w:pPr>
      <w:r w:rsidRPr="00FC3045">
        <w:rPr>
          <w:rStyle w:val="FootnoteReference"/>
        </w:rPr>
        <w:footnoteRef/>
      </w:r>
      <w:r w:rsidR="00FC3045">
        <w:tab/>
      </w:r>
      <w:r w:rsidRPr="00047543">
        <w:t>Europaparlamentets och rådets direktiv 2002/58/EG av den 12 juli 2002 om behandling av personuppgifter och integritetsskydd inom sektorn för elektronisk kommunikation (EGT L 201, 31.7.2002, s. 37, ELI: </w:t>
      </w:r>
      <w:hyperlink r:id="rId30" w:tooltip="Ger åtkomst till dokumentet via dess ELI-adress." w:history="1">
        <w:r w:rsidRPr="00047543">
          <w:rPr>
            <w:rStyle w:val="Hyperlink"/>
          </w:rPr>
          <w:t>http://data.europa.eu/eli/dir/2002/58/oj</w:t>
        </w:r>
      </w:hyperlink>
      <w:r w:rsidRPr="00047543">
        <w:t>).</w:t>
      </w:r>
    </w:p>
  </w:footnote>
  <w:footnote w:id="34">
    <w:p w14:paraId="3B8E96E2" w14:textId="6CA2A43F" w:rsidR="0040501D" w:rsidRDefault="002512E0">
      <w:pPr>
        <w:pStyle w:val="FootnoteText"/>
      </w:pPr>
      <w:r>
        <w:rPr>
          <w:rStyle w:val="FootnoteReference"/>
        </w:rPr>
        <w:footnoteRef/>
      </w:r>
      <w:r>
        <w:tab/>
      </w:r>
    </w:p>
  </w:footnote>
  <w:footnote w:id="35">
    <w:p w14:paraId="683F32F1" w14:textId="77777777" w:rsidR="00A27CF2" w:rsidRPr="00047543" w:rsidRDefault="00A27CF2" w:rsidP="00A27CF2">
      <w:pPr>
        <w:pStyle w:val="FootnoteText"/>
        <w:rPr>
          <w:szCs w:val="24"/>
        </w:rPr>
      </w:pPr>
      <w:r>
        <w:rPr>
          <w:rStyle w:val="FootnoteReference"/>
        </w:rPr>
        <w:footnoteRef/>
      </w:r>
      <w:r w:rsidRPr="00047543">
        <w:tab/>
        <w:t>Differentierade respektive icke-differentierade anslag.</w:t>
      </w:r>
    </w:p>
  </w:footnote>
  <w:footnote w:id="36">
    <w:p w14:paraId="5B923565" w14:textId="77777777" w:rsidR="00A27CF2" w:rsidRPr="00047543" w:rsidRDefault="00A27CF2" w:rsidP="00A27CF2">
      <w:pPr>
        <w:pStyle w:val="FootnoteText"/>
        <w:rPr>
          <w:szCs w:val="24"/>
        </w:rPr>
      </w:pPr>
      <w:r>
        <w:rPr>
          <w:rStyle w:val="FootnoteReference"/>
        </w:rPr>
        <w:footnoteRef/>
      </w:r>
      <w:r w:rsidRPr="00047543">
        <w:tab/>
        <w:t xml:space="preserve">Efta: Europeiska frihandelssammanslutningen. </w:t>
      </w:r>
    </w:p>
  </w:footnote>
  <w:footnote w:id="37">
    <w:p w14:paraId="13174879" w14:textId="77777777" w:rsidR="00A27CF2" w:rsidRPr="00047543" w:rsidRDefault="00A27CF2" w:rsidP="00A27CF2">
      <w:pPr>
        <w:pStyle w:val="FootnoteText"/>
        <w:rPr>
          <w:szCs w:val="24"/>
        </w:rPr>
      </w:pPr>
      <w:r>
        <w:rPr>
          <w:rStyle w:val="FootnoteReference"/>
        </w:rPr>
        <w:footnoteRef/>
      </w:r>
      <w:r w:rsidRPr="00047543">
        <w:tab/>
        <w:t>Kandidatländer och i förekommande fall potentiella kandidater i västra Balkan.</w:t>
      </w:r>
    </w:p>
  </w:footnote>
  <w:footnote w:id="38">
    <w:p w14:paraId="7F440931" w14:textId="77777777" w:rsidR="00A27CF2" w:rsidRPr="00047543" w:rsidRDefault="00A27CF2" w:rsidP="00A27CF2">
      <w:pPr>
        <w:pStyle w:val="FootnoteText"/>
        <w:rPr>
          <w:szCs w:val="24"/>
        </w:rPr>
      </w:pPr>
      <w:r>
        <w:rPr>
          <w:rStyle w:val="FootnoteReference"/>
        </w:rPr>
        <w:footnoteRef/>
      </w:r>
      <w:r w:rsidRPr="00047543">
        <w:tab/>
        <w:t>Output som ska anges är de produkter eller tjänster som levererats (t.ex. antal studentutbyten som har finansierats eller antal kilometer väg som har byggts).</w:t>
      </w:r>
    </w:p>
  </w:footnote>
  <w:footnote w:id="39">
    <w:p w14:paraId="7021A8B0" w14:textId="77777777" w:rsidR="00A27CF2" w:rsidRPr="00047543" w:rsidRDefault="00A27CF2" w:rsidP="00A27CF2">
      <w:pPr>
        <w:pStyle w:val="FootnoteText"/>
        <w:rPr>
          <w:szCs w:val="24"/>
        </w:rPr>
      </w:pPr>
      <w:r>
        <w:rPr>
          <w:rStyle w:val="FootnoteReference"/>
        </w:rPr>
        <w:footnoteRef/>
      </w:r>
      <w:r w:rsidRPr="00047543">
        <w:tab/>
        <w:t xml:space="preserve">Mål som redovisats under avsnitt 1.3.2: ”Specifikt/specifika mål” </w:t>
      </w:r>
    </w:p>
  </w:footnote>
  <w:footnote w:id="40">
    <w:p w14:paraId="56516CEF" w14:textId="77777777" w:rsidR="00A27CF2" w:rsidRPr="00047543" w:rsidRDefault="00A27CF2" w:rsidP="00A27CF2">
      <w:pPr>
        <w:pStyle w:val="FootnoteText"/>
        <w:rPr>
          <w:szCs w:val="24"/>
        </w:rPr>
      </w:pPr>
      <w:r>
        <w:rPr>
          <w:rStyle w:val="FootnoteReference"/>
        </w:rPr>
        <w:footnoteRef/>
      </w:r>
      <w:r w:rsidRPr="00047543">
        <w:tab/>
        <w:t>Vad gäller traditionella egna medel (tullar, sockeravgifter) ska nettobeloppen anges, dvs. bruttobeloppen minus 20 % avdrag för uppbördskostnader.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E2C79" w14:textId="77777777" w:rsidR="003E44E5" w:rsidRDefault="003E4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E0AAE" w14:textId="77777777" w:rsidR="003E44E5" w:rsidRDefault="003E44E5" w:rsidP="003E44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E216C" w14:textId="77777777" w:rsidR="003E44E5" w:rsidRPr="003E44E5" w:rsidRDefault="003E44E5" w:rsidP="003E44E5">
    <w:pPr>
      <w:pStyle w:val="HeaderLandscap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BC730" w14:textId="77777777" w:rsidR="003E44E5" w:rsidRPr="003E44E5" w:rsidRDefault="003E44E5" w:rsidP="003E4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30"/>
    <w:lvlOverride w:ilvl="0">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num>
  <w:num w:numId="20">
    <w:abstractNumId w:val="23"/>
    <w:lvlOverride w:ilvl="0">
      <w:startOverride w:val="1"/>
    </w:lvlOverride>
  </w:num>
  <w:num w:numId="21">
    <w:abstractNumId w:val="23"/>
  </w:num>
  <w:num w:numId="22">
    <w:abstractNumId w:val="12"/>
  </w:num>
  <w:num w:numId="23">
    <w:abstractNumId w:val="26"/>
  </w:num>
  <w:num w:numId="24">
    <w:abstractNumId w:val="6"/>
  </w:num>
  <w:num w:numId="25">
    <w:abstractNumId w:val="13"/>
  </w:num>
  <w:num w:numId="26">
    <w:abstractNumId w:val="14"/>
  </w:num>
  <w:num w:numId="27">
    <w:abstractNumId w:val="4"/>
  </w:num>
  <w:num w:numId="28">
    <w:abstractNumId w:val="25"/>
  </w:num>
  <w:num w:numId="29">
    <w:abstractNumId w:val="3"/>
  </w:num>
  <w:num w:numId="30">
    <w:abstractNumId w:val="15"/>
  </w:num>
  <w:num w:numId="31">
    <w:abstractNumId w:val="21"/>
  </w:num>
  <w:num w:numId="32">
    <w:abstractNumId w:val="22"/>
  </w:num>
  <w:num w:numId="33">
    <w:abstractNumId w:val="5"/>
  </w:num>
  <w:num w:numId="34">
    <w:abstractNumId w:val="19"/>
  </w:num>
  <w:num w:numId="35">
    <w:abstractNumId w:val="3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2-09 16:35: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EPKit_DocumentHasBeenSaved" w:val="true"/>
    <w:docVar w:name="LW_CORRIGENDUM" w:val="&lt;UNUSED&gt;"/>
    <w:docVar w:name="LW_COVERPAGE_EXISTS" w:val="True"/>
    <w:docVar w:name="LW_COVERPAGE_GUID" w:val="0169FEE8-60B0-4342-A50E-C759EEA5DAA1"/>
    <w:docVar w:name="LW_COVERPAGE_TYPE" w:val="1"/>
    <w:docVar w:name="LW_CreatedUtc" w:val="2025-10-15T10:51:32.9434130Z"/>
    <w:docVar w:name="LW_CROSSREFERENCE" w:val="&lt;UNUSED&gt;"/>
    <w:docVar w:name="LW_DocType" w:val="COM"/>
    <w:docVar w:name="LW_EMISSION" w:val="20.11.2025"/>
    <w:docVar w:name="LW_EMISSION_ISODATE" w:val="2025-11-20"/>
    <w:docVar w:name="LW_EMISSION_LOCATION" w:val="BRX"/>
    <w:docVar w:name="LW_EMISSION_PREFIX" w:val="Bryssel den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Text av betydelse för EES)"/>
    <w:docVar w:name="LW_LANGUE" w:val="SV"/>
    <w:docVar w:name="LW_LEVEL_OF_SENSITIVITY" w:val="Standard treatment"/>
    <w:docVar w:name="LW_NOM.INST" w:val="EUROPEISKA KOMMISSIONEN"/>
    <w:docVar w:name="LW_NOM.INST_JOINTDOC" w:val="&lt;EMPTY&gt;"/>
    <w:docVar w:name="LW_PART_NBR" w:val="1"/>
    <w:docVar w:name="LW_PART_NBR_TOTAL" w:val="1"/>
    <w:docVar w:name="LW_REF.II.NEW.CP" w:val="COD"/>
    <w:docVar w:name="LW_REF.II.NEW.CP_NUMBER" w:val="0363"/>
    <w:docVar w:name="LW_REF.II.NEW.CP_YEAR" w:val="2025"/>
    <w:docVar w:name="LW_REF.INST.NEW" w:val="COM"/>
    <w:docVar w:name="LW_REF.INST.NEW_ADOPTED" w:val="final"/>
    <w:docVar w:name="LW_REF.INST.NEW_TEXT" w:val="(2025) 8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Förslag till"/>
    <w:docVar w:name="LW_SUPERTITRE" w:val="&lt;UNUSED&gt;"/>
    <w:docVar w:name="LW_TITRE.OBJ.CP" w:val="om ändring av förordning (EU) 2019/1238 om en paneuropeisk privat pensionsprodukt (PEPP-produkt)"/>
    <w:docVar w:name="LW_TYPE.DOC.CP" w:val="EUROPAPARLAMENTETS OCH RÅDETS FÖRORDNING"/>
    <w:docVar w:name="LwApiVersions" w:val="LW4CoDe 1.24.5.0; LW 9.2, Build 20251112"/>
  </w:docVars>
  <w:rsids>
    <w:rsidRoot w:val="0040501D"/>
    <w:rsid w:val="00000077"/>
    <w:rsid w:val="000000E0"/>
    <w:rsid w:val="00000141"/>
    <w:rsid w:val="0000024F"/>
    <w:rsid w:val="00000590"/>
    <w:rsid w:val="000005D9"/>
    <w:rsid w:val="000007FD"/>
    <w:rsid w:val="00000AC7"/>
    <w:rsid w:val="00000C43"/>
    <w:rsid w:val="00000C67"/>
    <w:rsid w:val="00000C9F"/>
    <w:rsid w:val="00000CBE"/>
    <w:rsid w:val="00000CFF"/>
    <w:rsid w:val="00000E3D"/>
    <w:rsid w:val="00000E4D"/>
    <w:rsid w:val="00000E9C"/>
    <w:rsid w:val="00000EF2"/>
    <w:rsid w:val="00000FDC"/>
    <w:rsid w:val="00000FE4"/>
    <w:rsid w:val="000010A0"/>
    <w:rsid w:val="00001112"/>
    <w:rsid w:val="0000130F"/>
    <w:rsid w:val="0000137E"/>
    <w:rsid w:val="00001409"/>
    <w:rsid w:val="0000145D"/>
    <w:rsid w:val="000014BC"/>
    <w:rsid w:val="000015A8"/>
    <w:rsid w:val="000016F7"/>
    <w:rsid w:val="00001736"/>
    <w:rsid w:val="0000173C"/>
    <w:rsid w:val="0000189D"/>
    <w:rsid w:val="00001957"/>
    <w:rsid w:val="00001AA7"/>
    <w:rsid w:val="00001B4A"/>
    <w:rsid w:val="00001C0E"/>
    <w:rsid w:val="00001D58"/>
    <w:rsid w:val="00001DC4"/>
    <w:rsid w:val="00001E72"/>
    <w:rsid w:val="00001EFB"/>
    <w:rsid w:val="000020C0"/>
    <w:rsid w:val="000020F1"/>
    <w:rsid w:val="0000220B"/>
    <w:rsid w:val="000022A6"/>
    <w:rsid w:val="00002350"/>
    <w:rsid w:val="00002412"/>
    <w:rsid w:val="000024B8"/>
    <w:rsid w:val="000024E3"/>
    <w:rsid w:val="000026CB"/>
    <w:rsid w:val="00002741"/>
    <w:rsid w:val="00002767"/>
    <w:rsid w:val="00002781"/>
    <w:rsid w:val="000027BB"/>
    <w:rsid w:val="000028CF"/>
    <w:rsid w:val="00002916"/>
    <w:rsid w:val="000029BE"/>
    <w:rsid w:val="00002A91"/>
    <w:rsid w:val="00002BD1"/>
    <w:rsid w:val="00002BEF"/>
    <w:rsid w:val="00002C5C"/>
    <w:rsid w:val="00002CB8"/>
    <w:rsid w:val="00002D5C"/>
    <w:rsid w:val="00002D98"/>
    <w:rsid w:val="00002E10"/>
    <w:rsid w:val="00002EF4"/>
    <w:rsid w:val="00003088"/>
    <w:rsid w:val="000030CD"/>
    <w:rsid w:val="00003135"/>
    <w:rsid w:val="000031DB"/>
    <w:rsid w:val="000032F4"/>
    <w:rsid w:val="000033A5"/>
    <w:rsid w:val="00003489"/>
    <w:rsid w:val="00003628"/>
    <w:rsid w:val="0000368B"/>
    <w:rsid w:val="00003695"/>
    <w:rsid w:val="0000375A"/>
    <w:rsid w:val="000037E3"/>
    <w:rsid w:val="00003848"/>
    <w:rsid w:val="00003A6C"/>
    <w:rsid w:val="00003AE1"/>
    <w:rsid w:val="00003B33"/>
    <w:rsid w:val="00003B59"/>
    <w:rsid w:val="00003C5A"/>
    <w:rsid w:val="00003DC8"/>
    <w:rsid w:val="00003DDA"/>
    <w:rsid w:val="00003E2A"/>
    <w:rsid w:val="00003EE9"/>
    <w:rsid w:val="00003F0D"/>
    <w:rsid w:val="00003FCA"/>
    <w:rsid w:val="0000422A"/>
    <w:rsid w:val="000042CB"/>
    <w:rsid w:val="000042D6"/>
    <w:rsid w:val="000042E2"/>
    <w:rsid w:val="0000442C"/>
    <w:rsid w:val="000046E2"/>
    <w:rsid w:val="0000470A"/>
    <w:rsid w:val="000047A0"/>
    <w:rsid w:val="000047F0"/>
    <w:rsid w:val="000047FD"/>
    <w:rsid w:val="00004894"/>
    <w:rsid w:val="000048A3"/>
    <w:rsid w:val="0000497B"/>
    <w:rsid w:val="000049B3"/>
    <w:rsid w:val="000049C5"/>
    <w:rsid w:val="00004A40"/>
    <w:rsid w:val="00004AA2"/>
    <w:rsid w:val="00004C54"/>
    <w:rsid w:val="00004DBA"/>
    <w:rsid w:val="00004E07"/>
    <w:rsid w:val="00004E62"/>
    <w:rsid w:val="00004EBD"/>
    <w:rsid w:val="00004F27"/>
    <w:rsid w:val="0000501D"/>
    <w:rsid w:val="000050D9"/>
    <w:rsid w:val="000050EA"/>
    <w:rsid w:val="000050F6"/>
    <w:rsid w:val="00005172"/>
    <w:rsid w:val="0000520B"/>
    <w:rsid w:val="0000528D"/>
    <w:rsid w:val="000052D4"/>
    <w:rsid w:val="000054B8"/>
    <w:rsid w:val="000055A4"/>
    <w:rsid w:val="000055B1"/>
    <w:rsid w:val="0000560B"/>
    <w:rsid w:val="000056C0"/>
    <w:rsid w:val="000056FB"/>
    <w:rsid w:val="000058AF"/>
    <w:rsid w:val="000058EE"/>
    <w:rsid w:val="00005A2F"/>
    <w:rsid w:val="00005B37"/>
    <w:rsid w:val="00005B49"/>
    <w:rsid w:val="00005D2A"/>
    <w:rsid w:val="00005E74"/>
    <w:rsid w:val="0000603A"/>
    <w:rsid w:val="0000603E"/>
    <w:rsid w:val="0000609C"/>
    <w:rsid w:val="000060B9"/>
    <w:rsid w:val="000060CF"/>
    <w:rsid w:val="00006149"/>
    <w:rsid w:val="000061F6"/>
    <w:rsid w:val="00006290"/>
    <w:rsid w:val="000062C8"/>
    <w:rsid w:val="000062D2"/>
    <w:rsid w:val="00006344"/>
    <w:rsid w:val="00006417"/>
    <w:rsid w:val="00006626"/>
    <w:rsid w:val="000066E1"/>
    <w:rsid w:val="000067FE"/>
    <w:rsid w:val="0000698E"/>
    <w:rsid w:val="000069FC"/>
    <w:rsid w:val="00006AEB"/>
    <w:rsid w:val="00006B2E"/>
    <w:rsid w:val="00006B9E"/>
    <w:rsid w:val="00006D2B"/>
    <w:rsid w:val="00006D6B"/>
    <w:rsid w:val="000070BE"/>
    <w:rsid w:val="000070EC"/>
    <w:rsid w:val="000070FC"/>
    <w:rsid w:val="000070FE"/>
    <w:rsid w:val="00007168"/>
    <w:rsid w:val="00007231"/>
    <w:rsid w:val="0000729A"/>
    <w:rsid w:val="000074D4"/>
    <w:rsid w:val="000074FD"/>
    <w:rsid w:val="00007527"/>
    <w:rsid w:val="00007696"/>
    <w:rsid w:val="000076C7"/>
    <w:rsid w:val="00007878"/>
    <w:rsid w:val="00007885"/>
    <w:rsid w:val="00007953"/>
    <w:rsid w:val="00007A1C"/>
    <w:rsid w:val="00007A47"/>
    <w:rsid w:val="00007B5C"/>
    <w:rsid w:val="00007BF1"/>
    <w:rsid w:val="00007C55"/>
    <w:rsid w:val="00007CB7"/>
    <w:rsid w:val="00007CF6"/>
    <w:rsid w:val="00007D2F"/>
    <w:rsid w:val="00007DEE"/>
    <w:rsid w:val="00007ED0"/>
    <w:rsid w:val="00007F4F"/>
    <w:rsid w:val="0001007B"/>
    <w:rsid w:val="00010138"/>
    <w:rsid w:val="000101A5"/>
    <w:rsid w:val="000101BE"/>
    <w:rsid w:val="000102EF"/>
    <w:rsid w:val="00010331"/>
    <w:rsid w:val="000103E1"/>
    <w:rsid w:val="00010487"/>
    <w:rsid w:val="00010498"/>
    <w:rsid w:val="000105E6"/>
    <w:rsid w:val="000106F4"/>
    <w:rsid w:val="0001074E"/>
    <w:rsid w:val="00010787"/>
    <w:rsid w:val="0001087A"/>
    <w:rsid w:val="00010937"/>
    <w:rsid w:val="000109A8"/>
    <w:rsid w:val="00010A3C"/>
    <w:rsid w:val="00010B3B"/>
    <w:rsid w:val="00010BDF"/>
    <w:rsid w:val="00010C73"/>
    <w:rsid w:val="00010E08"/>
    <w:rsid w:val="00010F0C"/>
    <w:rsid w:val="00011143"/>
    <w:rsid w:val="0001124A"/>
    <w:rsid w:val="0001129B"/>
    <w:rsid w:val="000112C5"/>
    <w:rsid w:val="0001133D"/>
    <w:rsid w:val="00011442"/>
    <w:rsid w:val="0001149A"/>
    <w:rsid w:val="000115EB"/>
    <w:rsid w:val="000116EB"/>
    <w:rsid w:val="000117A2"/>
    <w:rsid w:val="000117F4"/>
    <w:rsid w:val="0001185E"/>
    <w:rsid w:val="00011862"/>
    <w:rsid w:val="000118C2"/>
    <w:rsid w:val="0001190E"/>
    <w:rsid w:val="00011ADF"/>
    <w:rsid w:val="00011B72"/>
    <w:rsid w:val="00011C57"/>
    <w:rsid w:val="00011D55"/>
    <w:rsid w:val="00011D81"/>
    <w:rsid w:val="00011E30"/>
    <w:rsid w:val="00011F8B"/>
    <w:rsid w:val="00012064"/>
    <w:rsid w:val="00012069"/>
    <w:rsid w:val="00012096"/>
    <w:rsid w:val="000121CC"/>
    <w:rsid w:val="0001232C"/>
    <w:rsid w:val="0001237E"/>
    <w:rsid w:val="00012444"/>
    <w:rsid w:val="00012510"/>
    <w:rsid w:val="00012631"/>
    <w:rsid w:val="0001267F"/>
    <w:rsid w:val="0001268A"/>
    <w:rsid w:val="000126BB"/>
    <w:rsid w:val="00012989"/>
    <w:rsid w:val="000129B3"/>
    <w:rsid w:val="000129DF"/>
    <w:rsid w:val="00012A69"/>
    <w:rsid w:val="00012A6F"/>
    <w:rsid w:val="00012CA9"/>
    <w:rsid w:val="00012CDC"/>
    <w:rsid w:val="00012D11"/>
    <w:rsid w:val="00012D6B"/>
    <w:rsid w:val="00012E8E"/>
    <w:rsid w:val="00012ED7"/>
    <w:rsid w:val="00012FA5"/>
    <w:rsid w:val="00013002"/>
    <w:rsid w:val="000130A7"/>
    <w:rsid w:val="0001319E"/>
    <w:rsid w:val="00013208"/>
    <w:rsid w:val="0001337F"/>
    <w:rsid w:val="00013391"/>
    <w:rsid w:val="00013657"/>
    <w:rsid w:val="00013681"/>
    <w:rsid w:val="00013682"/>
    <w:rsid w:val="000136AE"/>
    <w:rsid w:val="0001373B"/>
    <w:rsid w:val="000137AA"/>
    <w:rsid w:val="000137B1"/>
    <w:rsid w:val="000137CE"/>
    <w:rsid w:val="00013CD8"/>
    <w:rsid w:val="00013DCF"/>
    <w:rsid w:val="00013EAF"/>
    <w:rsid w:val="00013F94"/>
    <w:rsid w:val="00014178"/>
    <w:rsid w:val="000141A4"/>
    <w:rsid w:val="000141A5"/>
    <w:rsid w:val="000142EC"/>
    <w:rsid w:val="000142ED"/>
    <w:rsid w:val="0001447A"/>
    <w:rsid w:val="000144AD"/>
    <w:rsid w:val="00014527"/>
    <w:rsid w:val="00014627"/>
    <w:rsid w:val="000146DC"/>
    <w:rsid w:val="00014903"/>
    <w:rsid w:val="0001492A"/>
    <w:rsid w:val="00014939"/>
    <w:rsid w:val="000149AA"/>
    <w:rsid w:val="00014AF3"/>
    <w:rsid w:val="00014D75"/>
    <w:rsid w:val="00014E30"/>
    <w:rsid w:val="00014E6C"/>
    <w:rsid w:val="00014EE0"/>
    <w:rsid w:val="00014F47"/>
    <w:rsid w:val="00014FCA"/>
    <w:rsid w:val="000150B1"/>
    <w:rsid w:val="00015221"/>
    <w:rsid w:val="000152A2"/>
    <w:rsid w:val="0001547C"/>
    <w:rsid w:val="000154BB"/>
    <w:rsid w:val="0001568E"/>
    <w:rsid w:val="00015910"/>
    <w:rsid w:val="00015A69"/>
    <w:rsid w:val="00015AE1"/>
    <w:rsid w:val="00015AF7"/>
    <w:rsid w:val="00015BA1"/>
    <w:rsid w:val="00015CFC"/>
    <w:rsid w:val="00015D42"/>
    <w:rsid w:val="00015DCB"/>
    <w:rsid w:val="00015EA8"/>
    <w:rsid w:val="00016023"/>
    <w:rsid w:val="000162D1"/>
    <w:rsid w:val="00016341"/>
    <w:rsid w:val="0001645F"/>
    <w:rsid w:val="000165C9"/>
    <w:rsid w:val="0001666A"/>
    <w:rsid w:val="00016750"/>
    <w:rsid w:val="0001675C"/>
    <w:rsid w:val="00016778"/>
    <w:rsid w:val="000167AB"/>
    <w:rsid w:val="00016800"/>
    <w:rsid w:val="00016858"/>
    <w:rsid w:val="00016924"/>
    <w:rsid w:val="00016ABB"/>
    <w:rsid w:val="00016B54"/>
    <w:rsid w:val="00016B64"/>
    <w:rsid w:val="00016CD8"/>
    <w:rsid w:val="00016D14"/>
    <w:rsid w:val="00016D9A"/>
    <w:rsid w:val="00016DC3"/>
    <w:rsid w:val="00016E6F"/>
    <w:rsid w:val="00016E99"/>
    <w:rsid w:val="0001709C"/>
    <w:rsid w:val="00017135"/>
    <w:rsid w:val="000171D3"/>
    <w:rsid w:val="0001722F"/>
    <w:rsid w:val="000172C0"/>
    <w:rsid w:val="00017375"/>
    <w:rsid w:val="00017394"/>
    <w:rsid w:val="00017395"/>
    <w:rsid w:val="000173E7"/>
    <w:rsid w:val="00017541"/>
    <w:rsid w:val="00017617"/>
    <w:rsid w:val="00017622"/>
    <w:rsid w:val="0001770A"/>
    <w:rsid w:val="00017954"/>
    <w:rsid w:val="00017A34"/>
    <w:rsid w:val="00017A3B"/>
    <w:rsid w:val="00017B20"/>
    <w:rsid w:val="00017BB0"/>
    <w:rsid w:val="00017C08"/>
    <w:rsid w:val="00017C27"/>
    <w:rsid w:val="00017CED"/>
    <w:rsid w:val="00017E7C"/>
    <w:rsid w:val="00017F3B"/>
    <w:rsid w:val="00020032"/>
    <w:rsid w:val="0002010F"/>
    <w:rsid w:val="0002020F"/>
    <w:rsid w:val="000202D2"/>
    <w:rsid w:val="00020456"/>
    <w:rsid w:val="000204B0"/>
    <w:rsid w:val="000204EC"/>
    <w:rsid w:val="000205B1"/>
    <w:rsid w:val="000205CB"/>
    <w:rsid w:val="000206A3"/>
    <w:rsid w:val="00020728"/>
    <w:rsid w:val="00020958"/>
    <w:rsid w:val="000209BB"/>
    <w:rsid w:val="00020B25"/>
    <w:rsid w:val="00020B44"/>
    <w:rsid w:val="00020B57"/>
    <w:rsid w:val="00020CAD"/>
    <w:rsid w:val="00020CEF"/>
    <w:rsid w:val="00020D7D"/>
    <w:rsid w:val="000210DD"/>
    <w:rsid w:val="00021126"/>
    <w:rsid w:val="00021159"/>
    <w:rsid w:val="00021183"/>
    <w:rsid w:val="00021593"/>
    <w:rsid w:val="000215E0"/>
    <w:rsid w:val="000216A4"/>
    <w:rsid w:val="00021709"/>
    <w:rsid w:val="000217C5"/>
    <w:rsid w:val="00021821"/>
    <w:rsid w:val="00021847"/>
    <w:rsid w:val="000218D6"/>
    <w:rsid w:val="0002190E"/>
    <w:rsid w:val="0002198C"/>
    <w:rsid w:val="000219AF"/>
    <w:rsid w:val="000219EA"/>
    <w:rsid w:val="00021A5E"/>
    <w:rsid w:val="00021A77"/>
    <w:rsid w:val="00021AB4"/>
    <w:rsid w:val="00021B04"/>
    <w:rsid w:val="00021B3F"/>
    <w:rsid w:val="00021B6C"/>
    <w:rsid w:val="00021B91"/>
    <w:rsid w:val="00021BA3"/>
    <w:rsid w:val="00021C29"/>
    <w:rsid w:val="00021D28"/>
    <w:rsid w:val="00021D29"/>
    <w:rsid w:val="000220E1"/>
    <w:rsid w:val="00022275"/>
    <w:rsid w:val="000222FA"/>
    <w:rsid w:val="00022333"/>
    <w:rsid w:val="00022433"/>
    <w:rsid w:val="000225F8"/>
    <w:rsid w:val="000226EB"/>
    <w:rsid w:val="0002276C"/>
    <w:rsid w:val="000227ED"/>
    <w:rsid w:val="00022920"/>
    <w:rsid w:val="000229B2"/>
    <w:rsid w:val="00022A81"/>
    <w:rsid w:val="00022AD8"/>
    <w:rsid w:val="00022B3F"/>
    <w:rsid w:val="00022CBE"/>
    <w:rsid w:val="00022DA1"/>
    <w:rsid w:val="00022E68"/>
    <w:rsid w:val="00022F1E"/>
    <w:rsid w:val="00023121"/>
    <w:rsid w:val="00023141"/>
    <w:rsid w:val="000232DF"/>
    <w:rsid w:val="0002354D"/>
    <w:rsid w:val="00023755"/>
    <w:rsid w:val="00023808"/>
    <w:rsid w:val="00023811"/>
    <w:rsid w:val="000238CE"/>
    <w:rsid w:val="00023915"/>
    <w:rsid w:val="0002396E"/>
    <w:rsid w:val="00023A45"/>
    <w:rsid w:val="00023C6B"/>
    <w:rsid w:val="00023C88"/>
    <w:rsid w:val="00023CA5"/>
    <w:rsid w:val="00024035"/>
    <w:rsid w:val="0002406A"/>
    <w:rsid w:val="000240B2"/>
    <w:rsid w:val="00024207"/>
    <w:rsid w:val="00024298"/>
    <w:rsid w:val="000243F7"/>
    <w:rsid w:val="000244DB"/>
    <w:rsid w:val="0002453A"/>
    <w:rsid w:val="0002454F"/>
    <w:rsid w:val="0002476B"/>
    <w:rsid w:val="00024865"/>
    <w:rsid w:val="00024A63"/>
    <w:rsid w:val="00024A7B"/>
    <w:rsid w:val="00024AB0"/>
    <w:rsid w:val="00024AF2"/>
    <w:rsid w:val="00024D9D"/>
    <w:rsid w:val="00024E21"/>
    <w:rsid w:val="00024F0A"/>
    <w:rsid w:val="00024F6A"/>
    <w:rsid w:val="00024FFE"/>
    <w:rsid w:val="0002502F"/>
    <w:rsid w:val="00025047"/>
    <w:rsid w:val="0002526F"/>
    <w:rsid w:val="00025311"/>
    <w:rsid w:val="00025377"/>
    <w:rsid w:val="00025431"/>
    <w:rsid w:val="0002547A"/>
    <w:rsid w:val="00025515"/>
    <w:rsid w:val="000255B7"/>
    <w:rsid w:val="00025628"/>
    <w:rsid w:val="00025644"/>
    <w:rsid w:val="00025744"/>
    <w:rsid w:val="00025748"/>
    <w:rsid w:val="00025757"/>
    <w:rsid w:val="000257A6"/>
    <w:rsid w:val="000257BE"/>
    <w:rsid w:val="000257EC"/>
    <w:rsid w:val="000258B1"/>
    <w:rsid w:val="000258DD"/>
    <w:rsid w:val="000259DF"/>
    <w:rsid w:val="00025A0C"/>
    <w:rsid w:val="00025B10"/>
    <w:rsid w:val="00025B49"/>
    <w:rsid w:val="00025BC2"/>
    <w:rsid w:val="00025CD3"/>
    <w:rsid w:val="00025CD6"/>
    <w:rsid w:val="00025E90"/>
    <w:rsid w:val="00026272"/>
    <w:rsid w:val="000262A9"/>
    <w:rsid w:val="00026344"/>
    <w:rsid w:val="0002639D"/>
    <w:rsid w:val="000263CE"/>
    <w:rsid w:val="00026508"/>
    <w:rsid w:val="00026553"/>
    <w:rsid w:val="000267AC"/>
    <w:rsid w:val="00026828"/>
    <w:rsid w:val="00026938"/>
    <w:rsid w:val="00026B28"/>
    <w:rsid w:val="00026B3D"/>
    <w:rsid w:val="00026D77"/>
    <w:rsid w:val="0002703A"/>
    <w:rsid w:val="00027075"/>
    <w:rsid w:val="00027221"/>
    <w:rsid w:val="00027354"/>
    <w:rsid w:val="00027359"/>
    <w:rsid w:val="000274A2"/>
    <w:rsid w:val="000274E6"/>
    <w:rsid w:val="000275A3"/>
    <w:rsid w:val="00027786"/>
    <w:rsid w:val="000277D6"/>
    <w:rsid w:val="000279A6"/>
    <w:rsid w:val="00027A08"/>
    <w:rsid w:val="00027AEF"/>
    <w:rsid w:val="00027BEB"/>
    <w:rsid w:val="00027C0C"/>
    <w:rsid w:val="00027C72"/>
    <w:rsid w:val="00027D3B"/>
    <w:rsid w:val="00027D42"/>
    <w:rsid w:val="00027D5A"/>
    <w:rsid w:val="000300FE"/>
    <w:rsid w:val="00030158"/>
    <w:rsid w:val="0003020F"/>
    <w:rsid w:val="000303BD"/>
    <w:rsid w:val="0003054D"/>
    <w:rsid w:val="00030569"/>
    <w:rsid w:val="000305F4"/>
    <w:rsid w:val="00030603"/>
    <w:rsid w:val="000306DD"/>
    <w:rsid w:val="00030797"/>
    <w:rsid w:val="00030836"/>
    <w:rsid w:val="00030942"/>
    <w:rsid w:val="0003099E"/>
    <w:rsid w:val="000309B2"/>
    <w:rsid w:val="00030A9F"/>
    <w:rsid w:val="00030C08"/>
    <w:rsid w:val="00030C8E"/>
    <w:rsid w:val="00030E6F"/>
    <w:rsid w:val="00030EC4"/>
    <w:rsid w:val="0003102A"/>
    <w:rsid w:val="0003111A"/>
    <w:rsid w:val="00031336"/>
    <w:rsid w:val="00031375"/>
    <w:rsid w:val="00031435"/>
    <w:rsid w:val="00031636"/>
    <w:rsid w:val="000316F0"/>
    <w:rsid w:val="0003188A"/>
    <w:rsid w:val="00031ACD"/>
    <w:rsid w:val="00031B5A"/>
    <w:rsid w:val="00031B74"/>
    <w:rsid w:val="00031B89"/>
    <w:rsid w:val="00031CAE"/>
    <w:rsid w:val="00031E7D"/>
    <w:rsid w:val="0003204C"/>
    <w:rsid w:val="00032074"/>
    <w:rsid w:val="000320F7"/>
    <w:rsid w:val="00032116"/>
    <w:rsid w:val="000321FD"/>
    <w:rsid w:val="00032201"/>
    <w:rsid w:val="0003226D"/>
    <w:rsid w:val="00032345"/>
    <w:rsid w:val="0003234C"/>
    <w:rsid w:val="00032456"/>
    <w:rsid w:val="00032518"/>
    <w:rsid w:val="0003266A"/>
    <w:rsid w:val="00032727"/>
    <w:rsid w:val="000327CC"/>
    <w:rsid w:val="00032A2A"/>
    <w:rsid w:val="00032ABF"/>
    <w:rsid w:val="00032ACE"/>
    <w:rsid w:val="00032BD9"/>
    <w:rsid w:val="00032BE1"/>
    <w:rsid w:val="00032C09"/>
    <w:rsid w:val="00032D0E"/>
    <w:rsid w:val="00032DFB"/>
    <w:rsid w:val="00033049"/>
    <w:rsid w:val="00033187"/>
    <w:rsid w:val="000331A1"/>
    <w:rsid w:val="000332A8"/>
    <w:rsid w:val="000334F6"/>
    <w:rsid w:val="000336DC"/>
    <w:rsid w:val="000336DD"/>
    <w:rsid w:val="00033714"/>
    <w:rsid w:val="0003372A"/>
    <w:rsid w:val="000338AB"/>
    <w:rsid w:val="00033937"/>
    <w:rsid w:val="00033AF4"/>
    <w:rsid w:val="00033DA8"/>
    <w:rsid w:val="00033DC2"/>
    <w:rsid w:val="00033E93"/>
    <w:rsid w:val="00033EEC"/>
    <w:rsid w:val="00033F06"/>
    <w:rsid w:val="00033FC3"/>
    <w:rsid w:val="000343D0"/>
    <w:rsid w:val="000344B2"/>
    <w:rsid w:val="000344CA"/>
    <w:rsid w:val="00034581"/>
    <w:rsid w:val="000345FF"/>
    <w:rsid w:val="0003460A"/>
    <w:rsid w:val="00034764"/>
    <w:rsid w:val="0003476D"/>
    <w:rsid w:val="000347C1"/>
    <w:rsid w:val="00034836"/>
    <w:rsid w:val="00034B10"/>
    <w:rsid w:val="00034B65"/>
    <w:rsid w:val="00034BAE"/>
    <w:rsid w:val="00034C2A"/>
    <w:rsid w:val="00034CB9"/>
    <w:rsid w:val="00034CE3"/>
    <w:rsid w:val="00034D29"/>
    <w:rsid w:val="00034DDA"/>
    <w:rsid w:val="00034F6E"/>
    <w:rsid w:val="00035104"/>
    <w:rsid w:val="00035129"/>
    <w:rsid w:val="000351E8"/>
    <w:rsid w:val="00035223"/>
    <w:rsid w:val="0003538D"/>
    <w:rsid w:val="000353DF"/>
    <w:rsid w:val="000353FD"/>
    <w:rsid w:val="00035678"/>
    <w:rsid w:val="00035724"/>
    <w:rsid w:val="000357AA"/>
    <w:rsid w:val="00035965"/>
    <w:rsid w:val="00035A8E"/>
    <w:rsid w:val="00035B81"/>
    <w:rsid w:val="00035B87"/>
    <w:rsid w:val="00035BCB"/>
    <w:rsid w:val="00035BEE"/>
    <w:rsid w:val="00035C2A"/>
    <w:rsid w:val="00035CF0"/>
    <w:rsid w:val="00035CFC"/>
    <w:rsid w:val="00035D5D"/>
    <w:rsid w:val="00035DEE"/>
    <w:rsid w:val="00035E0C"/>
    <w:rsid w:val="00035E48"/>
    <w:rsid w:val="00035E66"/>
    <w:rsid w:val="00035F24"/>
    <w:rsid w:val="00036150"/>
    <w:rsid w:val="0003622D"/>
    <w:rsid w:val="000362E6"/>
    <w:rsid w:val="000363DE"/>
    <w:rsid w:val="00036412"/>
    <w:rsid w:val="00036570"/>
    <w:rsid w:val="000365DC"/>
    <w:rsid w:val="00036648"/>
    <w:rsid w:val="00036883"/>
    <w:rsid w:val="00036991"/>
    <w:rsid w:val="000369CC"/>
    <w:rsid w:val="00036A5F"/>
    <w:rsid w:val="00036B3C"/>
    <w:rsid w:val="00036B96"/>
    <w:rsid w:val="00036BAC"/>
    <w:rsid w:val="00036D20"/>
    <w:rsid w:val="00036DD3"/>
    <w:rsid w:val="00036E0E"/>
    <w:rsid w:val="00036EAE"/>
    <w:rsid w:val="00036F41"/>
    <w:rsid w:val="00036F75"/>
    <w:rsid w:val="00036FA5"/>
    <w:rsid w:val="000370BC"/>
    <w:rsid w:val="00037197"/>
    <w:rsid w:val="00037395"/>
    <w:rsid w:val="000373D1"/>
    <w:rsid w:val="000373F4"/>
    <w:rsid w:val="00037472"/>
    <w:rsid w:val="00037515"/>
    <w:rsid w:val="00037566"/>
    <w:rsid w:val="00037598"/>
    <w:rsid w:val="00037605"/>
    <w:rsid w:val="000376BA"/>
    <w:rsid w:val="000376C4"/>
    <w:rsid w:val="00037740"/>
    <w:rsid w:val="00037746"/>
    <w:rsid w:val="0003777A"/>
    <w:rsid w:val="00037961"/>
    <w:rsid w:val="00037A27"/>
    <w:rsid w:val="00037A91"/>
    <w:rsid w:val="00037AE5"/>
    <w:rsid w:val="00037B1C"/>
    <w:rsid w:val="00037B48"/>
    <w:rsid w:val="00037D25"/>
    <w:rsid w:val="00037E12"/>
    <w:rsid w:val="00037F5F"/>
    <w:rsid w:val="00037F64"/>
    <w:rsid w:val="00037FA1"/>
    <w:rsid w:val="0003C8AD"/>
    <w:rsid w:val="0004004C"/>
    <w:rsid w:val="000400CA"/>
    <w:rsid w:val="000402FE"/>
    <w:rsid w:val="000403E8"/>
    <w:rsid w:val="0004044D"/>
    <w:rsid w:val="0004046F"/>
    <w:rsid w:val="00040646"/>
    <w:rsid w:val="000406C1"/>
    <w:rsid w:val="000407D3"/>
    <w:rsid w:val="0004086E"/>
    <w:rsid w:val="00040984"/>
    <w:rsid w:val="00040B78"/>
    <w:rsid w:val="00040BA4"/>
    <w:rsid w:val="00040D3B"/>
    <w:rsid w:val="00040E49"/>
    <w:rsid w:val="00040E52"/>
    <w:rsid w:val="00040E56"/>
    <w:rsid w:val="00040E6C"/>
    <w:rsid w:val="00040F0A"/>
    <w:rsid w:val="00040FE4"/>
    <w:rsid w:val="000410E5"/>
    <w:rsid w:val="00041150"/>
    <w:rsid w:val="00041154"/>
    <w:rsid w:val="000412B1"/>
    <w:rsid w:val="0004133C"/>
    <w:rsid w:val="00041372"/>
    <w:rsid w:val="0004168B"/>
    <w:rsid w:val="00041693"/>
    <w:rsid w:val="000417FC"/>
    <w:rsid w:val="00041A2F"/>
    <w:rsid w:val="00041AC2"/>
    <w:rsid w:val="00041AFF"/>
    <w:rsid w:val="00041BD1"/>
    <w:rsid w:val="00041C22"/>
    <w:rsid w:val="00041CDC"/>
    <w:rsid w:val="00041F36"/>
    <w:rsid w:val="0004205D"/>
    <w:rsid w:val="000420C5"/>
    <w:rsid w:val="000420FE"/>
    <w:rsid w:val="00042137"/>
    <w:rsid w:val="000421E9"/>
    <w:rsid w:val="00042235"/>
    <w:rsid w:val="0004236D"/>
    <w:rsid w:val="00042372"/>
    <w:rsid w:val="0004247D"/>
    <w:rsid w:val="000424D8"/>
    <w:rsid w:val="00042573"/>
    <w:rsid w:val="0004258B"/>
    <w:rsid w:val="000426B4"/>
    <w:rsid w:val="000427F0"/>
    <w:rsid w:val="00042884"/>
    <w:rsid w:val="00042971"/>
    <w:rsid w:val="000429E3"/>
    <w:rsid w:val="00042A40"/>
    <w:rsid w:val="00042B4A"/>
    <w:rsid w:val="00042D08"/>
    <w:rsid w:val="00042EAA"/>
    <w:rsid w:val="00042EAB"/>
    <w:rsid w:val="00042EEE"/>
    <w:rsid w:val="00042FB9"/>
    <w:rsid w:val="000430E7"/>
    <w:rsid w:val="00043174"/>
    <w:rsid w:val="0004324D"/>
    <w:rsid w:val="0004325C"/>
    <w:rsid w:val="0004334D"/>
    <w:rsid w:val="00043352"/>
    <w:rsid w:val="000434B2"/>
    <w:rsid w:val="00043598"/>
    <w:rsid w:val="00043616"/>
    <w:rsid w:val="00043645"/>
    <w:rsid w:val="000437B3"/>
    <w:rsid w:val="000437C9"/>
    <w:rsid w:val="00043A42"/>
    <w:rsid w:val="00043A56"/>
    <w:rsid w:val="00043B6D"/>
    <w:rsid w:val="00043BAA"/>
    <w:rsid w:val="00043C2A"/>
    <w:rsid w:val="00043C6E"/>
    <w:rsid w:val="00043CB5"/>
    <w:rsid w:val="00043D5B"/>
    <w:rsid w:val="00043DC1"/>
    <w:rsid w:val="00043E7F"/>
    <w:rsid w:val="00043F0F"/>
    <w:rsid w:val="00043F8B"/>
    <w:rsid w:val="00044120"/>
    <w:rsid w:val="00044236"/>
    <w:rsid w:val="00044262"/>
    <w:rsid w:val="000442FA"/>
    <w:rsid w:val="0004434F"/>
    <w:rsid w:val="00044359"/>
    <w:rsid w:val="000444B3"/>
    <w:rsid w:val="00044529"/>
    <w:rsid w:val="000445AC"/>
    <w:rsid w:val="000445CF"/>
    <w:rsid w:val="000445F5"/>
    <w:rsid w:val="00044648"/>
    <w:rsid w:val="00044649"/>
    <w:rsid w:val="0004475A"/>
    <w:rsid w:val="00044775"/>
    <w:rsid w:val="0004488C"/>
    <w:rsid w:val="000448FB"/>
    <w:rsid w:val="00044902"/>
    <w:rsid w:val="00044922"/>
    <w:rsid w:val="00044A16"/>
    <w:rsid w:val="00044A88"/>
    <w:rsid w:val="00044A8F"/>
    <w:rsid w:val="00044B8A"/>
    <w:rsid w:val="00044BB5"/>
    <w:rsid w:val="00044C6F"/>
    <w:rsid w:val="00044CDF"/>
    <w:rsid w:val="00044ED0"/>
    <w:rsid w:val="000451B2"/>
    <w:rsid w:val="000454D7"/>
    <w:rsid w:val="000455C3"/>
    <w:rsid w:val="000455D7"/>
    <w:rsid w:val="00045686"/>
    <w:rsid w:val="000456FD"/>
    <w:rsid w:val="00045705"/>
    <w:rsid w:val="000457E2"/>
    <w:rsid w:val="00045A47"/>
    <w:rsid w:val="00045B0C"/>
    <w:rsid w:val="00045B47"/>
    <w:rsid w:val="00045C1A"/>
    <w:rsid w:val="00045C42"/>
    <w:rsid w:val="00045CD4"/>
    <w:rsid w:val="00045E60"/>
    <w:rsid w:val="00045EA9"/>
    <w:rsid w:val="00045F3D"/>
    <w:rsid w:val="00046000"/>
    <w:rsid w:val="00046017"/>
    <w:rsid w:val="000460E6"/>
    <w:rsid w:val="000461E3"/>
    <w:rsid w:val="00046262"/>
    <w:rsid w:val="0004629D"/>
    <w:rsid w:val="00046391"/>
    <w:rsid w:val="00046485"/>
    <w:rsid w:val="0004649B"/>
    <w:rsid w:val="00046678"/>
    <w:rsid w:val="000466E3"/>
    <w:rsid w:val="0004670B"/>
    <w:rsid w:val="00046765"/>
    <w:rsid w:val="00046920"/>
    <w:rsid w:val="00046942"/>
    <w:rsid w:val="0004699B"/>
    <w:rsid w:val="00046A8E"/>
    <w:rsid w:val="00046CBD"/>
    <w:rsid w:val="0004701F"/>
    <w:rsid w:val="000470D1"/>
    <w:rsid w:val="0004740E"/>
    <w:rsid w:val="0004748C"/>
    <w:rsid w:val="00047543"/>
    <w:rsid w:val="000478B5"/>
    <w:rsid w:val="0004796B"/>
    <w:rsid w:val="00047994"/>
    <w:rsid w:val="00047A81"/>
    <w:rsid w:val="00047C07"/>
    <w:rsid w:val="00047CE9"/>
    <w:rsid w:val="00047D1E"/>
    <w:rsid w:val="00047D4A"/>
    <w:rsid w:val="00047DA0"/>
    <w:rsid w:val="00047E04"/>
    <w:rsid w:val="00047EAF"/>
    <w:rsid w:val="00047FA1"/>
    <w:rsid w:val="00047FA7"/>
    <w:rsid w:val="00047FDC"/>
    <w:rsid w:val="000500D4"/>
    <w:rsid w:val="00050182"/>
    <w:rsid w:val="00050213"/>
    <w:rsid w:val="00050226"/>
    <w:rsid w:val="000502F5"/>
    <w:rsid w:val="0005032E"/>
    <w:rsid w:val="000503DD"/>
    <w:rsid w:val="0005047E"/>
    <w:rsid w:val="0005074D"/>
    <w:rsid w:val="00050806"/>
    <w:rsid w:val="00050897"/>
    <w:rsid w:val="000508EC"/>
    <w:rsid w:val="000509B0"/>
    <w:rsid w:val="000509D4"/>
    <w:rsid w:val="00050A2E"/>
    <w:rsid w:val="00050A84"/>
    <w:rsid w:val="00050A8B"/>
    <w:rsid w:val="00050AC0"/>
    <w:rsid w:val="00050BAE"/>
    <w:rsid w:val="00050BDB"/>
    <w:rsid w:val="00050C17"/>
    <w:rsid w:val="00050C1C"/>
    <w:rsid w:val="00050D39"/>
    <w:rsid w:val="00050E4B"/>
    <w:rsid w:val="000510FF"/>
    <w:rsid w:val="0005113E"/>
    <w:rsid w:val="0005114D"/>
    <w:rsid w:val="0005130C"/>
    <w:rsid w:val="0005134F"/>
    <w:rsid w:val="0005136A"/>
    <w:rsid w:val="00051518"/>
    <w:rsid w:val="0005163D"/>
    <w:rsid w:val="000518D5"/>
    <w:rsid w:val="000518DE"/>
    <w:rsid w:val="000518E1"/>
    <w:rsid w:val="000519DF"/>
    <w:rsid w:val="00051B3F"/>
    <w:rsid w:val="00051C00"/>
    <w:rsid w:val="00051CE3"/>
    <w:rsid w:val="00051F52"/>
    <w:rsid w:val="00052040"/>
    <w:rsid w:val="00052070"/>
    <w:rsid w:val="000522B2"/>
    <w:rsid w:val="0005231D"/>
    <w:rsid w:val="000525AF"/>
    <w:rsid w:val="000525BD"/>
    <w:rsid w:val="00052632"/>
    <w:rsid w:val="0005274E"/>
    <w:rsid w:val="0005274F"/>
    <w:rsid w:val="0005282E"/>
    <w:rsid w:val="00052B33"/>
    <w:rsid w:val="00052DAC"/>
    <w:rsid w:val="00052EA7"/>
    <w:rsid w:val="00052ED2"/>
    <w:rsid w:val="0005302A"/>
    <w:rsid w:val="000531B7"/>
    <w:rsid w:val="0005321A"/>
    <w:rsid w:val="0005326B"/>
    <w:rsid w:val="00053401"/>
    <w:rsid w:val="00053834"/>
    <w:rsid w:val="00053901"/>
    <w:rsid w:val="00053910"/>
    <w:rsid w:val="00053916"/>
    <w:rsid w:val="00053996"/>
    <w:rsid w:val="00053C53"/>
    <w:rsid w:val="00053D64"/>
    <w:rsid w:val="00053E4F"/>
    <w:rsid w:val="00053F5B"/>
    <w:rsid w:val="00053F81"/>
    <w:rsid w:val="000540C8"/>
    <w:rsid w:val="00054481"/>
    <w:rsid w:val="00054581"/>
    <w:rsid w:val="000545E6"/>
    <w:rsid w:val="00054658"/>
    <w:rsid w:val="000546B5"/>
    <w:rsid w:val="00054705"/>
    <w:rsid w:val="0005474A"/>
    <w:rsid w:val="000548B9"/>
    <w:rsid w:val="00054905"/>
    <w:rsid w:val="0005493B"/>
    <w:rsid w:val="000549A8"/>
    <w:rsid w:val="00054B70"/>
    <w:rsid w:val="00054B8B"/>
    <w:rsid w:val="00054CE8"/>
    <w:rsid w:val="00054E51"/>
    <w:rsid w:val="00054E8E"/>
    <w:rsid w:val="00054FBE"/>
    <w:rsid w:val="00055015"/>
    <w:rsid w:val="00055169"/>
    <w:rsid w:val="00055193"/>
    <w:rsid w:val="000551C0"/>
    <w:rsid w:val="00055229"/>
    <w:rsid w:val="000554B9"/>
    <w:rsid w:val="0005557B"/>
    <w:rsid w:val="00055754"/>
    <w:rsid w:val="00055779"/>
    <w:rsid w:val="0005588A"/>
    <w:rsid w:val="00055966"/>
    <w:rsid w:val="00055B5C"/>
    <w:rsid w:val="00055C07"/>
    <w:rsid w:val="00055CAC"/>
    <w:rsid w:val="00055EE0"/>
    <w:rsid w:val="00055EF2"/>
    <w:rsid w:val="00055F74"/>
    <w:rsid w:val="000560F3"/>
    <w:rsid w:val="000561E9"/>
    <w:rsid w:val="000562F0"/>
    <w:rsid w:val="0005653B"/>
    <w:rsid w:val="00056592"/>
    <w:rsid w:val="0005663C"/>
    <w:rsid w:val="00056B07"/>
    <w:rsid w:val="00056B13"/>
    <w:rsid w:val="00056C7D"/>
    <w:rsid w:val="00056D5A"/>
    <w:rsid w:val="00056FBC"/>
    <w:rsid w:val="00057060"/>
    <w:rsid w:val="000570B8"/>
    <w:rsid w:val="000572BD"/>
    <w:rsid w:val="0005734D"/>
    <w:rsid w:val="000573D2"/>
    <w:rsid w:val="0005742B"/>
    <w:rsid w:val="00057460"/>
    <w:rsid w:val="00057563"/>
    <w:rsid w:val="00057659"/>
    <w:rsid w:val="0005773B"/>
    <w:rsid w:val="00057761"/>
    <w:rsid w:val="00057770"/>
    <w:rsid w:val="00057822"/>
    <w:rsid w:val="00057863"/>
    <w:rsid w:val="00057AD5"/>
    <w:rsid w:val="00057BEB"/>
    <w:rsid w:val="00057C19"/>
    <w:rsid w:val="00057DB8"/>
    <w:rsid w:val="00057F96"/>
    <w:rsid w:val="000600E5"/>
    <w:rsid w:val="000601EF"/>
    <w:rsid w:val="00060215"/>
    <w:rsid w:val="000603C6"/>
    <w:rsid w:val="000605DA"/>
    <w:rsid w:val="00060652"/>
    <w:rsid w:val="000607DA"/>
    <w:rsid w:val="00060850"/>
    <w:rsid w:val="0006086B"/>
    <w:rsid w:val="0006086F"/>
    <w:rsid w:val="000608F7"/>
    <w:rsid w:val="00060A79"/>
    <w:rsid w:val="00060AB0"/>
    <w:rsid w:val="00060AED"/>
    <w:rsid w:val="00060C41"/>
    <w:rsid w:val="00060E00"/>
    <w:rsid w:val="00060EE5"/>
    <w:rsid w:val="00060FE5"/>
    <w:rsid w:val="00061023"/>
    <w:rsid w:val="0006107B"/>
    <w:rsid w:val="000610A5"/>
    <w:rsid w:val="000610D3"/>
    <w:rsid w:val="000610F8"/>
    <w:rsid w:val="000611BB"/>
    <w:rsid w:val="000611D6"/>
    <w:rsid w:val="0006120E"/>
    <w:rsid w:val="00061312"/>
    <w:rsid w:val="00061370"/>
    <w:rsid w:val="00061438"/>
    <w:rsid w:val="00061457"/>
    <w:rsid w:val="00061477"/>
    <w:rsid w:val="0006156C"/>
    <w:rsid w:val="000616E1"/>
    <w:rsid w:val="000617DD"/>
    <w:rsid w:val="000619A5"/>
    <w:rsid w:val="00061B16"/>
    <w:rsid w:val="00061B2C"/>
    <w:rsid w:val="00061CC6"/>
    <w:rsid w:val="00061D81"/>
    <w:rsid w:val="00061E87"/>
    <w:rsid w:val="00061F1B"/>
    <w:rsid w:val="00061F2C"/>
    <w:rsid w:val="00061F84"/>
    <w:rsid w:val="00061FDD"/>
    <w:rsid w:val="00062004"/>
    <w:rsid w:val="0006244C"/>
    <w:rsid w:val="0006249A"/>
    <w:rsid w:val="0006269C"/>
    <w:rsid w:val="000627EC"/>
    <w:rsid w:val="000627F2"/>
    <w:rsid w:val="0006282A"/>
    <w:rsid w:val="00062A27"/>
    <w:rsid w:val="00062CB3"/>
    <w:rsid w:val="00062D5C"/>
    <w:rsid w:val="00062D88"/>
    <w:rsid w:val="00062E5B"/>
    <w:rsid w:val="00062F3B"/>
    <w:rsid w:val="00062F6F"/>
    <w:rsid w:val="00062F8F"/>
    <w:rsid w:val="00063032"/>
    <w:rsid w:val="000630B3"/>
    <w:rsid w:val="000631D1"/>
    <w:rsid w:val="00063221"/>
    <w:rsid w:val="0006323E"/>
    <w:rsid w:val="0006340A"/>
    <w:rsid w:val="00063411"/>
    <w:rsid w:val="0006341C"/>
    <w:rsid w:val="00063598"/>
    <w:rsid w:val="00063655"/>
    <w:rsid w:val="00063687"/>
    <w:rsid w:val="00063A28"/>
    <w:rsid w:val="00063AE0"/>
    <w:rsid w:val="00063B23"/>
    <w:rsid w:val="00063B49"/>
    <w:rsid w:val="00063BC3"/>
    <w:rsid w:val="00063C60"/>
    <w:rsid w:val="00063CB5"/>
    <w:rsid w:val="00063E62"/>
    <w:rsid w:val="00063E8E"/>
    <w:rsid w:val="00063FD7"/>
    <w:rsid w:val="00064221"/>
    <w:rsid w:val="00064271"/>
    <w:rsid w:val="0006458F"/>
    <w:rsid w:val="000645A0"/>
    <w:rsid w:val="00064848"/>
    <w:rsid w:val="0006490E"/>
    <w:rsid w:val="000649D8"/>
    <w:rsid w:val="00064B5A"/>
    <w:rsid w:val="00064C28"/>
    <w:rsid w:val="00064DC1"/>
    <w:rsid w:val="00064ECC"/>
    <w:rsid w:val="00064FCA"/>
    <w:rsid w:val="00064FE3"/>
    <w:rsid w:val="0006517A"/>
    <w:rsid w:val="00065219"/>
    <w:rsid w:val="000652A2"/>
    <w:rsid w:val="000652EB"/>
    <w:rsid w:val="0006530F"/>
    <w:rsid w:val="00065370"/>
    <w:rsid w:val="00065406"/>
    <w:rsid w:val="000655FB"/>
    <w:rsid w:val="000656AA"/>
    <w:rsid w:val="00065744"/>
    <w:rsid w:val="0006595E"/>
    <w:rsid w:val="00065960"/>
    <w:rsid w:val="00065986"/>
    <w:rsid w:val="0006599C"/>
    <w:rsid w:val="00065A49"/>
    <w:rsid w:val="00065A83"/>
    <w:rsid w:val="00065B1A"/>
    <w:rsid w:val="00065B31"/>
    <w:rsid w:val="00065B56"/>
    <w:rsid w:val="00065BD4"/>
    <w:rsid w:val="00065C09"/>
    <w:rsid w:val="00065CC9"/>
    <w:rsid w:val="00065D1E"/>
    <w:rsid w:val="00065F1B"/>
    <w:rsid w:val="00065F84"/>
    <w:rsid w:val="00065FCF"/>
    <w:rsid w:val="0006606B"/>
    <w:rsid w:val="000660EB"/>
    <w:rsid w:val="00066121"/>
    <w:rsid w:val="000661E7"/>
    <w:rsid w:val="00066245"/>
    <w:rsid w:val="000663E0"/>
    <w:rsid w:val="0006647D"/>
    <w:rsid w:val="00066571"/>
    <w:rsid w:val="000665C0"/>
    <w:rsid w:val="00066644"/>
    <w:rsid w:val="0006676B"/>
    <w:rsid w:val="00066833"/>
    <w:rsid w:val="00066954"/>
    <w:rsid w:val="0006699A"/>
    <w:rsid w:val="00066B1C"/>
    <w:rsid w:val="00066B4D"/>
    <w:rsid w:val="00066C31"/>
    <w:rsid w:val="00066E40"/>
    <w:rsid w:val="00067044"/>
    <w:rsid w:val="00067136"/>
    <w:rsid w:val="0006715D"/>
    <w:rsid w:val="0006722B"/>
    <w:rsid w:val="00067388"/>
    <w:rsid w:val="000673B8"/>
    <w:rsid w:val="000673B9"/>
    <w:rsid w:val="000673DB"/>
    <w:rsid w:val="00067460"/>
    <w:rsid w:val="000675A2"/>
    <w:rsid w:val="000675D3"/>
    <w:rsid w:val="0006762C"/>
    <w:rsid w:val="00067688"/>
    <w:rsid w:val="000676D5"/>
    <w:rsid w:val="00067748"/>
    <w:rsid w:val="0006775B"/>
    <w:rsid w:val="000677BA"/>
    <w:rsid w:val="00067883"/>
    <w:rsid w:val="0006789C"/>
    <w:rsid w:val="000679FE"/>
    <w:rsid w:val="00067A65"/>
    <w:rsid w:val="00067B44"/>
    <w:rsid w:val="00067B87"/>
    <w:rsid w:val="00067D5C"/>
    <w:rsid w:val="00067EB9"/>
    <w:rsid w:val="0007005D"/>
    <w:rsid w:val="000700AD"/>
    <w:rsid w:val="0007034E"/>
    <w:rsid w:val="000705A2"/>
    <w:rsid w:val="00070732"/>
    <w:rsid w:val="000707EB"/>
    <w:rsid w:val="00070926"/>
    <w:rsid w:val="000709D8"/>
    <w:rsid w:val="00070A5A"/>
    <w:rsid w:val="00070C63"/>
    <w:rsid w:val="00070D7F"/>
    <w:rsid w:val="00070D85"/>
    <w:rsid w:val="00070E8A"/>
    <w:rsid w:val="00070ED8"/>
    <w:rsid w:val="00070EF4"/>
    <w:rsid w:val="00070FD2"/>
    <w:rsid w:val="00070FFA"/>
    <w:rsid w:val="00071164"/>
    <w:rsid w:val="000711D6"/>
    <w:rsid w:val="0007120C"/>
    <w:rsid w:val="000713C4"/>
    <w:rsid w:val="000713CE"/>
    <w:rsid w:val="000713D0"/>
    <w:rsid w:val="00071409"/>
    <w:rsid w:val="0007165A"/>
    <w:rsid w:val="00071755"/>
    <w:rsid w:val="00071878"/>
    <w:rsid w:val="0007191A"/>
    <w:rsid w:val="0007191B"/>
    <w:rsid w:val="0007197E"/>
    <w:rsid w:val="00071998"/>
    <w:rsid w:val="00071B16"/>
    <w:rsid w:val="00071B7C"/>
    <w:rsid w:val="00071C66"/>
    <w:rsid w:val="00071C7F"/>
    <w:rsid w:val="00071D90"/>
    <w:rsid w:val="00071F27"/>
    <w:rsid w:val="0007223B"/>
    <w:rsid w:val="00072294"/>
    <w:rsid w:val="000723E0"/>
    <w:rsid w:val="0007242D"/>
    <w:rsid w:val="0007246C"/>
    <w:rsid w:val="0007256D"/>
    <w:rsid w:val="00072599"/>
    <w:rsid w:val="000725A9"/>
    <w:rsid w:val="000725AF"/>
    <w:rsid w:val="00072658"/>
    <w:rsid w:val="00072683"/>
    <w:rsid w:val="0007274D"/>
    <w:rsid w:val="0007274E"/>
    <w:rsid w:val="0007283B"/>
    <w:rsid w:val="00072873"/>
    <w:rsid w:val="000728AE"/>
    <w:rsid w:val="00072934"/>
    <w:rsid w:val="00072BC4"/>
    <w:rsid w:val="00072BFB"/>
    <w:rsid w:val="00072D07"/>
    <w:rsid w:val="00072D42"/>
    <w:rsid w:val="00072E51"/>
    <w:rsid w:val="00073000"/>
    <w:rsid w:val="00073295"/>
    <w:rsid w:val="0007329B"/>
    <w:rsid w:val="000732C8"/>
    <w:rsid w:val="000732E9"/>
    <w:rsid w:val="00073406"/>
    <w:rsid w:val="00073446"/>
    <w:rsid w:val="00073583"/>
    <w:rsid w:val="00073705"/>
    <w:rsid w:val="0007370D"/>
    <w:rsid w:val="00073775"/>
    <w:rsid w:val="000737EF"/>
    <w:rsid w:val="00073A1D"/>
    <w:rsid w:val="00073A57"/>
    <w:rsid w:val="00073BB7"/>
    <w:rsid w:val="00073BFD"/>
    <w:rsid w:val="00073E50"/>
    <w:rsid w:val="00073FAF"/>
    <w:rsid w:val="00073FC8"/>
    <w:rsid w:val="00074020"/>
    <w:rsid w:val="00074069"/>
    <w:rsid w:val="00074071"/>
    <w:rsid w:val="00074140"/>
    <w:rsid w:val="00074342"/>
    <w:rsid w:val="0007448B"/>
    <w:rsid w:val="0007450A"/>
    <w:rsid w:val="000745EF"/>
    <w:rsid w:val="00074632"/>
    <w:rsid w:val="000746BC"/>
    <w:rsid w:val="000746DC"/>
    <w:rsid w:val="00074712"/>
    <w:rsid w:val="0007471D"/>
    <w:rsid w:val="000747FC"/>
    <w:rsid w:val="00074972"/>
    <w:rsid w:val="00074A3F"/>
    <w:rsid w:val="00074ADD"/>
    <w:rsid w:val="00074B7B"/>
    <w:rsid w:val="00074C1E"/>
    <w:rsid w:val="00074CC7"/>
    <w:rsid w:val="00074D53"/>
    <w:rsid w:val="00074EC7"/>
    <w:rsid w:val="00074F1D"/>
    <w:rsid w:val="00074FDF"/>
    <w:rsid w:val="000750B8"/>
    <w:rsid w:val="000751C9"/>
    <w:rsid w:val="0007524D"/>
    <w:rsid w:val="000752BE"/>
    <w:rsid w:val="000753F7"/>
    <w:rsid w:val="0007541E"/>
    <w:rsid w:val="000754CD"/>
    <w:rsid w:val="000754E7"/>
    <w:rsid w:val="0007551F"/>
    <w:rsid w:val="0007568F"/>
    <w:rsid w:val="000756C3"/>
    <w:rsid w:val="00075791"/>
    <w:rsid w:val="000757AF"/>
    <w:rsid w:val="000758D8"/>
    <w:rsid w:val="00075901"/>
    <w:rsid w:val="0007596E"/>
    <w:rsid w:val="000759A4"/>
    <w:rsid w:val="000759F1"/>
    <w:rsid w:val="00075E29"/>
    <w:rsid w:val="00075EE9"/>
    <w:rsid w:val="00075F1A"/>
    <w:rsid w:val="00075FB1"/>
    <w:rsid w:val="000760E6"/>
    <w:rsid w:val="00076132"/>
    <w:rsid w:val="00076189"/>
    <w:rsid w:val="000761E1"/>
    <w:rsid w:val="00076201"/>
    <w:rsid w:val="0007623B"/>
    <w:rsid w:val="00076349"/>
    <w:rsid w:val="00076479"/>
    <w:rsid w:val="000765CE"/>
    <w:rsid w:val="00076657"/>
    <w:rsid w:val="0007665E"/>
    <w:rsid w:val="00076ADF"/>
    <w:rsid w:val="00076C6B"/>
    <w:rsid w:val="00076C73"/>
    <w:rsid w:val="00076C8C"/>
    <w:rsid w:val="00076C98"/>
    <w:rsid w:val="00076D9F"/>
    <w:rsid w:val="00076F64"/>
    <w:rsid w:val="000770FC"/>
    <w:rsid w:val="00077161"/>
    <w:rsid w:val="0007716E"/>
    <w:rsid w:val="00077227"/>
    <w:rsid w:val="0007732F"/>
    <w:rsid w:val="00077362"/>
    <w:rsid w:val="000774CF"/>
    <w:rsid w:val="00077704"/>
    <w:rsid w:val="00077A01"/>
    <w:rsid w:val="00077A0B"/>
    <w:rsid w:val="00077A14"/>
    <w:rsid w:val="00077A2C"/>
    <w:rsid w:val="00077BB2"/>
    <w:rsid w:val="00077CFF"/>
    <w:rsid w:val="00077D33"/>
    <w:rsid w:val="00077F7B"/>
    <w:rsid w:val="00077FAE"/>
    <w:rsid w:val="0008000C"/>
    <w:rsid w:val="00080327"/>
    <w:rsid w:val="000804F6"/>
    <w:rsid w:val="00080532"/>
    <w:rsid w:val="000805A1"/>
    <w:rsid w:val="000805F9"/>
    <w:rsid w:val="00080604"/>
    <w:rsid w:val="00080608"/>
    <w:rsid w:val="000806A8"/>
    <w:rsid w:val="000806DE"/>
    <w:rsid w:val="000809B8"/>
    <w:rsid w:val="00080AFC"/>
    <w:rsid w:val="00080C40"/>
    <w:rsid w:val="00080DC6"/>
    <w:rsid w:val="00080DCF"/>
    <w:rsid w:val="00080EC6"/>
    <w:rsid w:val="00081037"/>
    <w:rsid w:val="0008123F"/>
    <w:rsid w:val="00081318"/>
    <w:rsid w:val="00081466"/>
    <w:rsid w:val="000814DE"/>
    <w:rsid w:val="00081580"/>
    <w:rsid w:val="00081620"/>
    <w:rsid w:val="000817E8"/>
    <w:rsid w:val="00081951"/>
    <w:rsid w:val="000819AD"/>
    <w:rsid w:val="000819F8"/>
    <w:rsid w:val="00081B1A"/>
    <w:rsid w:val="00081B28"/>
    <w:rsid w:val="00081BE2"/>
    <w:rsid w:val="00081C59"/>
    <w:rsid w:val="00081C9A"/>
    <w:rsid w:val="00081EAF"/>
    <w:rsid w:val="00081ECC"/>
    <w:rsid w:val="00081F18"/>
    <w:rsid w:val="00081F1A"/>
    <w:rsid w:val="00081F2A"/>
    <w:rsid w:val="00081F4F"/>
    <w:rsid w:val="00081F53"/>
    <w:rsid w:val="00082000"/>
    <w:rsid w:val="0008202F"/>
    <w:rsid w:val="000821EB"/>
    <w:rsid w:val="0008221F"/>
    <w:rsid w:val="000823E5"/>
    <w:rsid w:val="00082509"/>
    <w:rsid w:val="00082540"/>
    <w:rsid w:val="00082851"/>
    <w:rsid w:val="00082962"/>
    <w:rsid w:val="00082A32"/>
    <w:rsid w:val="00082CFD"/>
    <w:rsid w:val="00082EB4"/>
    <w:rsid w:val="00083156"/>
    <w:rsid w:val="000831D6"/>
    <w:rsid w:val="000831DB"/>
    <w:rsid w:val="0008352E"/>
    <w:rsid w:val="00083647"/>
    <w:rsid w:val="000836A7"/>
    <w:rsid w:val="00083700"/>
    <w:rsid w:val="0008372A"/>
    <w:rsid w:val="0008372B"/>
    <w:rsid w:val="0008388E"/>
    <w:rsid w:val="00083943"/>
    <w:rsid w:val="0008396A"/>
    <w:rsid w:val="00083997"/>
    <w:rsid w:val="000839B8"/>
    <w:rsid w:val="00083AAA"/>
    <w:rsid w:val="00083AC3"/>
    <w:rsid w:val="00083B01"/>
    <w:rsid w:val="00083B1B"/>
    <w:rsid w:val="00083B35"/>
    <w:rsid w:val="00083B6C"/>
    <w:rsid w:val="00083C09"/>
    <w:rsid w:val="00083D9D"/>
    <w:rsid w:val="00083DAE"/>
    <w:rsid w:val="00083E53"/>
    <w:rsid w:val="00083F2E"/>
    <w:rsid w:val="00083F7D"/>
    <w:rsid w:val="000840A1"/>
    <w:rsid w:val="000841E0"/>
    <w:rsid w:val="000841E1"/>
    <w:rsid w:val="0008456B"/>
    <w:rsid w:val="000845B7"/>
    <w:rsid w:val="00084649"/>
    <w:rsid w:val="000846B9"/>
    <w:rsid w:val="000846BD"/>
    <w:rsid w:val="000847F7"/>
    <w:rsid w:val="00084910"/>
    <w:rsid w:val="00084AFD"/>
    <w:rsid w:val="00084C18"/>
    <w:rsid w:val="00084C65"/>
    <w:rsid w:val="00084C7F"/>
    <w:rsid w:val="00084CAA"/>
    <w:rsid w:val="00084E2F"/>
    <w:rsid w:val="00084E53"/>
    <w:rsid w:val="00084FAA"/>
    <w:rsid w:val="00085004"/>
    <w:rsid w:val="00085048"/>
    <w:rsid w:val="000850A6"/>
    <w:rsid w:val="00085158"/>
    <w:rsid w:val="00085197"/>
    <w:rsid w:val="000851BC"/>
    <w:rsid w:val="000852B6"/>
    <w:rsid w:val="000852D2"/>
    <w:rsid w:val="000852FC"/>
    <w:rsid w:val="000855A7"/>
    <w:rsid w:val="0008581C"/>
    <w:rsid w:val="00085823"/>
    <w:rsid w:val="000858C1"/>
    <w:rsid w:val="000858C5"/>
    <w:rsid w:val="000858DE"/>
    <w:rsid w:val="00085AB4"/>
    <w:rsid w:val="00085AB8"/>
    <w:rsid w:val="00085AF9"/>
    <w:rsid w:val="00085C28"/>
    <w:rsid w:val="00085C5A"/>
    <w:rsid w:val="00085DB5"/>
    <w:rsid w:val="00085E5D"/>
    <w:rsid w:val="00085ED6"/>
    <w:rsid w:val="00085EF9"/>
    <w:rsid w:val="00085F1D"/>
    <w:rsid w:val="00086093"/>
    <w:rsid w:val="00086132"/>
    <w:rsid w:val="0008619B"/>
    <w:rsid w:val="0008620E"/>
    <w:rsid w:val="0008625B"/>
    <w:rsid w:val="000862EE"/>
    <w:rsid w:val="0008633B"/>
    <w:rsid w:val="00086394"/>
    <w:rsid w:val="00086678"/>
    <w:rsid w:val="00086765"/>
    <w:rsid w:val="0008682E"/>
    <w:rsid w:val="00086892"/>
    <w:rsid w:val="000868CF"/>
    <w:rsid w:val="0008690B"/>
    <w:rsid w:val="00086A46"/>
    <w:rsid w:val="00086B08"/>
    <w:rsid w:val="00086B33"/>
    <w:rsid w:val="00086B3C"/>
    <w:rsid w:val="00086C7C"/>
    <w:rsid w:val="00086EFC"/>
    <w:rsid w:val="00087178"/>
    <w:rsid w:val="000872D0"/>
    <w:rsid w:val="000872D1"/>
    <w:rsid w:val="00087318"/>
    <w:rsid w:val="000873C5"/>
    <w:rsid w:val="00087470"/>
    <w:rsid w:val="00087730"/>
    <w:rsid w:val="000877A2"/>
    <w:rsid w:val="00087843"/>
    <w:rsid w:val="000878A9"/>
    <w:rsid w:val="00087A6A"/>
    <w:rsid w:val="00087A75"/>
    <w:rsid w:val="00087AA9"/>
    <w:rsid w:val="00087CA8"/>
    <w:rsid w:val="00087D43"/>
    <w:rsid w:val="00087E09"/>
    <w:rsid w:val="00087FE1"/>
    <w:rsid w:val="00087FEF"/>
    <w:rsid w:val="0009000A"/>
    <w:rsid w:val="0009005F"/>
    <w:rsid w:val="00090074"/>
    <w:rsid w:val="00090098"/>
    <w:rsid w:val="00090215"/>
    <w:rsid w:val="0009021E"/>
    <w:rsid w:val="0009055E"/>
    <w:rsid w:val="0009074A"/>
    <w:rsid w:val="00090781"/>
    <w:rsid w:val="00090793"/>
    <w:rsid w:val="0009079A"/>
    <w:rsid w:val="0009087D"/>
    <w:rsid w:val="0009087E"/>
    <w:rsid w:val="00090930"/>
    <w:rsid w:val="00090958"/>
    <w:rsid w:val="00090A12"/>
    <w:rsid w:val="00090C6E"/>
    <w:rsid w:val="00090D11"/>
    <w:rsid w:val="00090E9E"/>
    <w:rsid w:val="00091067"/>
    <w:rsid w:val="000910E6"/>
    <w:rsid w:val="0009124C"/>
    <w:rsid w:val="00091323"/>
    <w:rsid w:val="00091428"/>
    <w:rsid w:val="00091569"/>
    <w:rsid w:val="00091590"/>
    <w:rsid w:val="000915C9"/>
    <w:rsid w:val="0009160A"/>
    <w:rsid w:val="000916CD"/>
    <w:rsid w:val="000916EA"/>
    <w:rsid w:val="00091726"/>
    <w:rsid w:val="00091733"/>
    <w:rsid w:val="00091840"/>
    <w:rsid w:val="00091971"/>
    <w:rsid w:val="000919AC"/>
    <w:rsid w:val="000919D2"/>
    <w:rsid w:val="00091A7A"/>
    <w:rsid w:val="00091AB8"/>
    <w:rsid w:val="00091B10"/>
    <w:rsid w:val="00091B7D"/>
    <w:rsid w:val="00091BA4"/>
    <w:rsid w:val="00091BC1"/>
    <w:rsid w:val="00091C87"/>
    <w:rsid w:val="00091C9B"/>
    <w:rsid w:val="00091D82"/>
    <w:rsid w:val="00091E25"/>
    <w:rsid w:val="00091F11"/>
    <w:rsid w:val="00091F36"/>
    <w:rsid w:val="00091F9B"/>
    <w:rsid w:val="00092002"/>
    <w:rsid w:val="0009209C"/>
    <w:rsid w:val="000920A2"/>
    <w:rsid w:val="00092113"/>
    <w:rsid w:val="00092268"/>
    <w:rsid w:val="000922D3"/>
    <w:rsid w:val="000924DE"/>
    <w:rsid w:val="0009252B"/>
    <w:rsid w:val="000925D3"/>
    <w:rsid w:val="0009265F"/>
    <w:rsid w:val="00092788"/>
    <w:rsid w:val="000927A2"/>
    <w:rsid w:val="00092863"/>
    <w:rsid w:val="000928D7"/>
    <w:rsid w:val="000929EC"/>
    <w:rsid w:val="00092A08"/>
    <w:rsid w:val="00092ABC"/>
    <w:rsid w:val="00092C1A"/>
    <w:rsid w:val="00092C2A"/>
    <w:rsid w:val="00092CC0"/>
    <w:rsid w:val="00092CFD"/>
    <w:rsid w:val="00092D70"/>
    <w:rsid w:val="00093035"/>
    <w:rsid w:val="0009303D"/>
    <w:rsid w:val="000931BF"/>
    <w:rsid w:val="000932D4"/>
    <w:rsid w:val="000932F6"/>
    <w:rsid w:val="000933F7"/>
    <w:rsid w:val="000934E7"/>
    <w:rsid w:val="00093671"/>
    <w:rsid w:val="00093847"/>
    <w:rsid w:val="00093862"/>
    <w:rsid w:val="00093996"/>
    <w:rsid w:val="00093A6A"/>
    <w:rsid w:val="00093BE2"/>
    <w:rsid w:val="00093C59"/>
    <w:rsid w:val="00093CF1"/>
    <w:rsid w:val="00093E97"/>
    <w:rsid w:val="00093F58"/>
    <w:rsid w:val="00093F97"/>
    <w:rsid w:val="00093F9B"/>
    <w:rsid w:val="00093FD6"/>
    <w:rsid w:val="00094295"/>
    <w:rsid w:val="0009453D"/>
    <w:rsid w:val="0009459A"/>
    <w:rsid w:val="000945B0"/>
    <w:rsid w:val="0009461A"/>
    <w:rsid w:val="00094B8D"/>
    <w:rsid w:val="00094BF6"/>
    <w:rsid w:val="00094E46"/>
    <w:rsid w:val="00094FA7"/>
    <w:rsid w:val="00094FE8"/>
    <w:rsid w:val="00095140"/>
    <w:rsid w:val="00095159"/>
    <w:rsid w:val="000953C4"/>
    <w:rsid w:val="0009542F"/>
    <w:rsid w:val="00095497"/>
    <w:rsid w:val="0009550E"/>
    <w:rsid w:val="00095764"/>
    <w:rsid w:val="00095892"/>
    <w:rsid w:val="000958F9"/>
    <w:rsid w:val="00095948"/>
    <w:rsid w:val="00095A72"/>
    <w:rsid w:val="00095AAA"/>
    <w:rsid w:val="00095AF4"/>
    <w:rsid w:val="00095B34"/>
    <w:rsid w:val="00095BC9"/>
    <w:rsid w:val="00095C48"/>
    <w:rsid w:val="00095D5C"/>
    <w:rsid w:val="00095D84"/>
    <w:rsid w:val="00095DF5"/>
    <w:rsid w:val="000960EC"/>
    <w:rsid w:val="0009612D"/>
    <w:rsid w:val="000961A9"/>
    <w:rsid w:val="00096316"/>
    <w:rsid w:val="0009638C"/>
    <w:rsid w:val="000963C4"/>
    <w:rsid w:val="000963CD"/>
    <w:rsid w:val="0009647F"/>
    <w:rsid w:val="0009663C"/>
    <w:rsid w:val="000966DF"/>
    <w:rsid w:val="0009671B"/>
    <w:rsid w:val="000967F0"/>
    <w:rsid w:val="0009683C"/>
    <w:rsid w:val="000969FC"/>
    <w:rsid w:val="00096AF8"/>
    <w:rsid w:val="00096BA9"/>
    <w:rsid w:val="00096C00"/>
    <w:rsid w:val="00096C3B"/>
    <w:rsid w:val="00096C47"/>
    <w:rsid w:val="0009700A"/>
    <w:rsid w:val="0009718C"/>
    <w:rsid w:val="000971E5"/>
    <w:rsid w:val="00097200"/>
    <w:rsid w:val="0009721A"/>
    <w:rsid w:val="000972F4"/>
    <w:rsid w:val="0009732F"/>
    <w:rsid w:val="000973C1"/>
    <w:rsid w:val="00097536"/>
    <w:rsid w:val="00097547"/>
    <w:rsid w:val="000975F4"/>
    <w:rsid w:val="000975F9"/>
    <w:rsid w:val="00097646"/>
    <w:rsid w:val="000976F1"/>
    <w:rsid w:val="00097744"/>
    <w:rsid w:val="000977DE"/>
    <w:rsid w:val="00097981"/>
    <w:rsid w:val="000979FD"/>
    <w:rsid w:val="000979FF"/>
    <w:rsid w:val="00097A0A"/>
    <w:rsid w:val="00097ADF"/>
    <w:rsid w:val="00097B79"/>
    <w:rsid w:val="00097B9B"/>
    <w:rsid w:val="00097B9C"/>
    <w:rsid w:val="00097CEA"/>
    <w:rsid w:val="00097D26"/>
    <w:rsid w:val="00097E1F"/>
    <w:rsid w:val="00097F2D"/>
    <w:rsid w:val="00097FD4"/>
    <w:rsid w:val="000A019F"/>
    <w:rsid w:val="000A0255"/>
    <w:rsid w:val="000A02A1"/>
    <w:rsid w:val="000A02BA"/>
    <w:rsid w:val="000A031A"/>
    <w:rsid w:val="000A035B"/>
    <w:rsid w:val="000A03F6"/>
    <w:rsid w:val="000A03F8"/>
    <w:rsid w:val="000A04F6"/>
    <w:rsid w:val="000A054D"/>
    <w:rsid w:val="000A066E"/>
    <w:rsid w:val="000A06C9"/>
    <w:rsid w:val="000A0840"/>
    <w:rsid w:val="000A084B"/>
    <w:rsid w:val="000A08F5"/>
    <w:rsid w:val="000A09D6"/>
    <w:rsid w:val="000A0A54"/>
    <w:rsid w:val="000A0B1E"/>
    <w:rsid w:val="000A0B3C"/>
    <w:rsid w:val="000A0B7C"/>
    <w:rsid w:val="000A0B7D"/>
    <w:rsid w:val="000A0CD1"/>
    <w:rsid w:val="000A0D45"/>
    <w:rsid w:val="000A0DE8"/>
    <w:rsid w:val="000A0E3F"/>
    <w:rsid w:val="000A0FC3"/>
    <w:rsid w:val="000A0FD3"/>
    <w:rsid w:val="000A1006"/>
    <w:rsid w:val="000A10AF"/>
    <w:rsid w:val="000A1270"/>
    <w:rsid w:val="000A1304"/>
    <w:rsid w:val="000A1530"/>
    <w:rsid w:val="000A1652"/>
    <w:rsid w:val="000A1843"/>
    <w:rsid w:val="000A187B"/>
    <w:rsid w:val="000A191B"/>
    <w:rsid w:val="000A1988"/>
    <w:rsid w:val="000A19B1"/>
    <w:rsid w:val="000A19E0"/>
    <w:rsid w:val="000A20CD"/>
    <w:rsid w:val="000A20CF"/>
    <w:rsid w:val="000A20E0"/>
    <w:rsid w:val="000A20F6"/>
    <w:rsid w:val="000A2263"/>
    <w:rsid w:val="000A24C4"/>
    <w:rsid w:val="000A24C7"/>
    <w:rsid w:val="000A24D2"/>
    <w:rsid w:val="000A2622"/>
    <w:rsid w:val="000A2842"/>
    <w:rsid w:val="000A284C"/>
    <w:rsid w:val="000A2A0C"/>
    <w:rsid w:val="000A2AC4"/>
    <w:rsid w:val="000A2D04"/>
    <w:rsid w:val="000A2DBE"/>
    <w:rsid w:val="000A2F8B"/>
    <w:rsid w:val="000A301F"/>
    <w:rsid w:val="000A3042"/>
    <w:rsid w:val="000A3155"/>
    <w:rsid w:val="000A338C"/>
    <w:rsid w:val="000A348D"/>
    <w:rsid w:val="000A3497"/>
    <w:rsid w:val="000A34CD"/>
    <w:rsid w:val="000A350A"/>
    <w:rsid w:val="000A354E"/>
    <w:rsid w:val="000A365C"/>
    <w:rsid w:val="000A3772"/>
    <w:rsid w:val="000A3794"/>
    <w:rsid w:val="000A382B"/>
    <w:rsid w:val="000A3BD1"/>
    <w:rsid w:val="000A3CF3"/>
    <w:rsid w:val="000A3D4F"/>
    <w:rsid w:val="000A3DCE"/>
    <w:rsid w:val="000A3EB4"/>
    <w:rsid w:val="000A3F0E"/>
    <w:rsid w:val="000A3F3D"/>
    <w:rsid w:val="000A3F8E"/>
    <w:rsid w:val="000A3F98"/>
    <w:rsid w:val="000A3FC7"/>
    <w:rsid w:val="000A4189"/>
    <w:rsid w:val="000A42EF"/>
    <w:rsid w:val="000A431D"/>
    <w:rsid w:val="000A438B"/>
    <w:rsid w:val="000A46D6"/>
    <w:rsid w:val="000A4742"/>
    <w:rsid w:val="000A47BF"/>
    <w:rsid w:val="000A4840"/>
    <w:rsid w:val="000A4C1C"/>
    <w:rsid w:val="000A4C2F"/>
    <w:rsid w:val="000A4CA8"/>
    <w:rsid w:val="000A4CEF"/>
    <w:rsid w:val="000A4D18"/>
    <w:rsid w:val="000A4DD4"/>
    <w:rsid w:val="000A4F25"/>
    <w:rsid w:val="000A4F59"/>
    <w:rsid w:val="000A4FA4"/>
    <w:rsid w:val="000A4FE4"/>
    <w:rsid w:val="000A4FF4"/>
    <w:rsid w:val="000A5006"/>
    <w:rsid w:val="000A5091"/>
    <w:rsid w:val="000A50DD"/>
    <w:rsid w:val="000A515C"/>
    <w:rsid w:val="000A5173"/>
    <w:rsid w:val="000A5188"/>
    <w:rsid w:val="000A530F"/>
    <w:rsid w:val="000A534A"/>
    <w:rsid w:val="000A53D8"/>
    <w:rsid w:val="000A5961"/>
    <w:rsid w:val="000A5A63"/>
    <w:rsid w:val="000A5CB6"/>
    <w:rsid w:val="000A5D2B"/>
    <w:rsid w:val="000A5D7D"/>
    <w:rsid w:val="000A5D86"/>
    <w:rsid w:val="000A5E64"/>
    <w:rsid w:val="000A6155"/>
    <w:rsid w:val="000A6262"/>
    <w:rsid w:val="000A6273"/>
    <w:rsid w:val="000A62A7"/>
    <w:rsid w:val="000A62BC"/>
    <w:rsid w:val="000A63F8"/>
    <w:rsid w:val="000A63FC"/>
    <w:rsid w:val="000A642C"/>
    <w:rsid w:val="000A6436"/>
    <w:rsid w:val="000A6449"/>
    <w:rsid w:val="000A6471"/>
    <w:rsid w:val="000A6557"/>
    <w:rsid w:val="000A65C3"/>
    <w:rsid w:val="000A66A0"/>
    <w:rsid w:val="000A67BA"/>
    <w:rsid w:val="000A6849"/>
    <w:rsid w:val="000A6860"/>
    <w:rsid w:val="000A6AFF"/>
    <w:rsid w:val="000A6BBA"/>
    <w:rsid w:val="000A6C2E"/>
    <w:rsid w:val="000A6FC8"/>
    <w:rsid w:val="000A6FF6"/>
    <w:rsid w:val="000A71C5"/>
    <w:rsid w:val="000A7250"/>
    <w:rsid w:val="000A7261"/>
    <w:rsid w:val="000A7682"/>
    <w:rsid w:val="000A76D7"/>
    <w:rsid w:val="000A76EB"/>
    <w:rsid w:val="000A7810"/>
    <w:rsid w:val="000A7898"/>
    <w:rsid w:val="000A78DE"/>
    <w:rsid w:val="000A7ABB"/>
    <w:rsid w:val="000A7B73"/>
    <w:rsid w:val="000A7BAF"/>
    <w:rsid w:val="000A7DBD"/>
    <w:rsid w:val="000A7EEC"/>
    <w:rsid w:val="000A7FC4"/>
    <w:rsid w:val="000B002C"/>
    <w:rsid w:val="000B0072"/>
    <w:rsid w:val="000B00D6"/>
    <w:rsid w:val="000B01ED"/>
    <w:rsid w:val="000B02F9"/>
    <w:rsid w:val="000B06AD"/>
    <w:rsid w:val="000B072B"/>
    <w:rsid w:val="000B07D9"/>
    <w:rsid w:val="000B08C6"/>
    <w:rsid w:val="000B090B"/>
    <w:rsid w:val="000B0C3B"/>
    <w:rsid w:val="000B0CFB"/>
    <w:rsid w:val="000B0D9A"/>
    <w:rsid w:val="000B0DA2"/>
    <w:rsid w:val="000B0DFE"/>
    <w:rsid w:val="000B0E1F"/>
    <w:rsid w:val="000B0EB7"/>
    <w:rsid w:val="000B0ED4"/>
    <w:rsid w:val="000B10D6"/>
    <w:rsid w:val="000B11A6"/>
    <w:rsid w:val="000B1277"/>
    <w:rsid w:val="000B1391"/>
    <w:rsid w:val="000B14D4"/>
    <w:rsid w:val="000B1685"/>
    <w:rsid w:val="000B16D3"/>
    <w:rsid w:val="000B174C"/>
    <w:rsid w:val="000B1792"/>
    <w:rsid w:val="000B17BE"/>
    <w:rsid w:val="000B1995"/>
    <w:rsid w:val="000B1AE4"/>
    <w:rsid w:val="000B1B23"/>
    <w:rsid w:val="000B1B56"/>
    <w:rsid w:val="000B1C5E"/>
    <w:rsid w:val="000B1CF1"/>
    <w:rsid w:val="000B1DFB"/>
    <w:rsid w:val="000B1EE2"/>
    <w:rsid w:val="000B202B"/>
    <w:rsid w:val="000B2279"/>
    <w:rsid w:val="000B231C"/>
    <w:rsid w:val="000B24C7"/>
    <w:rsid w:val="000B2546"/>
    <w:rsid w:val="000B2607"/>
    <w:rsid w:val="000B2739"/>
    <w:rsid w:val="000B279C"/>
    <w:rsid w:val="000B29E6"/>
    <w:rsid w:val="000B2A41"/>
    <w:rsid w:val="000B2C02"/>
    <w:rsid w:val="000B2C7A"/>
    <w:rsid w:val="000B2CDE"/>
    <w:rsid w:val="000B2F3A"/>
    <w:rsid w:val="000B3082"/>
    <w:rsid w:val="000B3144"/>
    <w:rsid w:val="000B3203"/>
    <w:rsid w:val="000B3225"/>
    <w:rsid w:val="000B330F"/>
    <w:rsid w:val="000B34AB"/>
    <w:rsid w:val="000B3614"/>
    <w:rsid w:val="000B3661"/>
    <w:rsid w:val="000B36A5"/>
    <w:rsid w:val="000B38B9"/>
    <w:rsid w:val="000B392E"/>
    <w:rsid w:val="000B3A23"/>
    <w:rsid w:val="000B3C53"/>
    <w:rsid w:val="000B3C7E"/>
    <w:rsid w:val="000B3CD7"/>
    <w:rsid w:val="000B3D08"/>
    <w:rsid w:val="000B3D29"/>
    <w:rsid w:val="000B3E96"/>
    <w:rsid w:val="000B3E9D"/>
    <w:rsid w:val="000B4096"/>
    <w:rsid w:val="000B40F4"/>
    <w:rsid w:val="000B4178"/>
    <w:rsid w:val="000B42AB"/>
    <w:rsid w:val="000B4305"/>
    <w:rsid w:val="000B43E4"/>
    <w:rsid w:val="000B44A5"/>
    <w:rsid w:val="000B45ED"/>
    <w:rsid w:val="000B460C"/>
    <w:rsid w:val="000B466E"/>
    <w:rsid w:val="000B4734"/>
    <w:rsid w:val="000B48B4"/>
    <w:rsid w:val="000B48C7"/>
    <w:rsid w:val="000B48F4"/>
    <w:rsid w:val="000B4A6F"/>
    <w:rsid w:val="000B4BB4"/>
    <w:rsid w:val="000B4BC7"/>
    <w:rsid w:val="000B4C3C"/>
    <w:rsid w:val="000B4C97"/>
    <w:rsid w:val="000B4D5D"/>
    <w:rsid w:val="000B4D6D"/>
    <w:rsid w:val="000B4EE9"/>
    <w:rsid w:val="000B4F45"/>
    <w:rsid w:val="000B4FE5"/>
    <w:rsid w:val="000B5140"/>
    <w:rsid w:val="000B5543"/>
    <w:rsid w:val="000B5589"/>
    <w:rsid w:val="000B55C0"/>
    <w:rsid w:val="000B55C7"/>
    <w:rsid w:val="000B5758"/>
    <w:rsid w:val="000B578F"/>
    <w:rsid w:val="000B59AD"/>
    <w:rsid w:val="000B5C01"/>
    <w:rsid w:val="000B5D15"/>
    <w:rsid w:val="000B5D7F"/>
    <w:rsid w:val="000B5E63"/>
    <w:rsid w:val="000B5F09"/>
    <w:rsid w:val="000B6015"/>
    <w:rsid w:val="000B6229"/>
    <w:rsid w:val="000B624A"/>
    <w:rsid w:val="000B63BE"/>
    <w:rsid w:val="000B6821"/>
    <w:rsid w:val="000B69A0"/>
    <w:rsid w:val="000B6AD0"/>
    <w:rsid w:val="000B6B23"/>
    <w:rsid w:val="000B6DD2"/>
    <w:rsid w:val="000B6F47"/>
    <w:rsid w:val="000B70E5"/>
    <w:rsid w:val="000B71A2"/>
    <w:rsid w:val="000B7280"/>
    <w:rsid w:val="000B7380"/>
    <w:rsid w:val="000B7400"/>
    <w:rsid w:val="000B748B"/>
    <w:rsid w:val="000B749B"/>
    <w:rsid w:val="000B74BA"/>
    <w:rsid w:val="000B7550"/>
    <w:rsid w:val="000B75EE"/>
    <w:rsid w:val="000B75F3"/>
    <w:rsid w:val="000B76A0"/>
    <w:rsid w:val="000B7718"/>
    <w:rsid w:val="000B7778"/>
    <w:rsid w:val="000B7851"/>
    <w:rsid w:val="000B799F"/>
    <w:rsid w:val="000B7A50"/>
    <w:rsid w:val="000B7A8C"/>
    <w:rsid w:val="000B7AE5"/>
    <w:rsid w:val="000B7AEF"/>
    <w:rsid w:val="000B7B55"/>
    <w:rsid w:val="000B7B85"/>
    <w:rsid w:val="000B7CE4"/>
    <w:rsid w:val="000C00D3"/>
    <w:rsid w:val="000C0115"/>
    <w:rsid w:val="000C01B0"/>
    <w:rsid w:val="000C01CA"/>
    <w:rsid w:val="000C035F"/>
    <w:rsid w:val="000C0398"/>
    <w:rsid w:val="000C03FA"/>
    <w:rsid w:val="000C04D7"/>
    <w:rsid w:val="000C04E3"/>
    <w:rsid w:val="000C06E1"/>
    <w:rsid w:val="000C07D8"/>
    <w:rsid w:val="000C0871"/>
    <w:rsid w:val="000C0A95"/>
    <w:rsid w:val="000C0AD2"/>
    <w:rsid w:val="000C0B2F"/>
    <w:rsid w:val="000C0B4D"/>
    <w:rsid w:val="000C0BE9"/>
    <w:rsid w:val="000C0C02"/>
    <w:rsid w:val="000C0C03"/>
    <w:rsid w:val="000C0C22"/>
    <w:rsid w:val="000C0C3F"/>
    <w:rsid w:val="000C0C51"/>
    <w:rsid w:val="000C0CC4"/>
    <w:rsid w:val="000C0D2D"/>
    <w:rsid w:val="000C102E"/>
    <w:rsid w:val="000C10E7"/>
    <w:rsid w:val="000C13F4"/>
    <w:rsid w:val="000C1476"/>
    <w:rsid w:val="000C1571"/>
    <w:rsid w:val="000C159D"/>
    <w:rsid w:val="000C1704"/>
    <w:rsid w:val="000C17EA"/>
    <w:rsid w:val="000C1849"/>
    <w:rsid w:val="000C1B06"/>
    <w:rsid w:val="000C1B6A"/>
    <w:rsid w:val="000C1C38"/>
    <w:rsid w:val="000C1C8F"/>
    <w:rsid w:val="000C1D66"/>
    <w:rsid w:val="000C1DA5"/>
    <w:rsid w:val="000C1DF2"/>
    <w:rsid w:val="000C1DF5"/>
    <w:rsid w:val="000C1E8E"/>
    <w:rsid w:val="000C1EBB"/>
    <w:rsid w:val="000C1F37"/>
    <w:rsid w:val="000C1F49"/>
    <w:rsid w:val="000C208D"/>
    <w:rsid w:val="000C2174"/>
    <w:rsid w:val="000C21F9"/>
    <w:rsid w:val="000C2212"/>
    <w:rsid w:val="000C2249"/>
    <w:rsid w:val="000C232A"/>
    <w:rsid w:val="000C2525"/>
    <w:rsid w:val="000C26A4"/>
    <w:rsid w:val="000C26EF"/>
    <w:rsid w:val="000C274D"/>
    <w:rsid w:val="000C279D"/>
    <w:rsid w:val="000C27F4"/>
    <w:rsid w:val="000C280F"/>
    <w:rsid w:val="000C2830"/>
    <w:rsid w:val="000C2854"/>
    <w:rsid w:val="000C2897"/>
    <w:rsid w:val="000C2AF6"/>
    <w:rsid w:val="000C2B3F"/>
    <w:rsid w:val="000C2BCA"/>
    <w:rsid w:val="000C2D3F"/>
    <w:rsid w:val="000C2D59"/>
    <w:rsid w:val="000C2DE0"/>
    <w:rsid w:val="000C2DF3"/>
    <w:rsid w:val="000C2E3D"/>
    <w:rsid w:val="000C2E91"/>
    <w:rsid w:val="000C2ED0"/>
    <w:rsid w:val="000C2F14"/>
    <w:rsid w:val="000C2F5E"/>
    <w:rsid w:val="000C2FF5"/>
    <w:rsid w:val="000C3002"/>
    <w:rsid w:val="000C307B"/>
    <w:rsid w:val="000C314F"/>
    <w:rsid w:val="000C3276"/>
    <w:rsid w:val="000C345A"/>
    <w:rsid w:val="000C36B0"/>
    <w:rsid w:val="000C36CF"/>
    <w:rsid w:val="000C3704"/>
    <w:rsid w:val="000C3748"/>
    <w:rsid w:val="000C38BE"/>
    <w:rsid w:val="000C3913"/>
    <w:rsid w:val="000C3A11"/>
    <w:rsid w:val="000C3A96"/>
    <w:rsid w:val="000C3AAB"/>
    <w:rsid w:val="000C3AB3"/>
    <w:rsid w:val="000C3B7F"/>
    <w:rsid w:val="000C3BF0"/>
    <w:rsid w:val="000C3C97"/>
    <w:rsid w:val="000C3DD6"/>
    <w:rsid w:val="000C3E2E"/>
    <w:rsid w:val="000C3F7D"/>
    <w:rsid w:val="000C3FBB"/>
    <w:rsid w:val="000C4036"/>
    <w:rsid w:val="000C4070"/>
    <w:rsid w:val="000C41F5"/>
    <w:rsid w:val="000C423D"/>
    <w:rsid w:val="000C4342"/>
    <w:rsid w:val="000C43F8"/>
    <w:rsid w:val="000C444F"/>
    <w:rsid w:val="000C4629"/>
    <w:rsid w:val="000C46AE"/>
    <w:rsid w:val="000C47BA"/>
    <w:rsid w:val="000C4826"/>
    <w:rsid w:val="000C485D"/>
    <w:rsid w:val="000C48E1"/>
    <w:rsid w:val="000C49B1"/>
    <w:rsid w:val="000C4A9A"/>
    <w:rsid w:val="000C4AFC"/>
    <w:rsid w:val="000C4BAD"/>
    <w:rsid w:val="000C4C85"/>
    <w:rsid w:val="000C4E29"/>
    <w:rsid w:val="000C4E65"/>
    <w:rsid w:val="000C4FAF"/>
    <w:rsid w:val="000C530F"/>
    <w:rsid w:val="000C5332"/>
    <w:rsid w:val="000C538B"/>
    <w:rsid w:val="000C54AF"/>
    <w:rsid w:val="000C5647"/>
    <w:rsid w:val="000C579F"/>
    <w:rsid w:val="000C592B"/>
    <w:rsid w:val="000C5970"/>
    <w:rsid w:val="000C597C"/>
    <w:rsid w:val="000C5A56"/>
    <w:rsid w:val="000C5AFA"/>
    <w:rsid w:val="000C5B3A"/>
    <w:rsid w:val="000C5BB2"/>
    <w:rsid w:val="000C5C17"/>
    <w:rsid w:val="000C5CCA"/>
    <w:rsid w:val="000C5DFB"/>
    <w:rsid w:val="000C5F28"/>
    <w:rsid w:val="000C5FE4"/>
    <w:rsid w:val="000C628F"/>
    <w:rsid w:val="000C6301"/>
    <w:rsid w:val="000C6334"/>
    <w:rsid w:val="000C6531"/>
    <w:rsid w:val="000C6661"/>
    <w:rsid w:val="000C6702"/>
    <w:rsid w:val="000C67AF"/>
    <w:rsid w:val="000C687E"/>
    <w:rsid w:val="000C69E3"/>
    <w:rsid w:val="000C6A07"/>
    <w:rsid w:val="000C6A34"/>
    <w:rsid w:val="000C6B3C"/>
    <w:rsid w:val="000C6B42"/>
    <w:rsid w:val="000C6B4A"/>
    <w:rsid w:val="000C6B92"/>
    <w:rsid w:val="000C6C9B"/>
    <w:rsid w:val="000C6D03"/>
    <w:rsid w:val="000C6D9C"/>
    <w:rsid w:val="000C6E9B"/>
    <w:rsid w:val="000C6FAF"/>
    <w:rsid w:val="000C71D5"/>
    <w:rsid w:val="000C7231"/>
    <w:rsid w:val="000C72D5"/>
    <w:rsid w:val="000C743A"/>
    <w:rsid w:val="000C7522"/>
    <w:rsid w:val="000C75AA"/>
    <w:rsid w:val="000C75E4"/>
    <w:rsid w:val="000C778F"/>
    <w:rsid w:val="000C77E0"/>
    <w:rsid w:val="000C7880"/>
    <w:rsid w:val="000C79DE"/>
    <w:rsid w:val="000C7A96"/>
    <w:rsid w:val="000C7C4F"/>
    <w:rsid w:val="000C7C6F"/>
    <w:rsid w:val="000C7D15"/>
    <w:rsid w:val="000C7D20"/>
    <w:rsid w:val="000C7DD9"/>
    <w:rsid w:val="000C7E48"/>
    <w:rsid w:val="000C7F39"/>
    <w:rsid w:val="000C7F5F"/>
    <w:rsid w:val="000C7FB6"/>
    <w:rsid w:val="000D0017"/>
    <w:rsid w:val="000D001B"/>
    <w:rsid w:val="000D003B"/>
    <w:rsid w:val="000D0196"/>
    <w:rsid w:val="000D026A"/>
    <w:rsid w:val="000D0378"/>
    <w:rsid w:val="000D0627"/>
    <w:rsid w:val="000D0761"/>
    <w:rsid w:val="000D0799"/>
    <w:rsid w:val="000D07A1"/>
    <w:rsid w:val="000D082C"/>
    <w:rsid w:val="000D086A"/>
    <w:rsid w:val="000D0890"/>
    <w:rsid w:val="000D0BA7"/>
    <w:rsid w:val="000D0C3B"/>
    <w:rsid w:val="000D0CB1"/>
    <w:rsid w:val="000D0CE5"/>
    <w:rsid w:val="000D0D76"/>
    <w:rsid w:val="000D0E22"/>
    <w:rsid w:val="000D0E7C"/>
    <w:rsid w:val="000D102B"/>
    <w:rsid w:val="000D104D"/>
    <w:rsid w:val="000D11B4"/>
    <w:rsid w:val="000D121B"/>
    <w:rsid w:val="000D12FF"/>
    <w:rsid w:val="000D154D"/>
    <w:rsid w:val="000D156B"/>
    <w:rsid w:val="000D1595"/>
    <w:rsid w:val="000D159C"/>
    <w:rsid w:val="000D15EB"/>
    <w:rsid w:val="000D1696"/>
    <w:rsid w:val="000D16AC"/>
    <w:rsid w:val="000D171B"/>
    <w:rsid w:val="000D1788"/>
    <w:rsid w:val="000D17D0"/>
    <w:rsid w:val="000D183E"/>
    <w:rsid w:val="000D1868"/>
    <w:rsid w:val="000D18AB"/>
    <w:rsid w:val="000D19F8"/>
    <w:rsid w:val="000D1A75"/>
    <w:rsid w:val="000D1B8D"/>
    <w:rsid w:val="000D1C7D"/>
    <w:rsid w:val="000D1D9B"/>
    <w:rsid w:val="000D1EC4"/>
    <w:rsid w:val="000D1F65"/>
    <w:rsid w:val="000D1FAA"/>
    <w:rsid w:val="000D1FD7"/>
    <w:rsid w:val="000D2023"/>
    <w:rsid w:val="000D24DC"/>
    <w:rsid w:val="000D265C"/>
    <w:rsid w:val="000D26B9"/>
    <w:rsid w:val="000D26BA"/>
    <w:rsid w:val="000D27BE"/>
    <w:rsid w:val="000D2877"/>
    <w:rsid w:val="000D28CF"/>
    <w:rsid w:val="000D2B21"/>
    <w:rsid w:val="000D2B92"/>
    <w:rsid w:val="000D2EE4"/>
    <w:rsid w:val="000D2EEE"/>
    <w:rsid w:val="000D2F0C"/>
    <w:rsid w:val="000D2F17"/>
    <w:rsid w:val="000D2F37"/>
    <w:rsid w:val="000D30DE"/>
    <w:rsid w:val="000D320D"/>
    <w:rsid w:val="000D3211"/>
    <w:rsid w:val="000D323B"/>
    <w:rsid w:val="000D3452"/>
    <w:rsid w:val="000D34B2"/>
    <w:rsid w:val="000D34D3"/>
    <w:rsid w:val="000D34DD"/>
    <w:rsid w:val="000D3595"/>
    <w:rsid w:val="000D36E7"/>
    <w:rsid w:val="000D3863"/>
    <w:rsid w:val="000D38BA"/>
    <w:rsid w:val="000D3A95"/>
    <w:rsid w:val="000D3AA2"/>
    <w:rsid w:val="000D3AED"/>
    <w:rsid w:val="000D3BF8"/>
    <w:rsid w:val="000D3C26"/>
    <w:rsid w:val="000D3C82"/>
    <w:rsid w:val="000D3D16"/>
    <w:rsid w:val="000D40A5"/>
    <w:rsid w:val="000D40AC"/>
    <w:rsid w:val="000D40D2"/>
    <w:rsid w:val="000D40F7"/>
    <w:rsid w:val="000D4114"/>
    <w:rsid w:val="000D446C"/>
    <w:rsid w:val="000D45DC"/>
    <w:rsid w:val="000D45E0"/>
    <w:rsid w:val="000D466A"/>
    <w:rsid w:val="000D4683"/>
    <w:rsid w:val="000D46AD"/>
    <w:rsid w:val="000D46F8"/>
    <w:rsid w:val="000D475D"/>
    <w:rsid w:val="000D4846"/>
    <w:rsid w:val="000D48C3"/>
    <w:rsid w:val="000D4903"/>
    <w:rsid w:val="000D4985"/>
    <w:rsid w:val="000D49DC"/>
    <w:rsid w:val="000D4A11"/>
    <w:rsid w:val="000D4A70"/>
    <w:rsid w:val="000D4A7A"/>
    <w:rsid w:val="000D4A9C"/>
    <w:rsid w:val="000D4AC9"/>
    <w:rsid w:val="000D4B59"/>
    <w:rsid w:val="000D4BD0"/>
    <w:rsid w:val="000D4CA7"/>
    <w:rsid w:val="000D4D33"/>
    <w:rsid w:val="000D4D89"/>
    <w:rsid w:val="000D4E64"/>
    <w:rsid w:val="000D5060"/>
    <w:rsid w:val="000D509B"/>
    <w:rsid w:val="000D51F7"/>
    <w:rsid w:val="000D51FF"/>
    <w:rsid w:val="000D5215"/>
    <w:rsid w:val="000D530B"/>
    <w:rsid w:val="000D533E"/>
    <w:rsid w:val="000D5347"/>
    <w:rsid w:val="000D53EF"/>
    <w:rsid w:val="000D5456"/>
    <w:rsid w:val="000D547E"/>
    <w:rsid w:val="000D56C5"/>
    <w:rsid w:val="000D5779"/>
    <w:rsid w:val="000D5783"/>
    <w:rsid w:val="000D58AB"/>
    <w:rsid w:val="000D58FC"/>
    <w:rsid w:val="000D5912"/>
    <w:rsid w:val="000D5A12"/>
    <w:rsid w:val="000D5B4C"/>
    <w:rsid w:val="000D5BE1"/>
    <w:rsid w:val="000D5CFA"/>
    <w:rsid w:val="000D5D96"/>
    <w:rsid w:val="000D5E7F"/>
    <w:rsid w:val="000D5ED6"/>
    <w:rsid w:val="000D5F16"/>
    <w:rsid w:val="000D5FA4"/>
    <w:rsid w:val="000D606A"/>
    <w:rsid w:val="000D60DA"/>
    <w:rsid w:val="000D6269"/>
    <w:rsid w:val="000D62C5"/>
    <w:rsid w:val="000D62EC"/>
    <w:rsid w:val="000D6396"/>
    <w:rsid w:val="000D63FC"/>
    <w:rsid w:val="000D6470"/>
    <w:rsid w:val="000D64D3"/>
    <w:rsid w:val="000D6575"/>
    <w:rsid w:val="000D6690"/>
    <w:rsid w:val="000D66E4"/>
    <w:rsid w:val="000D6707"/>
    <w:rsid w:val="000D686F"/>
    <w:rsid w:val="000D6971"/>
    <w:rsid w:val="000D69F4"/>
    <w:rsid w:val="000D6A17"/>
    <w:rsid w:val="000D6A7F"/>
    <w:rsid w:val="000D6AB7"/>
    <w:rsid w:val="000D6ACA"/>
    <w:rsid w:val="000D6B94"/>
    <w:rsid w:val="000D6C09"/>
    <w:rsid w:val="000D6DDD"/>
    <w:rsid w:val="000D6E08"/>
    <w:rsid w:val="000D6E36"/>
    <w:rsid w:val="000D6E67"/>
    <w:rsid w:val="000D6E7B"/>
    <w:rsid w:val="000D706C"/>
    <w:rsid w:val="000D70AE"/>
    <w:rsid w:val="000D7147"/>
    <w:rsid w:val="000D71AB"/>
    <w:rsid w:val="000D71C4"/>
    <w:rsid w:val="000D7382"/>
    <w:rsid w:val="000D75B5"/>
    <w:rsid w:val="000D75BA"/>
    <w:rsid w:val="000D7745"/>
    <w:rsid w:val="000D7905"/>
    <w:rsid w:val="000D7939"/>
    <w:rsid w:val="000D79B3"/>
    <w:rsid w:val="000D7A35"/>
    <w:rsid w:val="000D7A56"/>
    <w:rsid w:val="000D7AE8"/>
    <w:rsid w:val="000E007C"/>
    <w:rsid w:val="000E0084"/>
    <w:rsid w:val="000E023B"/>
    <w:rsid w:val="000E037F"/>
    <w:rsid w:val="000E03B5"/>
    <w:rsid w:val="000E04EA"/>
    <w:rsid w:val="000E0575"/>
    <w:rsid w:val="000E068B"/>
    <w:rsid w:val="000E0724"/>
    <w:rsid w:val="000E0779"/>
    <w:rsid w:val="000E07D4"/>
    <w:rsid w:val="000E094A"/>
    <w:rsid w:val="000E0D8C"/>
    <w:rsid w:val="000E0E2A"/>
    <w:rsid w:val="000E0E90"/>
    <w:rsid w:val="000E0F2B"/>
    <w:rsid w:val="000E0F54"/>
    <w:rsid w:val="000E1064"/>
    <w:rsid w:val="000E1079"/>
    <w:rsid w:val="000E10C7"/>
    <w:rsid w:val="000E1163"/>
    <w:rsid w:val="000E1200"/>
    <w:rsid w:val="000E1329"/>
    <w:rsid w:val="000E1412"/>
    <w:rsid w:val="000E1427"/>
    <w:rsid w:val="000E142F"/>
    <w:rsid w:val="000E156E"/>
    <w:rsid w:val="000E16E4"/>
    <w:rsid w:val="000E181F"/>
    <w:rsid w:val="000E1837"/>
    <w:rsid w:val="000E1925"/>
    <w:rsid w:val="000E1998"/>
    <w:rsid w:val="000E1B73"/>
    <w:rsid w:val="000E1DD0"/>
    <w:rsid w:val="000E1FF4"/>
    <w:rsid w:val="000E2052"/>
    <w:rsid w:val="000E2060"/>
    <w:rsid w:val="000E2065"/>
    <w:rsid w:val="000E20B5"/>
    <w:rsid w:val="000E216B"/>
    <w:rsid w:val="000E2276"/>
    <w:rsid w:val="000E229E"/>
    <w:rsid w:val="000E2316"/>
    <w:rsid w:val="000E24DA"/>
    <w:rsid w:val="000E24F9"/>
    <w:rsid w:val="000E258C"/>
    <w:rsid w:val="000E2855"/>
    <w:rsid w:val="000E2871"/>
    <w:rsid w:val="000E28A8"/>
    <w:rsid w:val="000E2B9E"/>
    <w:rsid w:val="000E2C07"/>
    <w:rsid w:val="000E2D37"/>
    <w:rsid w:val="000E2ED7"/>
    <w:rsid w:val="000E2EEF"/>
    <w:rsid w:val="000E2FD6"/>
    <w:rsid w:val="000E302F"/>
    <w:rsid w:val="000E3280"/>
    <w:rsid w:val="000E3377"/>
    <w:rsid w:val="000E33D3"/>
    <w:rsid w:val="000E3499"/>
    <w:rsid w:val="000E3520"/>
    <w:rsid w:val="000E35A4"/>
    <w:rsid w:val="000E3A5E"/>
    <w:rsid w:val="000E3BD8"/>
    <w:rsid w:val="000E3C42"/>
    <w:rsid w:val="000E3C5F"/>
    <w:rsid w:val="000E3CA8"/>
    <w:rsid w:val="000E3E2D"/>
    <w:rsid w:val="000E3F43"/>
    <w:rsid w:val="000E3F77"/>
    <w:rsid w:val="000E405B"/>
    <w:rsid w:val="000E4090"/>
    <w:rsid w:val="000E4141"/>
    <w:rsid w:val="000E4220"/>
    <w:rsid w:val="000E4271"/>
    <w:rsid w:val="000E4277"/>
    <w:rsid w:val="000E42A0"/>
    <w:rsid w:val="000E4466"/>
    <w:rsid w:val="000E4532"/>
    <w:rsid w:val="000E4540"/>
    <w:rsid w:val="000E45F7"/>
    <w:rsid w:val="000E4661"/>
    <w:rsid w:val="000E46A3"/>
    <w:rsid w:val="000E479E"/>
    <w:rsid w:val="000E47AA"/>
    <w:rsid w:val="000E47E7"/>
    <w:rsid w:val="000E48B9"/>
    <w:rsid w:val="000E4C5D"/>
    <w:rsid w:val="000E4CD8"/>
    <w:rsid w:val="000E4D0A"/>
    <w:rsid w:val="000E4D17"/>
    <w:rsid w:val="000E4D3D"/>
    <w:rsid w:val="000E4D50"/>
    <w:rsid w:val="000E4E06"/>
    <w:rsid w:val="000E4E10"/>
    <w:rsid w:val="000E4FA7"/>
    <w:rsid w:val="000E4FBA"/>
    <w:rsid w:val="000E4FF7"/>
    <w:rsid w:val="000E503E"/>
    <w:rsid w:val="000E52B1"/>
    <w:rsid w:val="000E5336"/>
    <w:rsid w:val="000E53C6"/>
    <w:rsid w:val="000E552D"/>
    <w:rsid w:val="000E560D"/>
    <w:rsid w:val="000E562E"/>
    <w:rsid w:val="000E5631"/>
    <w:rsid w:val="000E566D"/>
    <w:rsid w:val="000E575D"/>
    <w:rsid w:val="000E5768"/>
    <w:rsid w:val="000E57C1"/>
    <w:rsid w:val="000E57E2"/>
    <w:rsid w:val="000E57F5"/>
    <w:rsid w:val="000E5821"/>
    <w:rsid w:val="000E5875"/>
    <w:rsid w:val="000E5880"/>
    <w:rsid w:val="000E590D"/>
    <w:rsid w:val="000E5A6B"/>
    <w:rsid w:val="000E5AED"/>
    <w:rsid w:val="000E5C4C"/>
    <w:rsid w:val="000E5C52"/>
    <w:rsid w:val="000E5CD2"/>
    <w:rsid w:val="000E5D2D"/>
    <w:rsid w:val="000E5D38"/>
    <w:rsid w:val="000E5EE4"/>
    <w:rsid w:val="000E5FBD"/>
    <w:rsid w:val="000E6048"/>
    <w:rsid w:val="000E6053"/>
    <w:rsid w:val="000E605A"/>
    <w:rsid w:val="000E6162"/>
    <w:rsid w:val="000E6327"/>
    <w:rsid w:val="000E6534"/>
    <w:rsid w:val="000E6569"/>
    <w:rsid w:val="000E6599"/>
    <w:rsid w:val="000E66CA"/>
    <w:rsid w:val="000E67BE"/>
    <w:rsid w:val="000E6801"/>
    <w:rsid w:val="000E68A3"/>
    <w:rsid w:val="000E6B5E"/>
    <w:rsid w:val="000E6E4F"/>
    <w:rsid w:val="000E6F19"/>
    <w:rsid w:val="000E7067"/>
    <w:rsid w:val="000E71A9"/>
    <w:rsid w:val="000E72CD"/>
    <w:rsid w:val="000E7324"/>
    <w:rsid w:val="000E734A"/>
    <w:rsid w:val="000E7490"/>
    <w:rsid w:val="000E751B"/>
    <w:rsid w:val="000E7569"/>
    <w:rsid w:val="000E7668"/>
    <w:rsid w:val="000E7672"/>
    <w:rsid w:val="000E7673"/>
    <w:rsid w:val="000E7807"/>
    <w:rsid w:val="000E78AA"/>
    <w:rsid w:val="000E792E"/>
    <w:rsid w:val="000E7A5A"/>
    <w:rsid w:val="000E7B4C"/>
    <w:rsid w:val="000E7D2C"/>
    <w:rsid w:val="000E7E58"/>
    <w:rsid w:val="000F018B"/>
    <w:rsid w:val="000F0244"/>
    <w:rsid w:val="000F041D"/>
    <w:rsid w:val="000F0574"/>
    <w:rsid w:val="000F060A"/>
    <w:rsid w:val="000F069A"/>
    <w:rsid w:val="000F0780"/>
    <w:rsid w:val="000F07A6"/>
    <w:rsid w:val="000F07BD"/>
    <w:rsid w:val="000F0810"/>
    <w:rsid w:val="000F09B3"/>
    <w:rsid w:val="000F09EC"/>
    <w:rsid w:val="000F0A4E"/>
    <w:rsid w:val="000F0B09"/>
    <w:rsid w:val="000F0CCD"/>
    <w:rsid w:val="000F0CF4"/>
    <w:rsid w:val="000F0EA4"/>
    <w:rsid w:val="000F0FCB"/>
    <w:rsid w:val="000F102A"/>
    <w:rsid w:val="000F104B"/>
    <w:rsid w:val="000F121C"/>
    <w:rsid w:val="000F134C"/>
    <w:rsid w:val="000F1356"/>
    <w:rsid w:val="000F1478"/>
    <w:rsid w:val="000F1511"/>
    <w:rsid w:val="000F1628"/>
    <w:rsid w:val="000F16CB"/>
    <w:rsid w:val="000F17C2"/>
    <w:rsid w:val="000F1996"/>
    <w:rsid w:val="000F1A32"/>
    <w:rsid w:val="000F1B88"/>
    <w:rsid w:val="000F1C52"/>
    <w:rsid w:val="000F1C93"/>
    <w:rsid w:val="000F1CC2"/>
    <w:rsid w:val="000F1D14"/>
    <w:rsid w:val="000F1D6E"/>
    <w:rsid w:val="000F1DAE"/>
    <w:rsid w:val="000F1DCC"/>
    <w:rsid w:val="000F1DD1"/>
    <w:rsid w:val="000F1DDB"/>
    <w:rsid w:val="000F1E81"/>
    <w:rsid w:val="000F1F27"/>
    <w:rsid w:val="000F1FED"/>
    <w:rsid w:val="000F203C"/>
    <w:rsid w:val="000F204A"/>
    <w:rsid w:val="000F2097"/>
    <w:rsid w:val="000F2181"/>
    <w:rsid w:val="000F22C6"/>
    <w:rsid w:val="000F2397"/>
    <w:rsid w:val="000F253C"/>
    <w:rsid w:val="000F25FE"/>
    <w:rsid w:val="000F2631"/>
    <w:rsid w:val="000F2761"/>
    <w:rsid w:val="000F286C"/>
    <w:rsid w:val="000F2880"/>
    <w:rsid w:val="000F28D5"/>
    <w:rsid w:val="000F29CA"/>
    <w:rsid w:val="000F2A20"/>
    <w:rsid w:val="000F2A59"/>
    <w:rsid w:val="000F2AC4"/>
    <w:rsid w:val="000F2AE3"/>
    <w:rsid w:val="000F2BEB"/>
    <w:rsid w:val="000F2C82"/>
    <w:rsid w:val="000F2D00"/>
    <w:rsid w:val="000F2D24"/>
    <w:rsid w:val="000F2D91"/>
    <w:rsid w:val="000F2E37"/>
    <w:rsid w:val="000F2E62"/>
    <w:rsid w:val="000F2FAD"/>
    <w:rsid w:val="000F2FFC"/>
    <w:rsid w:val="000F3016"/>
    <w:rsid w:val="000F306A"/>
    <w:rsid w:val="000F306C"/>
    <w:rsid w:val="000F3263"/>
    <w:rsid w:val="000F3296"/>
    <w:rsid w:val="000F32CB"/>
    <w:rsid w:val="000F3368"/>
    <w:rsid w:val="000F3396"/>
    <w:rsid w:val="000F33C2"/>
    <w:rsid w:val="000F33D8"/>
    <w:rsid w:val="000F34B3"/>
    <w:rsid w:val="000F34C8"/>
    <w:rsid w:val="000F34CC"/>
    <w:rsid w:val="000F356E"/>
    <w:rsid w:val="000F36FE"/>
    <w:rsid w:val="000F381D"/>
    <w:rsid w:val="000F3894"/>
    <w:rsid w:val="000F39A3"/>
    <w:rsid w:val="000F3A2C"/>
    <w:rsid w:val="000F3A30"/>
    <w:rsid w:val="000F3AA6"/>
    <w:rsid w:val="000F3B13"/>
    <w:rsid w:val="000F3B2B"/>
    <w:rsid w:val="000F3C90"/>
    <w:rsid w:val="000F3DD3"/>
    <w:rsid w:val="000F3DF1"/>
    <w:rsid w:val="000F3EC3"/>
    <w:rsid w:val="000F3F17"/>
    <w:rsid w:val="000F3F44"/>
    <w:rsid w:val="000F3FBE"/>
    <w:rsid w:val="000F4011"/>
    <w:rsid w:val="000F4173"/>
    <w:rsid w:val="000F42F1"/>
    <w:rsid w:val="000F4377"/>
    <w:rsid w:val="000F44A9"/>
    <w:rsid w:val="000F4526"/>
    <w:rsid w:val="000F458B"/>
    <w:rsid w:val="000F4733"/>
    <w:rsid w:val="000F4761"/>
    <w:rsid w:val="000F47F6"/>
    <w:rsid w:val="000F4958"/>
    <w:rsid w:val="000F4998"/>
    <w:rsid w:val="000F49E4"/>
    <w:rsid w:val="000F4C62"/>
    <w:rsid w:val="000F4CC8"/>
    <w:rsid w:val="000F4DCF"/>
    <w:rsid w:val="000F4E50"/>
    <w:rsid w:val="000F4F24"/>
    <w:rsid w:val="000F4F2D"/>
    <w:rsid w:val="000F4F59"/>
    <w:rsid w:val="000F50D7"/>
    <w:rsid w:val="000F5499"/>
    <w:rsid w:val="000F55CF"/>
    <w:rsid w:val="000F56CD"/>
    <w:rsid w:val="000F56EA"/>
    <w:rsid w:val="000F574E"/>
    <w:rsid w:val="000F585C"/>
    <w:rsid w:val="000F58D2"/>
    <w:rsid w:val="000F59F1"/>
    <w:rsid w:val="000F5A6F"/>
    <w:rsid w:val="000F5B52"/>
    <w:rsid w:val="000F5B82"/>
    <w:rsid w:val="000F5BB2"/>
    <w:rsid w:val="000F5BCA"/>
    <w:rsid w:val="000F5C46"/>
    <w:rsid w:val="000F5C81"/>
    <w:rsid w:val="000F5CF5"/>
    <w:rsid w:val="000F5F92"/>
    <w:rsid w:val="000F5F9C"/>
    <w:rsid w:val="000F610B"/>
    <w:rsid w:val="000F61AA"/>
    <w:rsid w:val="000F621C"/>
    <w:rsid w:val="000F638C"/>
    <w:rsid w:val="000F63E3"/>
    <w:rsid w:val="000F6605"/>
    <w:rsid w:val="000F6624"/>
    <w:rsid w:val="000F6659"/>
    <w:rsid w:val="000F66E2"/>
    <w:rsid w:val="000F66FA"/>
    <w:rsid w:val="000F67B9"/>
    <w:rsid w:val="000F67D0"/>
    <w:rsid w:val="000F6818"/>
    <w:rsid w:val="000F6932"/>
    <w:rsid w:val="000F693F"/>
    <w:rsid w:val="000F6955"/>
    <w:rsid w:val="000F698F"/>
    <w:rsid w:val="000F69BD"/>
    <w:rsid w:val="000F6A6E"/>
    <w:rsid w:val="000F6BBE"/>
    <w:rsid w:val="000F6CD5"/>
    <w:rsid w:val="000F6E6A"/>
    <w:rsid w:val="000F6F64"/>
    <w:rsid w:val="000F6FAF"/>
    <w:rsid w:val="000F70B1"/>
    <w:rsid w:val="000F7150"/>
    <w:rsid w:val="000F7193"/>
    <w:rsid w:val="000F72A0"/>
    <w:rsid w:val="000F72B2"/>
    <w:rsid w:val="000F72D9"/>
    <w:rsid w:val="000F7315"/>
    <w:rsid w:val="000F7320"/>
    <w:rsid w:val="000F73B8"/>
    <w:rsid w:val="000F7409"/>
    <w:rsid w:val="000F75F6"/>
    <w:rsid w:val="000F7622"/>
    <w:rsid w:val="000F76F5"/>
    <w:rsid w:val="000F780E"/>
    <w:rsid w:val="000F7824"/>
    <w:rsid w:val="000F7895"/>
    <w:rsid w:val="000F7BE9"/>
    <w:rsid w:val="000F7C37"/>
    <w:rsid w:val="000F7C61"/>
    <w:rsid w:val="000F7D70"/>
    <w:rsid w:val="000F7D9A"/>
    <w:rsid w:val="000F7DF1"/>
    <w:rsid w:val="000F7EFD"/>
    <w:rsid w:val="000F7F61"/>
    <w:rsid w:val="000F7F98"/>
    <w:rsid w:val="00100065"/>
    <w:rsid w:val="00100270"/>
    <w:rsid w:val="001002C2"/>
    <w:rsid w:val="00100354"/>
    <w:rsid w:val="001003EE"/>
    <w:rsid w:val="00100411"/>
    <w:rsid w:val="00100475"/>
    <w:rsid w:val="00100492"/>
    <w:rsid w:val="001004F6"/>
    <w:rsid w:val="00100528"/>
    <w:rsid w:val="00100611"/>
    <w:rsid w:val="0010065D"/>
    <w:rsid w:val="001008E8"/>
    <w:rsid w:val="00100B9A"/>
    <w:rsid w:val="00100BD2"/>
    <w:rsid w:val="00100C17"/>
    <w:rsid w:val="00100CC3"/>
    <w:rsid w:val="00100D6A"/>
    <w:rsid w:val="00100DC9"/>
    <w:rsid w:val="00100EC2"/>
    <w:rsid w:val="00100F20"/>
    <w:rsid w:val="00100F39"/>
    <w:rsid w:val="00100F8B"/>
    <w:rsid w:val="001010F8"/>
    <w:rsid w:val="00101114"/>
    <w:rsid w:val="0010113E"/>
    <w:rsid w:val="0010119A"/>
    <w:rsid w:val="001011AB"/>
    <w:rsid w:val="00101268"/>
    <w:rsid w:val="00101311"/>
    <w:rsid w:val="00101388"/>
    <w:rsid w:val="00101531"/>
    <w:rsid w:val="00101626"/>
    <w:rsid w:val="00101636"/>
    <w:rsid w:val="001016A7"/>
    <w:rsid w:val="00101722"/>
    <w:rsid w:val="001017A4"/>
    <w:rsid w:val="0010182F"/>
    <w:rsid w:val="0010184D"/>
    <w:rsid w:val="001018EA"/>
    <w:rsid w:val="00101A0A"/>
    <w:rsid w:val="00101AEC"/>
    <w:rsid w:val="00101B97"/>
    <w:rsid w:val="00101C99"/>
    <w:rsid w:val="00101C9F"/>
    <w:rsid w:val="00101F2A"/>
    <w:rsid w:val="0010213A"/>
    <w:rsid w:val="001021EA"/>
    <w:rsid w:val="00102243"/>
    <w:rsid w:val="00102405"/>
    <w:rsid w:val="001024AF"/>
    <w:rsid w:val="0010259D"/>
    <w:rsid w:val="0010264B"/>
    <w:rsid w:val="0010290D"/>
    <w:rsid w:val="00102B38"/>
    <w:rsid w:val="00102BA4"/>
    <w:rsid w:val="00102BC5"/>
    <w:rsid w:val="00102C4D"/>
    <w:rsid w:val="00103004"/>
    <w:rsid w:val="00103050"/>
    <w:rsid w:val="00103141"/>
    <w:rsid w:val="0010319A"/>
    <w:rsid w:val="00103246"/>
    <w:rsid w:val="001032C6"/>
    <w:rsid w:val="001032CC"/>
    <w:rsid w:val="0010333D"/>
    <w:rsid w:val="001034B7"/>
    <w:rsid w:val="001035CB"/>
    <w:rsid w:val="001035EC"/>
    <w:rsid w:val="00103671"/>
    <w:rsid w:val="001036AA"/>
    <w:rsid w:val="001036E3"/>
    <w:rsid w:val="00103769"/>
    <w:rsid w:val="001037DF"/>
    <w:rsid w:val="0010397B"/>
    <w:rsid w:val="001039A9"/>
    <w:rsid w:val="001039F4"/>
    <w:rsid w:val="00103B26"/>
    <w:rsid w:val="00103D9A"/>
    <w:rsid w:val="00103F1A"/>
    <w:rsid w:val="00103F33"/>
    <w:rsid w:val="00104075"/>
    <w:rsid w:val="001041E8"/>
    <w:rsid w:val="001042C9"/>
    <w:rsid w:val="00104304"/>
    <w:rsid w:val="00104333"/>
    <w:rsid w:val="0010442A"/>
    <w:rsid w:val="001044C9"/>
    <w:rsid w:val="00104598"/>
    <w:rsid w:val="00104695"/>
    <w:rsid w:val="001048FC"/>
    <w:rsid w:val="00104940"/>
    <w:rsid w:val="00104AA0"/>
    <w:rsid w:val="00104ACB"/>
    <w:rsid w:val="00104BBC"/>
    <w:rsid w:val="00104E1B"/>
    <w:rsid w:val="001050AF"/>
    <w:rsid w:val="001051C8"/>
    <w:rsid w:val="0010524F"/>
    <w:rsid w:val="00105461"/>
    <w:rsid w:val="0010547C"/>
    <w:rsid w:val="00105803"/>
    <w:rsid w:val="001058C3"/>
    <w:rsid w:val="001059C7"/>
    <w:rsid w:val="00105B6E"/>
    <w:rsid w:val="00105B79"/>
    <w:rsid w:val="00105C0C"/>
    <w:rsid w:val="00105C40"/>
    <w:rsid w:val="00105D08"/>
    <w:rsid w:val="00105D4A"/>
    <w:rsid w:val="00105E41"/>
    <w:rsid w:val="00105EC5"/>
    <w:rsid w:val="0010600F"/>
    <w:rsid w:val="001061CF"/>
    <w:rsid w:val="0010636E"/>
    <w:rsid w:val="001063D5"/>
    <w:rsid w:val="0010648F"/>
    <w:rsid w:val="001065D0"/>
    <w:rsid w:val="001065F5"/>
    <w:rsid w:val="00106775"/>
    <w:rsid w:val="00106791"/>
    <w:rsid w:val="00106902"/>
    <w:rsid w:val="001069B7"/>
    <w:rsid w:val="00106A64"/>
    <w:rsid w:val="00106AA6"/>
    <w:rsid w:val="00106EDE"/>
    <w:rsid w:val="00106F8F"/>
    <w:rsid w:val="00106FB7"/>
    <w:rsid w:val="00107033"/>
    <w:rsid w:val="0010751A"/>
    <w:rsid w:val="00107561"/>
    <w:rsid w:val="00107569"/>
    <w:rsid w:val="00107584"/>
    <w:rsid w:val="0010769A"/>
    <w:rsid w:val="001076FC"/>
    <w:rsid w:val="0010772C"/>
    <w:rsid w:val="00107752"/>
    <w:rsid w:val="0010785D"/>
    <w:rsid w:val="001078C8"/>
    <w:rsid w:val="001079F5"/>
    <w:rsid w:val="00107A4F"/>
    <w:rsid w:val="00107AEA"/>
    <w:rsid w:val="00107D1C"/>
    <w:rsid w:val="00107D20"/>
    <w:rsid w:val="00107DFF"/>
    <w:rsid w:val="00107E75"/>
    <w:rsid w:val="00107FA1"/>
    <w:rsid w:val="00107FDD"/>
    <w:rsid w:val="00107FE3"/>
    <w:rsid w:val="00110329"/>
    <w:rsid w:val="001103B2"/>
    <w:rsid w:val="0011057D"/>
    <w:rsid w:val="0011064A"/>
    <w:rsid w:val="001106CF"/>
    <w:rsid w:val="0011073A"/>
    <w:rsid w:val="001107AB"/>
    <w:rsid w:val="0011086F"/>
    <w:rsid w:val="0011089A"/>
    <w:rsid w:val="001108EC"/>
    <w:rsid w:val="0011092C"/>
    <w:rsid w:val="001109EA"/>
    <w:rsid w:val="001109F8"/>
    <w:rsid w:val="00110A71"/>
    <w:rsid w:val="00110BC6"/>
    <w:rsid w:val="00110C0A"/>
    <w:rsid w:val="00110C74"/>
    <w:rsid w:val="00110D7C"/>
    <w:rsid w:val="00110DA3"/>
    <w:rsid w:val="00110DAD"/>
    <w:rsid w:val="00110DFD"/>
    <w:rsid w:val="0011105A"/>
    <w:rsid w:val="001111A9"/>
    <w:rsid w:val="00111265"/>
    <w:rsid w:val="0011133C"/>
    <w:rsid w:val="001113D6"/>
    <w:rsid w:val="001114F7"/>
    <w:rsid w:val="001114FF"/>
    <w:rsid w:val="00111523"/>
    <w:rsid w:val="0011155D"/>
    <w:rsid w:val="00111585"/>
    <w:rsid w:val="001117AE"/>
    <w:rsid w:val="0011192D"/>
    <w:rsid w:val="001119DB"/>
    <w:rsid w:val="00111A63"/>
    <w:rsid w:val="00111AAE"/>
    <w:rsid w:val="00111AB5"/>
    <w:rsid w:val="00111B1A"/>
    <w:rsid w:val="00111B57"/>
    <w:rsid w:val="00111CA8"/>
    <w:rsid w:val="00111DCD"/>
    <w:rsid w:val="00111EDD"/>
    <w:rsid w:val="00111EFF"/>
    <w:rsid w:val="00111F26"/>
    <w:rsid w:val="00111F65"/>
    <w:rsid w:val="00111F99"/>
    <w:rsid w:val="0011217B"/>
    <w:rsid w:val="0011230A"/>
    <w:rsid w:val="00112478"/>
    <w:rsid w:val="001124B6"/>
    <w:rsid w:val="001129D9"/>
    <w:rsid w:val="001129FA"/>
    <w:rsid w:val="00112A51"/>
    <w:rsid w:val="00112B44"/>
    <w:rsid w:val="00112BF8"/>
    <w:rsid w:val="00112CC5"/>
    <w:rsid w:val="00112D80"/>
    <w:rsid w:val="00112E5D"/>
    <w:rsid w:val="00112FCF"/>
    <w:rsid w:val="00113010"/>
    <w:rsid w:val="0011301C"/>
    <w:rsid w:val="001130A2"/>
    <w:rsid w:val="00113116"/>
    <w:rsid w:val="001133B1"/>
    <w:rsid w:val="001133CE"/>
    <w:rsid w:val="00113522"/>
    <w:rsid w:val="001135EA"/>
    <w:rsid w:val="001139E8"/>
    <w:rsid w:val="00113AE4"/>
    <w:rsid w:val="00113B65"/>
    <w:rsid w:val="00113CCD"/>
    <w:rsid w:val="00113E09"/>
    <w:rsid w:val="00113E4C"/>
    <w:rsid w:val="00113FC4"/>
    <w:rsid w:val="00113FCA"/>
    <w:rsid w:val="00114073"/>
    <w:rsid w:val="00114432"/>
    <w:rsid w:val="0011453E"/>
    <w:rsid w:val="00114555"/>
    <w:rsid w:val="001145B9"/>
    <w:rsid w:val="00114860"/>
    <w:rsid w:val="0011492B"/>
    <w:rsid w:val="00114A60"/>
    <w:rsid w:val="00114B2C"/>
    <w:rsid w:val="00114BB0"/>
    <w:rsid w:val="00114C90"/>
    <w:rsid w:val="00114CC0"/>
    <w:rsid w:val="00114D11"/>
    <w:rsid w:val="00114D71"/>
    <w:rsid w:val="00114DA8"/>
    <w:rsid w:val="00114E13"/>
    <w:rsid w:val="00115039"/>
    <w:rsid w:val="001151D5"/>
    <w:rsid w:val="001153DD"/>
    <w:rsid w:val="00115401"/>
    <w:rsid w:val="00115510"/>
    <w:rsid w:val="00115720"/>
    <w:rsid w:val="00115735"/>
    <w:rsid w:val="00115A7B"/>
    <w:rsid w:val="00115C33"/>
    <w:rsid w:val="00115E5B"/>
    <w:rsid w:val="00115F54"/>
    <w:rsid w:val="00116044"/>
    <w:rsid w:val="0011606D"/>
    <w:rsid w:val="00116365"/>
    <w:rsid w:val="0011643E"/>
    <w:rsid w:val="001165EF"/>
    <w:rsid w:val="00116651"/>
    <w:rsid w:val="00116778"/>
    <w:rsid w:val="001167CD"/>
    <w:rsid w:val="00116834"/>
    <w:rsid w:val="001168CC"/>
    <w:rsid w:val="00116A35"/>
    <w:rsid w:val="00116C54"/>
    <w:rsid w:val="00116DB7"/>
    <w:rsid w:val="00117039"/>
    <w:rsid w:val="00117045"/>
    <w:rsid w:val="0011715A"/>
    <w:rsid w:val="00117216"/>
    <w:rsid w:val="00117248"/>
    <w:rsid w:val="001172A0"/>
    <w:rsid w:val="001172E4"/>
    <w:rsid w:val="0011749A"/>
    <w:rsid w:val="001174FD"/>
    <w:rsid w:val="00117510"/>
    <w:rsid w:val="001176CC"/>
    <w:rsid w:val="00117858"/>
    <w:rsid w:val="001178AF"/>
    <w:rsid w:val="001178C6"/>
    <w:rsid w:val="00117AF2"/>
    <w:rsid w:val="00117B2D"/>
    <w:rsid w:val="00117B6C"/>
    <w:rsid w:val="00117B72"/>
    <w:rsid w:val="00117BF1"/>
    <w:rsid w:val="00117D57"/>
    <w:rsid w:val="00117E9A"/>
    <w:rsid w:val="00117F65"/>
    <w:rsid w:val="00117FA3"/>
    <w:rsid w:val="00117FB5"/>
    <w:rsid w:val="0012006E"/>
    <w:rsid w:val="001200C3"/>
    <w:rsid w:val="00120147"/>
    <w:rsid w:val="001201B3"/>
    <w:rsid w:val="00120299"/>
    <w:rsid w:val="001202F3"/>
    <w:rsid w:val="001203FF"/>
    <w:rsid w:val="0012046F"/>
    <w:rsid w:val="001204F0"/>
    <w:rsid w:val="00120578"/>
    <w:rsid w:val="001205F3"/>
    <w:rsid w:val="00120698"/>
    <w:rsid w:val="00120721"/>
    <w:rsid w:val="001207A6"/>
    <w:rsid w:val="0012082E"/>
    <w:rsid w:val="0012093C"/>
    <w:rsid w:val="00120B3D"/>
    <w:rsid w:val="00120BC3"/>
    <w:rsid w:val="00120C10"/>
    <w:rsid w:val="00120C63"/>
    <w:rsid w:val="00120D35"/>
    <w:rsid w:val="00120D3B"/>
    <w:rsid w:val="001210D1"/>
    <w:rsid w:val="001210E1"/>
    <w:rsid w:val="00121111"/>
    <w:rsid w:val="00121200"/>
    <w:rsid w:val="00121283"/>
    <w:rsid w:val="00121375"/>
    <w:rsid w:val="00121615"/>
    <w:rsid w:val="001218A0"/>
    <w:rsid w:val="001218EC"/>
    <w:rsid w:val="00121ACE"/>
    <w:rsid w:val="00121AFD"/>
    <w:rsid w:val="00121E12"/>
    <w:rsid w:val="00121F5E"/>
    <w:rsid w:val="00122163"/>
    <w:rsid w:val="00122166"/>
    <w:rsid w:val="001221E4"/>
    <w:rsid w:val="0012238F"/>
    <w:rsid w:val="00122533"/>
    <w:rsid w:val="001225E6"/>
    <w:rsid w:val="0012269F"/>
    <w:rsid w:val="00122796"/>
    <w:rsid w:val="001227D2"/>
    <w:rsid w:val="001228A3"/>
    <w:rsid w:val="001229D1"/>
    <w:rsid w:val="001229DB"/>
    <w:rsid w:val="00122AFD"/>
    <w:rsid w:val="00122C25"/>
    <w:rsid w:val="00122C4A"/>
    <w:rsid w:val="00122C98"/>
    <w:rsid w:val="00122D8D"/>
    <w:rsid w:val="00122DE4"/>
    <w:rsid w:val="00123003"/>
    <w:rsid w:val="00123013"/>
    <w:rsid w:val="00123066"/>
    <w:rsid w:val="001230AD"/>
    <w:rsid w:val="001230BD"/>
    <w:rsid w:val="00123144"/>
    <w:rsid w:val="0012315C"/>
    <w:rsid w:val="001231BF"/>
    <w:rsid w:val="001231C1"/>
    <w:rsid w:val="00123381"/>
    <w:rsid w:val="001233AB"/>
    <w:rsid w:val="001234B2"/>
    <w:rsid w:val="00123565"/>
    <w:rsid w:val="0012359A"/>
    <w:rsid w:val="001235FD"/>
    <w:rsid w:val="00123775"/>
    <w:rsid w:val="001238B0"/>
    <w:rsid w:val="001238EF"/>
    <w:rsid w:val="0012394E"/>
    <w:rsid w:val="0012396B"/>
    <w:rsid w:val="0012397D"/>
    <w:rsid w:val="001239D0"/>
    <w:rsid w:val="00123B62"/>
    <w:rsid w:val="00123C66"/>
    <w:rsid w:val="00123C9F"/>
    <w:rsid w:val="00123D9C"/>
    <w:rsid w:val="00123E24"/>
    <w:rsid w:val="001240DC"/>
    <w:rsid w:val="00124157"/>
    <w:rsid w:val="001241BD"/>
    <w:rsid w:val="00124274"/>
    <w:rsid w:val="00124299"/>
    <w:rsid w:val="0012429C"/>
    <w:rsid w:val="0012448D"/>
    <w:rsid w:val="001244B4"/>
    <w:rsid w:val="001244CB"/>
    <w:rsid w:val="001244FF"/>
    <w:rsid w:val="0012450B"/>
    <w:rsid w:val="0012454D"/>
    <w:rsid w:val="001245D8"/>
    <w:rsid w:val="001247E5"/>
    <w:rsid w:val="00124A23"/>
    <w:rsid w:val="00124A63"/>
    <w:rsid w:val="00124A88"/>
    <w:rsid w:val="00124CA3"/>
    <w:rsid w:val="00124CDA"/>
    <w:rsid w:val="00124DA6"/>
    <w:rsid w:val="00124DD8"/>
    <w:rsid w:val="00124E64"/>
    <w:rsid w:val="00124EB5"/>
    <w:rsid w:val="00124EFD"/>
    <w:rsid w:val="00125081"/>
    <w:rsid w:val="00125096"/>
    <w:rsid w:val="0012515B"/>
    <w:rsid w:val="001251CA"/>
    <w:rsid w:val="001252FD"/>
    <w:rsid w:val="001253A0"/>
    <w:rsid w:val="001253EB"/>
    <w:rsid w:val="00125407"/>
    <w:rsid w:val="00125499"/>
    <w:rsid w:val="001254F3"/>
    <w:rsid w:val="00125512"/>
    <w:rsid w:val="001255E2"/>
    <w:rsid w:val="001257CB"/>
    <w:rsid w:val="001258B6"/>
    <w:rsid w:val="00125A55"/>
    <w:rsid w:val="00125B89"/>
    <w:rsid w:val="00125C38"/>
    <w:rsid w:val="00125C72"/>
    <w:rsid w:val="00125F27"/>
    <w:rsid w:val="00125F3D"/>
    <w:rsid w:val="001260A3"/>
    <w:rsid w:val="00126189"/>
    <w:rsid w:val="0012621A"/>
    <w:rsid w:val="00126308"/>
    <w:rsid w:val="001263C4"/>
    <w:rsid w:val="001264BE"/>
    <w:rsid w:val="00126589"/>
    <w:rsid w:val="001265C9"/>
    <w:rsid w:val="0012666E"/>
    <w:rsid w:val="0012667F"/>
    <w:rsid w:val="00126740"/>
    <w:rsid w:val="00126811"/>
    <w:rsid w:val="00126828"/>
    <w:rsid w:val="0012682D"/>
    <w:rsid w:val="00126991"/>
    <w:rsid w:val="00126A8D"/>
    <w:rsid w:val="00126C16"/>
    <w:rsid w:val="00126C29"/>
    <w:rsid w:val="00126D19"/>
    <w:rsid w:val="00126DD4"/>
    <w:rsid w:val="00126F08"/>
    <w:rsid w:val="0012708A"/>
    <w:rsid w:val="00127339"/>
    <w:rsid w:val="001273B7"/>
    <w:rsid w:val="001274B0"/>
    <w:rsid w:val="0012756E"/>
    <w:rsid w:val="00127581"/>
    <w:rsid w:val="00127615"/>
    <w:rsid w:val="0012793B"/>
    <w:rsid w:val="0012798E"/>
    <w:rsid w:val="001279EE"/>
    <w:rsid w:val="00127A2C"/>
    <w:rsid w:val="00127CA8"/>
    <w:rsid w:val="00127CB3"/>
    <w:rsid w:val="00127D18"/>
    <w:rsid w:val="00127D96"/>
    <w:rsid w:val="00127D9A"/>
    <w:rsid w:val="00130036"/>
    <w:rsid w:val="00130076"/>
    <w:rsid w:val="001300F0"/>
    <w:rsid w:val="00130123"/>
    <w:rsid w:val="0013024C"/>
    <w:rsid w:val="001302E8"/>
    <w:rsid w:val="00130307"/>
    <w:rsid w:val="001303B2"/>
    <w:rsid w:val="001303CD"/>
    <w:rsid w:val="00130438"/>
    <w:rsid w:val="00130547"/>
    <w:rsid w:val="001305D1"/>
    <w:rsid w:val="001307DD"/>
    <w:rsid w:val="001308B6"/>
    <w:rsid w:val="0013094A"/>
    <w:rsid w:val="001309FA"/>
    <w:rsid w:val="00130C2B"/>
    <w:rsid w:val="00130C45"/>
    <w:rsid w:val="00130CE8"/>
    <w:rsid w:val="00130F86"/>
    <w:rsid w:val="00130FE1"/>
    <w:rsid w:val="00131012"/>
    <w:rsid w:val="00131124"/>
    <w:rsid w:val="00131148"/>
    <w:rsid w:val="00131187"/>
    <w:rsid w:val="001311FE"/>
    <w:rsid w:val="0013122D"/>
    <w:rsid w:val="00131404"/>
    <w:rsid w:val="0013140D"/>
    <w:rsid w:val="00131423"/>
    <w:rsid w:val="001315F8"/>
    <w:rsid w:val="00131791"/>
    <w:rsid w:val="00131868"/>
    <w:rsid w:val="001318E1"/>
    <w:rsid w:val="00131A01"/>
    <w:rsid w:val="00131BC4"/>
    <w:rsid w:val="00131C22"/>
    <w:rsid w:val="00131DB0"/>
    <w:rsid w:val="00131E7D"/>
    <w:rsid w:val="00131E91"/>
    <w:rsid w:val="00131FF8"/>
    <w:rsid w:val="0013200E"/>
    <w:rsid w:val="0013208B"/>
    <w:rsid w:val="001320ED"/>
    <w:rsid w:val="0013217B"/>
    <w:rsid w:val="001321FA"/>
    <w:rsid w:val="0013226E"/>
    <w:rsid w:val="001322EB"/>
    <w:rsid w:val="001323C9"/>
    <w:rsid w:val="00132466"/>
    <w:rsid w:val="0013254C"/>
    <w:rsid w:val="0013257B"/>
    <w:rsid w:val="00132590"/>
    <w:rsid w:val="0013259D"/>
    <w:rsid w:val="001328BF"/>
    <w:rsid w:val="0013290E"/>
    <w:rsid w:val="00132A4E"/>
    <w:rsid w:val="00132A70"/>
    <w:rsid w:val="00132A8C"/>
    <w:rsid w:val="00132BA4"/>
    <w:rsid w:val="00132C35"/>
    <w:rsid w:val="00132C4B"/>
    <w:rsid w:val="00132CE8"/>
    <w:rsid w:val="00132D6F"/>
    <w:rsid w:val="00132F24"/>
    <w:rsid w:val="00132FBD"/>
    <w:rsid w:val="00133191"/>
    <w:rsid w:val="00133249"/>
    <w:rsid w:val="001332E7"/>
    <w:rsid w:val="00133377"/>
    <w:rsid w:val="001333A4"/>
    <w:rsid w:val="00133513"/>
    <w:rsid w:val="0013352E"/>
    <w:rsid w:val="00133665"/>
    <w:rsid w:val="001338A6"/>
    <w:rsid w:val="001338AA"/>
    <w:rsid w:val="001338AF"/>
    <w:rsid w:val="00133AB3"/>
    <w:rsid w:val="00133D1A"/>
    <w:rsid w:val="00133E6B"/>
    <w:rsid w:val="00133EBA"/>
    <w:rsid w:val="00133FC2"/>
    <w:rsid w:val="00134014"/>
    <w:rsid w:val="00134016"/>
    <w:rsid w:val="00134020"/>
    <w:rsid w:val="001340BE"/>
    <w:rsid w:val="0013419B"/>
    <w:rsid w:val="00134280"/>
    <w:rsid w:val="001342E1"/>
    <w:rsid w:val="00134330"/>
    <w:rsid w:val="001344F2"/>
    <w:rsid w:val="00134768"/>
    <w:rsid w:val="0013481E"/>
    <w:rsid w:val="00134AA3"/>
    <w:rsid w:val="00134D03"/>
    <w:rsid w:val="00134D1C"/>
    <w:rsid w:val="00134D3B"/>
    <w:rsid w:val="00134E25"/>
    <w:rsid w:val="00134EFD"/>
    <w:rsid w:val="00134F7B"/>
    <w:rsid w:val="001350B6"/>
    <w:rsid w:val="00135434"/>
    <w:rsid w:val="0013545F"/>
    <w:rsid w:val="00135466"/>
    <w:rsid w:val="001355B2"/>
    <w:rsid w:val="0013593F"/>
    <w:rsid w:val="00135A60"/>
    <w:rsid w:val="00135A86"/>
    <w:rsid w:val="00135BE5"/>
    <w:rsid w:val="00135C1B"/>
    <w:rsid w:val="00135C57"/>
    <w:rsid w:val="00135DF0"/>
    <w:rsid w:val="00135E33"/>
    <w:rsid w:val="00135E81"/>
    <w:rsid w:val="00136209"/>
    <w:rsid w:val="001362E8"/>
    <w:rsid w:val="001362ED"/>
    <w:rsid w:val="00136335"/>
    <w:rsid w:val="001364B9"/>
    <w:rsid w:val="00136516"/>
    <w:rsid w:val="0013652F"/>
    <w:rsid w:val="00136839"/>
    <w:rsid w:val="0013685E"/>
    <w:rsid w:val="001369F0"/>
    <w:rsid w:val="00136A12"/>
    <w:rsid w:val="00136ABA"/>
    <w:rsid w:val="00136AE2"/>
    <w:rsid w:val="00136BDC"/>
    <w:rsid w:val="00136D24"/>
    <w:rsid w:val="00136D3F"/>
    <w:rsid w:val="0013705E"/>
    <w:rsid w:val="0013712D"/>
    <w:rsid w:val="00137207"/>
    <w:rsid w:val="00137282"/>
    <w:rsid w:val="00137298"/>
    <w:rsid w:val="001372F8"/>
    <w:rsid w:val="00137331"/>
    <w:rsid w:val="001373C3"/>
    <w:rsid w:val="00137777"/>
    <w:rsid w:val="001377C4"/>
    <w:rsid w:val="001377DB"/>
    <w:rsid w:val="00137974"/>
    <w:rsid w:val="00137A93"/>
    <w:rsid w:val="00137DB8"/>
    <w:rsid w:val="00137DBA"/>
    <w:rsid w:val="00137FBA"/>
    <w:rsid w:val="001400BD"/>
    <w:rsid w:val="0014018F"/>
    <w:rsid w:val="001401D6"/>
    <w:rsid w:val="00140248"/>
    <w:rsid w:val="001403CF"/>
    <w:rsid w:val="001403DF"/>
    <w:rsid w:val="001404C6"/>
    <w:rsid w:val="00140528"/>
    <w:rsid w:val="001405E2"/>
    <w:rsid w:val="001405F9"/>
    <w:rsid w:val="001406E2"/>
    <w:rsid w:val="0014071B"/>
    <w:rsid w:val="00140741"/>
    <w:rsid w:val="00140964"/>
    <w:rsid w:val="00140A2C"/>
    <w:rsid w:val="00140B8E"/>
    <w:rsid w:val="00140CCB"/>
    <w:rsid w:val="00140D6E"/>
    <w:rsid w:val="00140DC1"/>
    <w:rsid w:val="00140E47"/>
    <w:rsid w:val="00140E54"/>
    <w:rsid w:val="00140EC7"/>
    <w:rsid w:val="0014100C"/>
    <w:rsid w:val="00141077"/>
    <w:rsid w:val="001412DB"/>
    <w:rsid w:val="00141379"/>
    <w:rsid w:val="00141506"/>
    <w:rsid w:val="00141527"/>
    <w:rsid w:val="00141559"/>
    <w:rsid w:val="001415AB"/>
    <w:rsid w:val="00141653"/>
    <w:rsid w:val="0014176F"/>
    <w:rsid w:val="00141792"/>
    <w:rsid w:val="00141891"/>
    <w:rsid w:val="001419ED"/>
    <w:rsid w:val="00141B40"/>
    <w:rsid w:val="00141B8A"/>
    <w:rsid w:val="00141BA7"/>
    <w:rsid w:val="00141D77"/>
    <w:rsid w:val="00141DAE"/>
    <w:rsid w:val="00141DBB"/>
    <w:rsid w:val="00142028"/>
    <w:rsid w:val="00142110"/>
    <w:rsid w:val="00142136"/>
    <w:rsid w:val="0014214F"/>
    <w:rsid w:val="0014218E"/>
    <w:rsid w:val="001421B7"/>
    <w:rsid w:val="00142240"/>
    <w:rsid w:val="00142247"/>
    <w:rsid w:val="001422F5"/>
    <w:rsid w:val="001423CB"/>
    <w:rsid w:val="0014252F"/>
    <w:rsid w:val="00142564"/>
    <w:rsid w:val="001425E5"/>
    <w:rsid w:val="0014264D"/>
    <w:rsid w:val="00142681"/>
    <w:rsid w:val="00142857"/>
    <w:rsid w:val="00142945"/>
    <w:rsid w:val="00142AB9"/>
    <w:rsid w:val="00142CC1"/>
    <w:rsid w:val="00142D09"/>
    <w:rsid w:val="00142F6A"/>
    <w:rsid w:val="0014300D"/>
    <w:rsid w:val="0014307C"/>
    <w:rsid w:val="0014315D"/>
    <w:rsid w:val="0014317E"/>
    <w:rsid w:val="001431D6"/>
    <w:rsid w:val="001431E8"/>
    <w:rsid w:val="0014321F"/>
    <w:rsid w:val="00143224"/>
    <w:rsid w:val="001432A5"/>
    <w:rsid w:val="001432DC"/>
    <w:rsid w:val="00143352"/>
    <w:rsid w:val="001433E8"/>
    <w:rsid w:val="00143458"/>
    <w:rsid w:val="001434BD"/>
    <w:rsid w:val="00143530"/>
    <w:rsid w:val="00143537"/>
    <w:rsid w:val="00143601"/>
    <w:rsid w:val="00143666"/>
    <w:rsid w:val="0014369C"/>
    <w:rsid w:val="0014383A"/>
    <w:rsid w:val="00143861"/>
    <w:rsid w:val="001438A3"/>
    <w:rsid w:val="001438EA"/>
    <w:rsid w:val="001438F7"/>
    <w:rsid w:val="00143A40"/>
    <w:rsid w:val="00143B58"/>
    <w:rsid w:val="00143BBD"/>
    <w:rsid w:val="00143BE2"/>
    <w:rsid w:val="00143BF3"/>
    <w:rsid w:val="00143C21"/>
    <w:rsid w:val="00143C26"/>
    <w:rsid w:val="00143D27"/>
    <w:rsid w:val="00143D65"/>
    <w:rsid w:val="00143DA5"/>
    <w:rsid w:val="00143DEE"/>
    <w:rsid w:val="00143ECD"/>
    <w:rsid w:val="00143FAD"/>
    <w:rsid w:val="00144043"/>
    <w:rsid w:val="001440DF"/>
    <w:rsid w:val="001440E7"/>
    <w:rsid w:val="0014422E"/>
    <w:rsid w:val="001442DD"/>
    <w:rsid w:val="001444EF"/>
    <w:rsid w:val="001444F4"/>
    <w:rsid w:val="00144530"/>
    <w:rsid w:val="00144603"/>
    <w:rsid w:val="0014468C"/>
    <w:rsid w:val="0014474E"/>
    <w:rsid w:val="001447E8"/>
    <w:rsid w:val="00144BD9"/>
    <w:rsid w:val="00144BDD"/>
    <w:rsid w:val="00144E82"/>
    <w:rsid w:val="00144ECF"/>
    <w:rsid w:val="00144EF1"/>
    <w:rsid w:val="00144F0C"/>
    <w:rsid w:val="00144F68"/>
    <w:rsid w:val="00144F8C"/>
    <w:rsid w:val="00145011"/>
    <w:rsid w:val="0014512E"/>
    <w:rsid w:val="0014515B"/>
    <w:rsid w:val="001451A6"/>
    <w:rsid w:val="00145291"/>
    <w:rsid w:val="001452F8"/>
    <w:rsid w:val="001453EE"/>
    <w:rsid w:val="0014579F"/>
    <w:rsid w:val="00145A76"/>
    <w:rsid w:val="00145AA1"/>
    <w:rsid w:val="00145BFD"/>
    <w:rsid w:val="00145CC0"/>
    <w:rsid w:val="00146137"/>
    <w:rsid w:val="001461B7"/>
    <w:rsid w:val="0014621C"/>
    <w:rsid w:val="00146339"/>
    <w:rsid w:val="0014645B"/>
    <w:rsid w:val="0014647A"/>
    <w:rsid w:val="001464CD"/>
    <w:rsid w:val="001465AB"/>
    <w:rsid w:val="001467A3"/>
    <w:rsid w:val="001467B0"/>
    <w:rsid w:val="001467F3"/>
    <w:rsid w:val="001468FF"/>
    <w:rsid w:val="0014698A"/>
    <w:rsid w:val="001469B1"/>
    <w:rsid w:val="00146A14"/>
    <w:rsid w:val="00146C1E"/>
    <w:rsid w:val="00146D56"/>
    <w:rsid w:val="00146D70"/>
    <w:rsid w:val="00146D8B"/>
    <w:rsid w:val="00146D95"/>
    <w:rsid w:val="00146DA0"/>
    <w:rsid w:val="00146E42"/>
    <w:rsid w:val="00146E77"/>
    <w:rsid w:val="00146E95"/>
    <w:rsid w:val="00146F1B"/>
    <w:rsid w:val="00146FCA"/>
    <w:rsid w:val="00146FCD"/>
    <w:rsid w:val="001470A6"/>
    <w:rsid w:val="00147140"/>
    <w:rsid w:val="00147148"/>
    <w:rsid w:val="001471B7"/>
    <w:rsid w:val="001472F3"/>
    <w:rsid w:val="00147481"/>
    <w:rsid w:val="00147483"/>
    <w:rsid w:val="001474FE"/>
    <w:rsid w:val="00147504"/>
    <w:rsid w:val="001475C6"/>
    <w:rsid w:val="0014784C"/>
    <w:rsid w:val="00147A40"/>
    <w:rsid w:val="00147A49"/>
    <w:rsid w:val="00147A60"/>
    <w:rsid w:val="00147B52"/>
    <w:rsid w:val="00147CBB"/>
    <w:rsid w:val="00147D71"/>
    <w:rsid w:val="00147F42"/>
    <w:rsid w:val="00147FA1"/>
    <w:rsid w:val="00147FCE"/>
    <w:rsid w:val="00147FE7"/>
    <w:rsid w:val="0015019B"/>
    <w:rsid w:val="001501F6"/>
    <w:rsid w:val="0015023D"/>
    <w:rsid w:val="0015023E"/>
    <w:rsid w:val="00150279"/>
    <w:rsid w:val="001504BB"/>
    <w:rsid w:val="001505F5"/>
    <w:rsid w:val="0015068F"/>
    <w:rsid w:val="001507C2"/>
    <w:rsid w:val="00150800"/>
    <w:rsid w:val="0015080C"/>
    <w:rsid w:val="00150887"/>
    <w:rsid w:val="00150955"/>
    <w:rsid w:val="00150A91"/>
    <w:rsid w:val="00150AEF"/>
    <w:rsid w:val="00150B04"/>
    <w:rsid w:val="00150BC3"/>
    <w:rsid w:val="00150C02"/>
    <w:rsid w:val="00150CB8"/>
    <w:rsid w:val="00150CE0"/>
    <w:rsid w:val="00150D1A"/>
    <w:rsid w:val="00150D29"/>
    <w:rsid w:val="00150DC2"/>
    <w:rsid w:val="00150F40"/>
    <w:rsid w:val="00150F5E"/>
    <w:rsid w:val="00150F91"/>
    <w:rsid w:val="001512A5"/>
    <w:rsid w:val="001513C0"/>
    <w:rsid w:val="0015140D"/>
    <w:rsid w:val="0015151F"/>
    <w:rsid w:val="00151621"/>
    <w:rsid w:val="00151777"/>
    <w:rsid w:val="0015179B"/>
    <w:rsid w:val="0015180A"/>
    <w:rsid w:val="00151858"/>
    <w:rsid w:val="00151C0E"/>
    <w:rsid w:val="00151DB3"/>
    <w:rsid w:val="00151ED3"/>
    <w:rsid w:val="00151FF2"/>
    <w:rsid w:val="00152211"/>
    <w:rsid w:val="00152333"/>
    <w:rsid w:val="0015234E"/>
    <w:rsid w:val="0015235B"/>
    <w:rsid w:val="001524A6"/>
    <w:rsid w:val="0015251E"/>
    <w:rsid w:val="00152712"/>
    <w:rsid w:val="00152888"/>
    <w:rsid w:val="00152913"/>
    <w:rsid w:val="00152ABC"/>
    <w:rsid w:val="00152BDB"/>
    <w:rsid w:val="00152DD2"/>
    <w:rsid w:val="00152EC6"/>
    <w:rsid w:val="00152F62"/>
    <w:rsid w:val="0015301F"/>
    <w:rsid w:val="001530A8"/>
    <w:rsid w:val="0015316C"/>
    <w:rsid w:val="0015321E"/>
    <w:rsid w:val="00153515"/>
    <w:rsid w:val="0015360E"/>
    <w:rsid w:val="00153689"/>
    <w:rsid w:val="0015379B"/>
    <w:rsid w:val="001538DA"/>
    <w:rsid w:val="00153937"/>
    <w:rsid w:val="00153956"/>
    <w:rsid w:val="00153968"/>
    <w:rsid w:val="001539F3"/>
    <w:rsid w:val="001539FD"/>
    <w:rsid w:val="00153A51"/>
    <w:rsid w:val="00153B03"/>
    <w:rsid w:val="00153B38"/>
    <w:rsid w:val="00153B8A"/>
    <w:rsid w:val="00153C2D"/>
    <w:rsid w:val="00153C63"/>
    <w:rsid w:val="00153CD8"/>
    <w:rsid w:val="00153D26"/>
    <w:rsid w:val="00153D79"/>
    <w:rsid w:val="00153DAC"/>
    <w:rsid w:val="00153DEA"/>
    <w:rsid w:val="00153DEB"/>
    <w:rsid w:val="00153EE1"/>
    <w:rsid w:val="00153FD7"/>
    <w:rsid w:val="00154242"/>
    <w:rsid w:val="00154367"/>
    <w:rsid w:val="00154430"/>
    <w:rsid w:val="00154490"/>
    <w:rsid w:val="001544E9"/>
    <w:rsid w:val="001546F5"/>
    <w:rsid w:val="00154752"/>
    <w:rsid w:val="001548CA"/>
    <w:rsid w:val="00154933"/>
    <w:rsid w:val="00154B03"/>
    <w:rsid w:val="00154BCF"/>
    <w:rsid w:val="00154EB6"/>
    <w:rsid w:val="00154F9C"/>
    <w:rsid w:val="00154FEC"/>
    <w:rsid w:val="001551A3"/>
    <w:rsid w:val="001551B4"/>
    <w:rsid w:val="00155292"/>
    <w:rsid w:val="00155305"/>
    <w:rsid w:val="00155348"/>
    <w:rsid w:val="00155370"/>
    <w:rsid w:val="0015539B"/>
    <w:rsid w:val="001553DE"/>
    <w:rsid w:val="001555AA"/>
    <w:rsid w:val="001555B0"/>
    <w:rsid w:val="001555C9"/>
    <w:rsid w:val="001556FE"/>
    <w:rsid w:val="0015585E"/>
    <w:rsid w:val="0015592E"/>
    <w:rsid w:val="00155931"/>
    <w:rsid w:val="0015597F"/>
    <w:rsid w:val="00155982"/>
    <w:rsid w:val="00155984"/>
    <w:rsid w:val="00155989"/>
    <w:rsid w:val="00155A08"/>
    <w:rsid w:val="00155D39"/>
    <w:rsid w:val="00155D7C"/>
    <w:rsid w:val="00155E33"/>
    <w:rsid w:val="00155EBF"/>
    <w:rsid w:val="00155F0A"/>
    <w:rsid w:val="00155F20"/>
    <w:rsid w:val="00155FBF"/>
    <w:rsid w:val="00155FE9"/>
    <w:rsid w:val="00156068"/>
    <w:rsid w:val="001560CE"/>
    <w:rsid w:val="0015614C"/>
    <w:rsid w:val="001561F3"/>
    <w:rsid w:val="0015621F"/>
    <w:rsid w:val="0015626A"/>
    <w:rsid w:val="00156303"/>
    <w:rsid w:val="001563EF"/>
    <w:rsid w:val="0015646E"/>
    <w:rsid w:val="0015651D"/>
    <w:rsid w:val="00156636"/>
    <w:rsid w:val="00156772"/>
    <w:rsid w:val="0015683D"/>
    <w:rsid w:val="001569B7"/>
    <w:rsid w:val="00156A8C"/>
    <w:rsid w:val="00156CD7"/>
    <w:rsid w:val="00156E45"/>
    <w:rsid w:val="00157099"/>
    <w:rsid w:val="00157169"/>
    <w:rsid w:val="00157274"/>
    <w:rsid w:val="001572EC"/>
    <w:rsid w:val="001572F6"/>
    <w:rsid w:val="00157329"/>
    <w:rsid w:val="00157397"/>
    <w:rsid w:val="0015740F"/>
    <w:rsid w:val="00157482"/>
    <w:rsid w:val="001574F0"/>
    <w:rsid w:val="00157841"/>
    <w:rsid w:val="00157863"/>
    <w:rsid w:val="001578D4"/>
    <w:rsid w:val="00157967"/>
    <w:rsid w:val="001579A8"/>
    <w:rsid w:val="00157AC8"/>
    <w:rsid w:val="00157B39"/>
    <w:rsid w:val="00157B76"/>
    <w:rsid w:val="00157B86"/>
    <w:rsid w:val="00157D55"/>
    <w:rsid w:val="00157DA9"/>
    <w:rsid w:val="00157F89"/>
    <w:rsid w:val="001600C4"/>
    <w:rsid w:val="00160204"/>
    <w:rsid w:val="00160220"/>
    <w:rsid w:val="0016024F"/>
    <w:rsid w:val="00160253"/>
    <w:rsid w:val="001602A9"/>
    <w:rsid w:val="00160307"/>
    <w:rsid w:val="0016039F"/>
    <w:rsid w:val="0016044E"/>
    <w:rsid w:val="00160463"/>
    <w:rsid w:val="001605F6"/>
    <w:rsid w:val="001605FA"/>
    <w:rsid w:val="0016060B"/>
    <w:rsid w:val="00160662"/>
    <w:rsid w:val="0016067B"/>
    <w:rsid w:val="0016082D"/>
    <w:rsid w:val="00160969"/>
    <w:rsid w:val="00160AB3"/>
    <w:rsid w:val="00160BB2"/>
    <w:rsid w:val="00160BB3"/>
    <w:rsid w:val="00160BDD"/>
    <w:rsid w:val="00160C0E"/>
    <w:rsid w:val="00160D44"/>
    <w:rsid w:val="00160D8A"/>
    <w:rsid w:val="00160DD4"/>
    <w:rsid w:val="00160DDC"/>
    <w:rsid w:val="00160E4A"/>
    <w:rsid w:val="00161141"/>
    <w:rsid w:val="0016115E"/>
    <w:rsid w:val="00161191"/>
    <w:rsid w:val="0016128C"/>
    <w:rsid w:val="00161317"/>
    <w:rsid w:val="0016131E"/>
    <w:rsid w:val="001613F6"/>
    <w:rsid w:val="0016141B"/>
    <w:rsid w:val="00161478"/>
    <w:rsid w:val="001614D9"/>
    <w:rsid w:val="00161553"/>
    <w:rsid w:val="00161593"/>
    <w:rsid w:val="00161679"/>
    <w:rsid w:val="001616A7"/>
    <w:rsid w:val="001617B5"/>
    <w:rsid w:val="00161813"/>
    <w:rsid w:val="00161831"/>
    <w:rsid w:val="001618BD"/>
    <w:rsid w:val="001619AB"/>
    <w:rsid w:val="00161A95"/>
    <w:rsid w:val="00161D66"/>
    <w:rsid w:val="00161FEC"/>
    <w:rsid w:val="0016200A"/>
    <w:rsid w:val="00162033"/>
    <w:rsid w:val="00162347"/>
    <w:rsid w:val="00162412"/>
    <w:rsid w:val="001624E5"/>
    <w:rsid w:val="00162583"/>
    <w:rsid w:val="001625D2"/>
    <w:rsid w:val="00162645"/>
    <w:rsid w:val="00162658"/>
    <w:rsid w:val="00162824"/>
    <w:rsid w:val="00162877"/>
    <w:rsid w:val="00162887"/>
    <w:rsid w:val="001628C9"/>
    <w:rsid w:val="00162949"/>
    <w:rsid w:val="00162994"/>
    <w:rsid w:val="00162A69"/>
    <w:rsid w:val="00162AAF"/>
    <w:rsid w:val="00162AB4"/>
    <w:rsid w:val="00162B3F"/>
    <w:rsid w:val="00162B62"/>
    <w:rsid w:val="00162C8F"/>
    <w:rsid w:val="00162CB4"/>
    <w:rsid w:val="00162D2E"/>
    <w:rsid w:val="00162FFA"/>
    <w:rsid w:val="00163003"/>
    <w:rsid w:val="001631A3"/>
    <w:rsid w:val="001632B1"/>
    <w:rsid w:val="00163318"/>
    <w:rsid w:val="00163432"/>
    <w:rsid w:val="0016380E"/>
    <w:rsid w:val="00163859"/>
    <w:rsid w:val="0016387A"/>
    <w:rsid w:val="0016399C"/>
    <w:rsid w:val="00163A7A"/>
    <w:rsid w:val="00163AC0"/>
    <w:rsid w:val="00163B03"/>
    <w:rsid w:val="00163B1E"/>
    <w:rsid w:val="00163B6D"/>
    <w:rsid w:val="00163D1D"/>
    <w:rsid w:val="00163D35"/>
    <w:rsid w:val="00163D98"/>
    <w:rsid w:val="00163F36"/>
    <w:rsid w:val="00163F51"/>
    <w:rsid w:val="001640CF"/>
    <w:rsid w:val="001640EA"/>
    <w:rsid w:val="0016411F"/>
    <w:rsid w:val="001641CA"/>
    <w:rsid w:val="0016430A"/>
    <w:rsid w:val="001643EB"/>
    <w:rsid w:val="00164426"/>
    <w:rsid w:val="001644A6"/>
    <w:rsid w:val="0016452C"/>
    <w:rsid w:val="0016456E"/>
    <w:rsid w:val="0016457E"/>
    <w:rsid w:val="0016468B"/>
    <w:rsid w:val="001646BD"/>
    <w:rsid w:val="001646C0"/>
    <w:rsid w:val="001647C2"/>
    <w:rsid w:val="0016486D"/>
    <w:rsid w:val="0016490A"/>
    <w:rsid w:val="001649B4"/>
    <w:rsid w:val="00164AC5"/>
    <w:rsid w:val="00164AEE"/>
    <w:rsid w:val="00164BD7"/>
    <w:rsid w:val="00164EE2"/>
    <w:rsid w:val="00164EE6"/>
    <w:rsid w:val="00164F87"/>
    <w:rsid w:val="001650AF"/>
    <w:rsid w:val="00165104"/>
    <w:rsid w:val="001651D0"/>
    <w:rsid w:val="001654AE"/>
    <w:rsid w:val="00165511"/>
    <w:rsid w:val="00165549"/>
    <w:rsid w:val="00165709"/>
    <w:rsid w:val="00165765"/>
    <w:rsid w:val="00165771"/>
    <w:rsid w:val="00165774"/>
    <w:rsid w:val="00165791"/>
    <w:rsid w:val="0016579D"/>
    <w:rsid w:val="001657C0"/>
    <w:rsid w:val="001658B1"/>
    <w:rsid w:val="0016594E"/>
    <w:rsid w:val="00165B1A"/>
    <w:rsid w:val="00165BC6"/>
    <w:rsid w:val="00165D10"/>
    <w:rsid w:val="00165D47"/>
    <w:rsid w:val="00165E12"/>
    <w:rsid w:val="00165FBD"/>
    <w:rsid w:val="00165FF8"/>
    <w:rsid w:val="001660C1"/>
    <w:rsid w:val="0016620E"/>
    <w:rsid w:val="001662B1"/>
    <w:rsid w:val="001662B8"/>
    <w:rsid w:val="001667A3"/>
    <w:rsid w:val="0016682A"/>
    <w:rsid w:val="001668BE"/>
    <w:rsid w:val="00166966"/>
    <w:rsid w:val="001669E3"/>
    <w:rsid w:val="00166A84"/>
    <w:rsid w:val="00166B6A"/>
    <w:rsid w:val="00166B6E"/>
    <w:rsid w:val="00166B97"/>
    <w:rsid w:val="00166BE5"/>
    <w:rsid w:val="00166CAF"/>
    <w:rsid w:val="00166E2C"/>
    <w:rsid w:val="00166E69"/>
    <w:rsid w:val="00167081"/>
    <w:rsid w:val="001670DD"/>
    <w:rsid w:val="00167143"/>
    <w:rsid w:val="00167158"/>
    <w:rsid w:val="001672AB"/>
    <w:rsid w:val="00167371"/>
    <w:rsid w:val="0016740F"/>
    <w:rsid w:val="001675F0"/>
    <w:rsid w:val="00167712"/>
    <w:rsid w:val="001677A3"/>
    <w:rsid w:val="001677FF"/>
    <w:rsid w:val="0016796C"/>
    <w:rsid w:val="001679C6"/>
    <w:rsid w:val="00167A52"/>
    <w:rsid w:val="00167AA9"/>
    <w:rsid w:val="00167ACD"/>
    <w:rsid w:val="00167B2D"/>
    <w:rsid w:val="00167E2A"/>
    <w:rsid w:val="00167E3F"/>
    <w:rsid w:val="00167EA5"/>
    <w:rsid w:val="00167F47"/>
    <w:rsid w:val="00167F62"/>
    <w:rsid w:val="00167FAC"/>
    <w:rsid w:val="001701CD"/>
    <w:rsid w:val="00170294"/>
    <w:rsid w:val="0017034F"/>
    <w:rsid w:val="0017038E"/>
    <w:rsid w:val="0017048E"/>
    <w:rsid w:val="001704C2"/>
    <w:rsid w:val="001704D7"/>
    <w:rsid w:val="0017054F"/>
    <w:rsid w:val="00170639"/>
    <w:rsid w:val="001706A4"/>
    <w:rsid w:val="00170740"/>
    <w:rsid w:val="001707E1"/>
    <w:rsid w:val="0017083C"/>
    <w:rsid w:val="0017086E"/>
    <w:rsid w:val="00170893"/>
    <w:rsid w:val="0017090C"/>
    <w:rsid w:val="00170931"/>
    <w:rsid w:val="001709FB"/>
    <w:rsid w:val="00170AC4"/>
    <w:rsid w:val="00170B3A"/>
    <w:rsid w:val="00170B48"/>
    <w:rsid w:val="00170B51"/>
    <w:rsid w:val="00170CD5"/>
    <w:rsid w:val="00170E3D"/>
    <w:rsid w:val="00170EE9"/>
    <w:rsid w:val="00170F10"/>
    <w:rsid w:val="00170FC2"/>
    <w:rsid w:val="001710C1"/>
    <w:rsid w:val="0017112A"/>
    <w:rsid w:val="001711FB"/>
    <w:rsid w:val="00171201"/>
    <w:rsid w:val="00171278"/>
    <w:rsid w:val="00171419"/>
    <w:rsid w:val="001714C9"/>
    <w:rsid w:val="00171512"/>
    <w:rsid w:val="001715EB"/>
    <w:rsid w:val="0017162C"/>
    <w:rsid w:val="001716F2"/>
    <w:rsid w:val="001718C1"/>
    <w:rsid w:val="001719B1"/>
    <w:rsid w:val="00171A63"/>
    <w:rsid w:val="00171AC3"/>
    <w:rsid w:val="00171B10"/>
    <w:rsid w:val="00171BD3"/>
    <w:rsid w:val="00171C5F"/>
    <w:rsid w:val="00171CAE"/>
    <w:rsid w:val="00171CC1"/>
    <w:rsid w:val="00171D3B"/>
    <w:rsid w:val="00171D3C"/>
    <w:rsid w:val="00171E5E"/>
    <w:rsid w:val="00171E64"/>
    <w:rsid w:val="00171ED0"/>
    <w:rsid w:val="00171F7B"/>
    <w:rsid w:val="0017206E"/>
    <w:rsid w:val="001721AB"/>
    <w:rsid w:val="00172265"/>
    <w:rsid w:val="00172331"/>
    <w:rsid w:val="00172335"/>
    <w:rsid w:val="0017237E"/>
    <w:rsid w:val="001723F9"/>
    <w:rsid w:val="00172562"/>
    <w:rsid w:val="001726A0"/>
    <w:rsid w:val="0017270C"/>
    <w:rsid w:val="0017270E"/>
    <w:rsid w:val="001727BA"/>
    <w:rsid w:val="00172854"/>
    <w:rsid w:val="00172878"/>
    <w:rsid w:val="0017292A"/>
    <w:rsid w:val="00172A19"/>
    <w:rsid w:val="00172B24"/>
    <w:rsid w:val="00172B6F"/>
    <w:rsid w:val="00172BEA"/>
    <w:rsid w:val="00172E0E"/>
    <w:rsid w:val="00172EC7"/>
    <w:rsid w:val="00172FD4"/>
    <w:rsid w:val="00173092"/>
    <w:rsid w:val="00173303"/>
    <w:rsid w:val="00173338"/>
    <w:rsid w:val="00173465"/>
    <w:rsid w:val="00173712"/>
    <w:rsid w:val="00173A8D"/>
    <w:rsid w:val="00173D71"/>
    <w:rsid w:val="00173EB5"/>
    <w:rsid w:val="00173F21"/>
    <w:rsid w:val="00173FD5"/>
    <w:rsid w:val="0017402C"/>
    <w:rsid w:val="0017414A"/>
    <w:rsid w:val="0017428D"/>
    <w:rsid w:val="001742B2"/>
    <w:rsid w:val="001743A8"/>
    <w:rsid w:val="0017446A"/>
    <w:rsid w:val="00174706"/>
    <w:rsid w:val="00174749"/>
    <w:rsid w:val="0017494E"/>
    <w:rsid w:val="001749C4"/>
    <w:rsid w:val="001749D2"/>
    <w:rsid w:val="001749D7"/>
    <w:rsid w:val="00174B31"/>
    <w:rsid w:val="00174B9D"/>
    <w:rsid w:val="00174CE2"/>
    <w:rsid w:val="00174D8A"/>
    <w:rsid w:val="0017511F"/>
    <w:rsid w:val="00175219"/>
    <w:rsid w:val="00175220"/>
    <w:rsid w:val="001753BA"/>
    <w:rsid w:val="001753CC"/>
    <w:rsid w:val="0017556B"/>
    <w:rsid w:val="00175586"/>
    <w:rsid w:val="001755CC"/>
    <w:rsid w:val="001755F4"/>
    <w:rsid w:val="00175672"/>
    <w:rsid w:val="00175689"/>
    <w:rsid w:val="0017570C"/>
    <w:rsid w:val="0017577F"/>
    <w:rsid w:val="00175879"/>
    <w:rsid w:val="00175931"/>
    <w:rsid w:val="00175B02"/>
    <w:rsid w:val="00175BCF"/>
    <w:rsid w:val="00175C93"/>
    <w:rsid w:val="00175D46"/>
    <w:rsid w:val="00175DB9"/>
    <w:rsid w:val="00175F58"/>
    <w:rsid w:val="0017622A"/>
    <w:rsid w:val="0017638D"/>
    <w:rsid w:val="00176494"/>
    <w:rsid w:val="00176511"/>
    <w:rsid w:val="00176569"/>
    <w:rsid w:val="00176855"/>
    <w:rsid w:val="00176AC3"/>
    <w:rsid w:val="00176BE0"/>
    <w:rsid w:val="00176D54"/>
    <w:rsid w:val="00176DE6"/>
    <w:rsid w:val="00176E55"/>
    <w:rsid w:val="00176F2E"/>
    <w:rsid w:val="00176F56"/>
    <w:rsid w:val="00176FA2"/>
    <w:rsid w:val="00176FE4"/>
    <w:rsid w:val="00176FF0"/>
    <w:rsid w:val="001770F5"/>
    <w:rsid w:val="00177499"/>
    <w:rsid w:val="0017754F"/>
    <w:rsid w:val="0017766F"/>
    <w:rsid w:val="001776DF"/>
    <w:rsid w:val="00177833"/>
    <w:rsid w:val="00177980"/>
    <w:rsid w:val="00177A85"/>
    <w:rsid w:val="00177E43"/>
    <w:rsid w:val="00177E73"/>
    <w:rsid w:val="001801BF"/>
    <w:rsid w:val="0018039A"/>
    <w:rsid w:val="0018040A"/>
    <w:rsid w:val="00180433"/>
    <w:rsid w:val="0018044D"/>
    <w:rsid w:val="0018045C"/>
    <w:rsid w:val="001804CA"/>
    <w:rsid w:val="0018060A"/>
    <w:rsid w:val="001806A9"/>
    <w:rsid w:val="001806D9"/>
    <w:rsid w:val="001806ED"/>
    <w:rsid w:val="0018079F"/>
    <w:rsid w:val="00180A99"/>
    <w:rsid w:val="00180CB0"/>
    <w:rsid w:val="00180D1F"/>
    <w:rsid w:val="00180D45"/>
    <w:rsid w:val="00180D6C"/>
    <w:rsid w:val="00180D8F"/>
    <w:rsid w:val="00180E77"/>
    <w:rsid w:val="00180EF2"/>
    <w:rsid w:val="0018107A"/>
    <w:rsid w:val="00181092"/>
    <w:rsid w:val="00181389"/>
    <w:rsid w:val="0018152A"/>
    <w:rsid w:val="001815A2"/>
    <w:rsid w:val="0018168D"/>
    <w:rsid w:val="001816A6"/>
    <w:rsid w:val="001816EE"/>
    <w:rsid w:val="00181815"/>
    <w:rsid w:val="0018185C"/>
    <w:rsid w:val="001819DD"/>
    <w:rsid w:val="00181BE8"/>
    <w:rsid w:val="00181E84"/>
    <w:rsid w:val="00181E95"/>
    <w:rsid w:val="00181EE3"/>
    <w:rsid w:val="00181EFD"/>
    <w:rsid w:val="00182009"/>
    <w:rsid w:val="0018204D"/>
    <w:rsid w:val="001820F6"/>
    <w:rsid w:val="00182144"/>
    <w:rsid w:val="0018216A"/>
    <w:rsid w:val="00182230"/>
    <w:rsid w:val="00182462"/>
    <w:rsid w:val="00182697"/>
    <w:rsid w:val="001826C3"/>
    <w:rsid w:val="00182703"/>
    <w:rsid w:val="00182784"/>
    <w:rsid w:val="001827AF"/>
    <w:rsid w:val="0018281C"/>
    <w:rsid w:val="00182ADD"/>
    <w:rsid w:val="00182C6B"/>
    <w:rsid w:val="00182CC5"/>
    <w:rsid w:val="00182E5B"/>
    <w:rsid w:val="00182E78"/>
    <w:rsid w:val="00182F8B"/>
    <w:rsid w:val="00182FF3"/>
    <w:rsid w:val="001830D0"/>
    <w:rsid w:val="00183147"/>
    <w:rsid w:val="0018317D"/>
    <w:rsid w:val="00183187"/>
    <w:rsid w:val="0018326D"/>
    <w:rsid w:val="00183349"/>
    <w:rsid w:val="001833BA"/>
    <w:rsid w:val="00183493"/>
    <w:rsid w:val="001834C1"/>
    <w:rsid w:val="00183588"/>
    <w:rsid w:val="001835DD"/>
    <w:rsid w:val="001835F9"/>
    <w:rsid w:val="001837FC"/>
    <w:rsid w:val="001838FC"/>
    <w:rsid w:val="0018398E"/>
    <w:rsid w:val="00183994"/>
    <w:rsid w:val="001839F4"/>
    <w:rsid w:val="00183BDE"/>
    <w:rsid w:val="00183C22"/>
    <w:rsid w:val="00183D63"/>
    <w:rsid w:val="00183E24"/>
    <w:rsid w:val="00183E63"/>
    <w:rsid w:val="00183F1F"/>
    <w:rsid w:val="00184160"/>
    <w:rsid w:val="00184295"/>
    <w:rsid w:val="00184330"/>
    <w:rsid w:val="0018435E"/>
    <w:rsid w:val="001843C4"/>
    <w:rsid w:val="001844DD"/>
    <w:rsid w:val="0018456D"/>
    <w:rsid w:val="001845A0"/>
    <w:rsid w:val="00184693"/>
    <w:rsid w:val="001846E5"/>
    <w:rsid w:val="001847E6"/>
    <w:rsid w:val="00184817"/>
    <w:rsid w:val="00184A5D"/>
    <w:rsid w:val="00184AC4"/>
    <w:rsid w:val="00184B5C"/>
    <w:rsid w:val="00184BBE"/>
    <w:rsid w:val="00184C06"/>
    <w:rsid w:val="00184D78"/>
    <w:rsid w:val="00184E04"/>
    <w:rsid w:val="00184EBC"/>
    <w:rsid w:val="00184FE2"/>
    <w:rsid w:val="001851DA"/>
    <w:rsid w:val="001851E8"/>
    <w:rsid w:val="001853B9"/>
    <w:rsid w:val="001853F1"/>
    <w:rsid w:val="00185455"/>
    <w:rsid w:val="00185619"/>
    <w:rsid w:val="0018562B"/>
    <w:rsid w:val="001859FC"/>
    <w:rsid w:val="00185A49"/>
    <w:rsid w:val="00185A8D"/>
    <w:rsid w:val="00185AFD"/>
    <w:rsid w:val="00185B3F"/>
    <w:rsid w:val="00185CA9"/>
    <w:rsid w:val="00185E82"/>
    <w:rsid w:val="00185F48"/>
    <w:rsid w:val="00185FBA"/>
    <w:rsid w:val="00186096"/>
    <w:rsid w:val="00186259"/>
    <w:rsid w:val="0018625A"/>
    <w:rsid w:val="0018626C"/>
    <w:rsid w:val="001862E4"/>
    <w:rsid w:val="001862EB"/>
    <w:rsid w:val="001862F3"/>
    <w:rsid w:val="001865B7"/>
    <w:rsid w:val="001867D3"/>
    <w:rsid w:val="00186894"/>
    <w:rsid w:val="00186918"/>
    <w:rsid w:val="00186B98"/>
    <w:rsid w:val="00186C3C"/>
    <w:rsid w:val="00186C7E"/>
    <w:rsid w:val="00186D77"/>
    <w:rsid w:val="00186DCC"/>
    <w:rsid w:val="00186E17"/>
    <w:rsid w:val="00186E26"/>
    <w:rsid w:val="00186EDF"/>
    <w:rsid w:val="00186F52"/>
    <w:rsid w:val="00186FD8"/>
    <w:rsid w:val="00187160"/>
    <w:rsid w:val="001872D6"/>
    <w:rsid w:val="00187332"/>
    <w:rsid w:val="001874A9"/>
    <w:rsid w:val="001875BD"/>
    <w:rsid w:val="001875E3"/>
    <w:rsid w:val="0018768C"/>
    <w:rsid w:val="00187736"/>
    <w:rsid w:val="0018786F"/>
    <w:rsid w:val="00187A46"/>
    <w:rsid w:val="00187AA5"/>
    <w:rsid w:val="00187AD7"/>
    <w:rsid w:val="00187BBE"/>
    <w:rsid w:val="00187D5A"/>
    <w:rsid w:val="00187EB6"/>
    <w:rsid w:val="00187EDD"/>
    <w:rsid w:val="00187EF7"/>
    <w:rsid w:val="00190133"/>
    <w:rsid w:val="00190224"/>
    <w:rsid w:val="001902F6"/>
    <w:rsid w:val="00190373"/>
    <w:rsid w:val="0019047D"/>
    <w:rsid w:val="001904BB"/>
    <w:rsid w:val="001904FE"/>
    <w:rsid w:val="001905E0"/>
    <w:rsid w:val="00190688"/>
    <w:rsid w:val="00190AC2"/>
    <w:rsid w:val="00190B82"/>
    <w:rsid w:val="00190BBE"/>
    <w:rsid w:val="00190BE9"/>
    <w:rsid w:val="00190C0D"/>
    <w:rsid w:val="00190C97"/>
    <w:rsid w:val="00190D09"/>
    <w:rsid w:val="00190D4E"/>
    <w:rsid w:val="00190EA9"/>
    <w:rsid w:val="00190ECD"/>
    <w:rsid w:val="00190F81"/>
    <w:rsid w:val="0019105F"/>
    <w:rsid w:val="0019106C"/>
    <w:rsid w:val="001910BE"/>
    <w:rsid w:val="001910C4"/>
    <w:rsid w:val="001910C9"/>
    <w:rsid w:val="001911F3"/>
    <w:rsid w:val="0019124D"/>
    <w:rsid w:val="001913F5"/>
    <w:rsid w:val="00191443"/>
    <w:rsid w:val="00191605"/>
    <w:rsid w:val="001916CB"/>
    <w:rsid w:val="001916D6"/>
    <w:rsid w:val="00191707"/>
    <w:rsid w:val="00191762"/>
    <w:rsid w:val="0019196B"/>
    <w:rsid w:val="001919A3"/>
    <w:rsid w:val="00191AB7"/>
    <w:rsid w:val="00191C05"/>
    <w:rsid w:val="00191C36"/>
    <w:rsid w:val="00191C96"/>
    <w:rsid w:val="00191E46"/>
    <w:rsid w:val="00191E48"/>
    <w:rsid w:val="00191F4D"/>
    <w:rsid w:val="00192069"/>
    <w:rsid w:val="00192300"/>
    <w:rsid w:val="00192345"/>
    <w:rsid w:val="00192625"/>
    <w:rsid w:val="001927C2"/>
    <w:rsid w:val="00192827"/>
    <w:rsid w:val="00192893"/>
    <w:rsid w:val="00192925"/>
    <w:rsid w:val="00192952"/>
    <w:rsid w:val="001929BB"/>
    <w:rsid w:val="00192A07"/>
    <w:rsid w:val="00192CD9"/>
    <w:rsid w:val="00192CE9"/>
    <w:rsid w:val="00192D58"/>
    <w:rsid w:val="00192E72"/>
    <w:rsid w:val="00192E7B"/>
    <w:rsid w:val="00192E80"/>
    <w:rsid w:val="00192EA3"/>
    <w:rsid w:val="00192F61"/>
    <w:rsid w:val="00193021"/>
    <w:rsid w:val="00193033"/>
    <w:rsid w:val="0019318C"/>
    <w:rsid w:val="001931E2"/>
    <w:rsid w:val="00193215"/>
    <w:rsid w:val="0019335F"/>
    <w:rsid w:val="001933A9"/>
    <w:rsid w:val="001933B7"/>
    <w:rsid w:val="00193458"/>
    <w:rsid w:val="001934FE"/>
    <w:rsid w:val="001935A0"/>
    <w:rsid w:val="001935F5"/>
    <w:rsid w:val="001938B0"/>
    <w:rsid w:val="0019396D"/>
    <w:rsid w:val="00193A47"/>
    <w:rsid w:val="00193A79"/>
    <w:rsid w:val="00193BC3"/>
    <w:rsid w:val="00193DB2"/>
    <w:rsid w:val="00193ED3"/>
    <w:rsid w:val="00193FFC"/>
    <w:rsid w:val="00194121"/>
    <w:rsid w:val="0019419A"/>
    <w:rsid w:val="00194232"/>
    <w:rsid w:val="00194354"/>
    <w:rsid w:val="001945D7"/>
    <w:rsid w:val="001947C3"/>
    <w:rsid w:val="001947FE"/>
    <w:rsid w:val="00194931"/>
    <w:rsid w:val="00194AAE"/>
    <w:rsid w:val="00194BF0"/>
    <w:rsid w:val="00194D28"/>
    <w:rsid w:val="00194D89"/>
    <w:rsid w:val="00194F05"/>
    <w:rsid w:val="00194F0D"/>
    <w:rsid w:val="00194F2C"/>
    <w:rsid w:val="00194FC3"/>
    <w:rsid w:val="00195050"/>
    <w:rsid w:val="00195106"/>
    <w:rsid w:val="001951A6"/>
    <w:rsid w:val="001952C5"/>
    <w:rsid w:val="0019536E"/>
    <w:rsid w:val="0019538C"/>
    <w:rsid w:val="00195414"/>
    <w:rsid w:val="0019541A"/>
    <w:rsid w:val="0019552E"/>
    <w:rsid w:val="001956DE"/>
    <w:rsid w:val="00195751"/>
    <w:rsid w:val="0019580C"/>
    <w:rsid w:val="001958BE"/>
    <w:rsid w:val="001959C8"/>
    <w:rsid w:val="00195B09"/>
    <w:rsid w:val="00195C7B"/>
    <w:rsid w:val="00195D85"/>
    <w:rsid w:val="00195DC0"/>
    <w:rsid w:val="00195EEE"/>
    <w:rsid w:val="00195EF3"/>
    <w:rsid w:val="00195F0D"/>
    <w:rsid w:val="00195F3E"/>
    <w:rsid w:val="00195FA7"/>
    <w:rsid w:val="00196058"/>
    <w:rsid w:val="0019634D"/>
    <w:rsid w:val="001963CF"/>
    <w:rsid w:val="00196466"/>
    <w:rsid w:val="001965FE"/>
    <w:rsid w:val="0019678C"/>
    <w:rsid w:val="00196A67"/>
    <w:rsid w:val="00196ABA"/>
    <w:rsid w:val="00196BEB"/>
    <w:rsid w:val="00196C1D"/>
    <w:rsid w:val="00196CDE"/>
    <w:rsid w:val="00196E51"/>
    <w:rsid w:val="00197037"/>
    <w:rsid w:val="00197059"/>
    <w:rsid w:val="001970CD"/>
    <w:rsid w:val="0019714B"/>
    <w:rsid w:val="001971BC"/>
    <w:rsid w:val="001971C6"/>
    <w:rsid w:val="0019728B"/>
    <w:rsid w:val="00197320"/>
    <w:rsid w:val="001975DF"/>
    <w:rsid w:val="001975E7"/>
    <w:rsid w:val="00197613"/>
    <w:rsid w:val="0019764D"/>
    <w:rsid w:val="00197711"/>
    <w:rsid w:val="00197937"/>
    <w:rsid w:val="001979B3"/>
    <w:rsid w:val="00197A13"/>
    <w:rsid w:val="00197ABF"/>
    <w:rsid w:val="00197B28"/>
    <w:rsid w:val="00197B2A"/>
    <w:rsid w:val="00197D16"/>
    <w:rsid w:val="00197DFF"/>
    <w:rsid w:val="00197E12"/>
    <w:rsid w:val="00197EA8"/>
    <w:rsid w:val="001A01EB"/>
    <w:rsid w:val="001A03DD"/>
    <w:rsid w:val="001A03F6"/>
    <w:rsid w:val="001A041A"/>
    <w:rsid w:val="001A04A0"/>
    <w:rsid w:val="001A057E"/>
    <w:rsid w:val="001A079D"/>
    <w:rsid w:val="001A07F6"/>
    <w:rsid w:val="001A08C7"/>
    <w:rsid w:val="001A08FB"/>
    <w:rsid w:val="001A0942"/>
    <w:rsid w:val="001A09D6"/>
    <w:rsid w:val="001A0ABC"/>
    <w:rsid w:val="001A0CB5"/>
    <w:rsid w:val="001A0EB6"/>
    <w:rsid w:val="001A0F36"/>
    <w:rsid w:val="001A0FDD"/>
    <w:rsid w:val="001A1028"/>
    <w:rsid w:val="001A1133"/>
    <w:rsid w:val="001A1381"/>
    <w:rsid w:val="001A143B"/>
    <w:rsid w:val="001A1472"/>
    <w:rsid w:val="001A1493"/>
    <w:rsid w:val="001A1552"/>
    <w:rsid w:val="001A1569"/>
    <w:rsid w:val="001A1593"/>
    <w:rsid w:val="001A167F"/>
    <w:rsid w:val="001A17C1"/>
    <w:rsid w:val="001A17C8"/>
    <w:rsid w:val="001A1944"/>
    <w:rsid w:val="001A1A03"/>
    <w:rsid w:val="001A1B4C"/>
    <w:rsid w:val="001A1CD9"/>
    <w:rsid w:val="001A1D7C"/>
    <w:rsid w:val="001A1DDD"/>
    <w:rsid w:val="001A1E44"/>
    <w:rsid w:val="001A1F58"/>
    <w:rsid w:val="001A1F76"/>
    <w:rsid w:val="001A209D"/>
    <w:rsid w:val="001A2162"/>
    <w:rsid w:val="001A21A5"/>
    <w:rsid w:val="001A2227"/>
    <w:rsid w:val="001A223A"/>
    <w:rsid w:val="001A22A9"/>
    <w:rsid w:val="001A23C6"/>
    <w:rsid w:val="001A2481"/>
    <w:rsid w:val="001A249F"/>
    <w:rsid w:val="001A2652"/>
    <w:rsid w:val="001A265F"/>
    <w:rsid w:val="001A2867"/>
    <w:rsid w:val="001A29DD"/>
    <w:rsid w:val="001A2A09"/>
    <w:rsid w:val="001A2ACB"/>
    <w:rsid w:val="001A2B5F"/>
    <w:rsid w:val="001A2B64"/>
    <w:rsid w:val="001A2BC0"/>
    <w:rsid w:val="001A2BF6"/>
    <w:rsid w:val="001A2DAA"/>
    <w:rsid w:val="001A2DDF"/>
    <w:rsid w:val="001A2FB1"/>
    <w:rsid w:val="001A2FEE"/>
    <w:rsid w:val="001A3058"/>
    <w:rsid w:val="001A313A"/>
    <w:rsid w:val="001A315C"/>
    <w:rsid w:val="001A31ED"/>
    <w:rsid w:val="001A3389"/>
    <w:rsid w:val="001A3400"/>
    <w:rsid w:val="001A3849"/>
    <w:rsid w:val="001A3851"/>
    <w:rsid w:val="001A389B"/>
    <w:rsid w:val="001A3978"/>
    <w:rsid w:val="001A39BD"/>
    <w:rsid w:val="001A3A3D"/>
    <w:rsid w:val="001A3ADC"/>
    <w:rsid w:val="001A3B3F"/>
    <w:rsid w:val="001A3D1B"/>
    <w:rsid w:val="001A3D49"/>
    <w:rsid w:val="001A3E1C"/>
    <w:rsid w:val="001A3F38"/>
    <w:rsid w:val="001A3FE2"/>
    <w:rsid w:val="001A400C"/>
    <w:rsid w:val="001A4089"/>
    <w:rsid w:val="001A40E4"/>
    <w:rsid w:val="001A4233"/>
    <w:rsid w:val="001A42DE"/>
    <w:rsid w:val="001A432D"/>
    <w:rsid w:val="001A437E"/>
    <w:rsid w:val="001A43BC"/>
    <w:rsid w:val="001A4464"/>
    <w:rsid w:val="001A4606"/>
    <w:rsid w:val="001A4661"/>
    <w:rsid w:val="001A47C5"/>
    <w:rsid w:val="001A47C7"/>
    <w:rsid w:val="001A48A9"/>
    <w:rsid w:val="001A48E2"/>
    <w:rsid w:val="001A49FC"/>
    <w:rsid w:val="001A4A1A"/>
    <w:rsid w:val="001A4AB2"/>
    <w:rsid w:val="001A4B48"/>
    <w:rsid w:val="001A4E49"/>
    <w:rsid w:val="001A4EDE"/>
    <w:rsid w:val="001A4FF0"/>
    <w:rsid w:val="001A5105"/>
    <w:rsid w:val="001A510C"/>
    <w:rsid w:val="001A5289"/>
    <w:rsid w:val="001A5296"/>
    <w:rsid w:val="001A5488"/>
    <w:rsid w:val="001A54BE"/>
    <w:rsid w:val="001A5568"/>
    <w:rsid w:val="001A562E"/>
    <w:rsid w:val="001A563E"/>
    <w:rsid w:val="001A566D"/>
    <w:rsid w:val="001A57E7"/>
    <w:rsid w:val="001A589E"/>
    <w:rsid w:val="001A58D8"/>
    <w:rsid w:val="001A5990"/>
    <w:rsid w:val="001A59D4"/>
    <w:rsid w:val="001A5A5E"/>
    <w:rsid w:val="001A5D13"/>
    <w:rsid w:val="001A5F78"/>
    <w:rsid w:val="001A6087"/>
    <w:rsid w:val="001A60AE"/>
    <w:rsid w:val="001A6116"/>
    <w:rsid w:val="001A6165"/>
    <w:rsid w:val="001A61B6"/>
    <w:rsid w:val="001A62AB"/>
    <w:rsid w:val="001A63F3"/>
    <w:rsid w:val="001A6413"/>
    <w:rsid w:val="001A641E"/>
    <w:rsid w:val="001A65EE"/>
    <w:rsid w:val="001A677A"/>
    <w:rsid w:val="001A67F7"/>
    <w:rsid w:val="001A68C3"/>
    <w:rsid w:val="001A69FE"/>
    <w:rsid w:val="001A6AAF"/>
    <w:rsid w:val="001A6B05"/>
    <w:rsid w:val="001A6B1C"/>
    <w:rsid w:val="001A6B23"/>
    <w:rsid w:val="001A6B74"/>
    <w:rsid w:val="001A6C72"/>
    <w:rsid w:val="001A6CA8"/>
    <w:rsid w:val="001A6D14"/>
    <w:rsid w:val="001A6E0B"/>
    <w:rsid w:val="001A6E88"/>
    <w:rsid w:val="001A6F71"/>
    <w:rsid w:val="001A6F82"/>
    <w:rsid w:val="001A7110"/>
    <w:rsid w:val="001A7135"/>
    <w:rsid w:val="001A71AF"/>
    <w:rsid w:val="001A73BB"/>
    <w:rsid w:val="001A73C9"/>
    <w:rsid w:val="001A748A"/>
    <w:rsid w:val="001A7524"/>
    <w:rsid w:val="001A754A"/>
    <w:rsid w:val="001A766F"/>
    <w:rsid w:val="001A776E"/>
    <w:rsid w:val="001A7778"/>
    <w:rsid w:val="001A77CA"/>
    <w:rsid w:val="001A7887"/>
    <w:rsid w:val="001A78BA"/>
    <w:rsid w:val="001A7A72"/>
    <w:rsid w:val="001A7A83"/>
    <w:rsid w:val="001A7C06"/>
    <w:rsid w:val="001A7C26"/>
    <w:rsid w:val="001A7C3A"/>
    <w:rsid w:val="001A7C3C"/>
    <w:rsid w:val="001A7CD4"/>
    <w:rsid w:val="001A7DDF"/>
    <w:rsid w:val="001A7E52"/>
    <w:rsid w:val="001A7FA1"/>
    <w:rsid w:val="001AA803"/>
    <w:rsid w:val="001B0106"/>
    <w:rsid w:val="001B022E"/>
    <w:rsid w:val="001B0315"/>
    <w:rsid w:val="001B034F"/>
    <w:rsid w:val="001B035A"/>
    <w:rsid w:val="001B050C"/>
    <w:rsid w:val="001B056D"/>
    <w:rsid w:val="001B0659"/>
    <w:rsid w:val="001B06B3"/>
    <w:rsid w:val="001B06FA"/>
    <w:rsid w:val="001B0769"/>
    <w:rsid w:val="001B076A"/>
    <w:rsid w:val="001B08F7"/>
    <w:rsid w:val="001B0B60"/>
    <w:rsid w:val="001B0D76"/>
    <w:rsid w:val="001B0D93"/>
    <w:rsid w:val="001B0E69"/>
    <w:rsid w:val="001B0E84"/>
    <w:rsid w:val="001B1000"/>
    <w:rsid w:val="001B114A"/>
    <w:rsid w:val="001B12AB"/>
    <w:rsid w:val="001B135E"/>
    <w:rsid w:val="001B1459"/>
    <w:rsid w:val="001B14C8"/>
    <w:rsid w:val="001B197A"/>
    <w:rsid w:val="001B1AE0"/>
    <w:rsid w:val="001B1C3F"/>
    <w:rsid w:val="001B1DEC"/>
    <w:rsid w:val="001B1E1F"/>
    <w:rsid w:val="001B1EA3"/>
    <w:rsid w:val="001B2127"/>
    <w:rsid w:val="001B223A"/>
    <w:rsid w:val="001B22E4"/>
    <w:rsid w:val="001B2579"/>
    <w:rsid w:val="001B263B"/>
    <w:rsid w:val="001B2661"/>
    <w:rsid w:val="001B2663"/>
    <w:rsid w:val="001B2706"/>
    <w:rsid w:val="001B283F"/>
    <w:rsid w:val="001B2980"/>
    <w:rsid w:val="001B2CD3"/>
    <w:rsid w:val="001B2D3C"/>
    <w:rsid w:val="001B2D3F"/>
    <w:rsid w:val="001B2E5D"/>
    <w:rsid w:val="001B2F7A"/>
    <w:rsid w:val="001B2FCC"/>
    <w:rsid w:val="001B30A7"/>
    <w:rsid w:val="001B30F6"/>
    <w:rsid w:val="001B30FF"/>
    <w:rsid w:val="001B31AD"/>
    <w:rsid w:val="001B31F5"/>
    <w:rsid w:val="001B3222"/>
    <w:rsid w:val="001B3323"/>
    <w:rsid w:val="001B3339"/>
    <w:rsid w:val="001B34B2"/>
    <w:rsid w:val="001B3530"/>
    <w:rsid w:val="001B357D"/>
    <w:rsid w:val="001B35C0"/>
    <w:rsid w:val="001B3916"/>
    <w:rsid w:val="001B39E7"/>
    <w:rsid w:val="001B3B18"/>
    <w:rsid w:val="001B3BE6"/>
    <w:rsid w:val="001B3C9D"/>
    <w:rsid w:val="001B3D68"/>
    <w:rsid w:val="001B3E06"/>
    <w:rsid w:val="001B3E36"/>
    <w:rsid w:val="001B4012"/>
    <w:rsid w:val="001B4252"/>
    <w:rsid w:val="001B426C"/>
    <w:rsid w:val="001B42A0"/>
    <w:rsid w:val="001B43F2"/>
    <w:rsid w:val="001B4740"/>
    <w:rsid w:val="001B475F"/>
    <w:rsid w:val="001B47C8"/>
    <w:rsid w:val="001B488D"/>
    <w:rsid w:val="001B4A34"/>
    <w:rsid w:val="001B4A59"/>
    <w:rsid w:val="001B4A7C"/>
    <w:rsid w:val="001B4B52"/>
    <w:rsid w:val="001B4B55"/>
    <w:rsid w:val="001B4BE7"/>
    <w:rsid w:val="001B4D8E"/>
    <w:rsid w:val="001B4DC7"/>
    <w:rsid w:val="001B50E6"/>
    <w:rsid w:val="001B510B"/>
    <w:rsid w:val="001B5130"/>
    <w:rsid w:val="001B517D"/>
    <w:rsid w:val="001B5181"/>
    <w:rsid w:val="001B5263"/>
    <w:rsid w:val="001B52A6"/>
    <w:rsid w:val="001B52B1"/>
    <w:rsid w:val="001B55FE"/>
    <w:rsid w:val="001B5707"/>
    <w:rsid w:val="001B5744"/>
    <w:rsid w:val="001B5765"/>
    <w:rsid w:val="001B57F2"/>
    <w:rsid w:val="001B57FC"/>
    <w:rsid w:val="001B58DC"/>
    <w:rsid w:val="001B591A"/>
    <w:rsid w:val="001B591E"/>
    <w:rsid w:val="001B59D8"/>
    <w:rsid w:val="001B5A8A"/>
    <w:rsid w:val="001B5A8C"/>
    <w:rsid w:val="001B5F1B"/>
    <w:rsid w:val="001B5F4B"/>
    <w:rsid w:val="001B5F6E"/>
    <w:rsid w:val="001B5F71"/>
    <w:rsid w:val="001B6277"/>
    <w:rsid w:val="001B6300"/>
    <w:rsid w:val="001B6365"/>
    <w:rsid w:val="001B6436"/>
    <w:rsid w:val="001B6484"/>
    <w:rsid w:val="001B6589"/>
    <w:rsid w:val="001B6613"/>
    <w:rsid w:val="001B6616"/>
    <w:rsid w:val="001B672E"/>
    <w:rsid w:val="001B6961"/>
    <w:rsid w:val="001B69DE"/>
    <w:rsid w:val="001B6AA9"/>
    <w:rsid w:val="001B6AE1"/>
    <w:rsid w:val="001B6BEB"/>
    <w:rsid w:val="001B6C4D"/>
    <w:rsid w:val="001B6DE2"/>
    <w:rsid w:val="001B6E47"/>
    <w:rsid w:val="001B6F85"/>
    <w:rsid w:val="001B704B"/>
    <w:rsid w:val="001B709B"/>
    <w:rsid w:val="001B717E"/>
    <w:rsid w:val="001B71BB"/>
    <w:rsid w:val="001B7378"/>
    <w:rsid w:val="001B7513"/>
    <w:rsid w:val="001B7589"/>
    <w:rsid w:val="001B75AB"/>
    <w:rsid w:val="001B75DE"/>
    <w:rsid w:val="001B772B"/>
    <w:rsid w:val="001B77EB"/>
    <w:rsid w:val="001B7819"/>
    <w:rsid w:val="001B7882"/>
    <w:rsid w:val="001B78BB"/>
    <w:rsid w:val="001B79B5"/>
    <w:rsid w:val="001B79EF"/>
    <w:rsid w:val="001B7C76"/>
    <w:rsid w:val="001B7DA8"/>
    <w:rsid w:val="001B7DF7"/>
    <w:rsid w:val="001B7E1A"/>
    <w:rsid w:val="001B7E1B"/>
    <w:rsid w:val="001B7E37"/>
    <w:rsid w:val="001B7F5A"/>
    <w:rsid w:val="001B7FF8"/>
    <w:rsid w:val="001C007E"/>
    <w:rsid w:val="001C0115"/>
    <w:rsid w:val="001C0229"/>
    <w:rsid w:val="001C0318"/>
    <w:rsid w:val="001C04A7"/>
    <w:rsid w:val="001C05BC"/>
    <w:rsid w:val="001C062F"/>
    <w:rsid w:val="001C077B"/>
    <w:rsid w:val="001C0833"/>
    <w:rsid w:val="001C0ACF"/>
    <w:rsid w:val="001C0AE4"/>
    <w:rsid w:val="001C0B30"/>
    <w:rsid w:val="001C0B66"/>
    <w:rsid w:val="001C0C6C"/>
    <w:rsid w:val="001C0D0C"/>
    <w:rsid w:val="001C0E2B"/>
    <w:rsid w:val="001C1161"/>
    <w:rsid w:val="001C1186"/>
    <w:rsid w:val="001C124A"/>
    <w:rsid w:val="001C12A3"/>
    <w:rsid w:val="001C12BC"/>
    <w:rsid w:val="001C12E8"/>
    <w:rsid w:val="001C12F0"/>
    <w:rsid w:val="001C1410"/>
    <w:rsid w:val="001C1433"/>
    <w:rsid w:val="001C14AC"/>
    <w:rsid w:val="001C14CC"/>
    <w:rsid w:val="001C1790"/>
    <w:rsid w:val="001C17B3"/>
    <w:rsid w:val="001C17F6"/>
    <w:rsid w:val="001C1822"/>
    <w:rsid w:val="001C182A"/>
    <w:rsid w:val="001C188C"/>
    <w:rsid w:val="001C1A5F"/>
    <w:rsid w:val="001C1AC9"/>
    <w:rsid w:val="001C1B4F"/>
    <w:rsid w:val="001C1BB7"/>
    <w:rsid w:val="001C1C16"/>
    <w:rsid w:val="001C1C50"/>
    <w:rsid w:val="001C1EDF"/>
    <w:rsid w:val="001C2102"/>
    <w:rsid w:val="001C2103"/>
    <w:rsid w:val="001C211B"/>
    <w:rsid w:val="001C2155"/>
    <w:rsid w:val="001C2303"/>
    <w:rsid w:val="001C2416"/>
    <w:rsid w:val="001C250A"/>
    <w:rsid w:val="001C2582"/>
    <w:rsid w:val="001C2668"/>
    <w:rsid w:val="001C27FD"/>
    <w:rsid w:val="001C28E9"/>
    <w:rsid w:val="001C2ACB"/>
    <w:rsid w:val="001C2B1C"/>
    <w:rsid w:val="001C2C8E"/>
    <w:rsid w:val="001C2CC0"/>
    <w:rsid w:val="001C2CD0"/>
    <w:rsid w:val="001C2CDF"/>
    <w:rsid w:val="001C2E53"/>
    <w:rsid w:val="001C2F47"/>
    <w:rsid w:val="001C3000"/>
    <w:rsid w:val="001C30DC"/>
    <w:rsid w:val="001C31A2"/>
    <w:rsid w:val="001C3320"/>
    <w:rsid w:val="001C3402"/>
    <w:rsid w:val="001C3483"/>
    <w:rsid w:val="001C3491"/>
    <w:rsid w:val="001C34B6"/>
    <w:rsid w:val="001C3569"/>
    <w:rsid w:val="001C3586"/>
    <w:rsid w:val="001C365F"/>
    <w:rsid w:val="001C36BC"/>
    <w:rsid w:val="001C3712"/>
    <w:rsid w:val="001C37F4"/>
    <w:rsid w:val="001C37F6"/>
    <w:rsid w:val="001C3875"/>
    <w:rsid w:val="001C3A3A"/>
    <w:rsid w:val="001C3B11"/>
    <w:rsid w:val="001C3D7A"/>
    <w:rsid w:val="001C3DE4"/>
    <w:rsid w:val="001C3E89"/>
    <w:rsid w:val="001C3FE5"/>
    <w:rsid w:val="001C403F"/>
    <w:rsid w:val="001C4060"/>
    <w:rsid w:val="001C40AA"/>
    <w:rsid w:val="001C40BD"/>
    <w:rsid w:val="001C4104"/>
    <w:rsid w:val="001C41CF"/>
    <w:rsid w:val="001C4295"/>
    <w:rsid w:val="001C4358"/>
    <w:rsid w:val="001C4372"/>
    <w:rsid w:val="001C4462"/>
    <w:rsid w:val="001C452F"/>
    <w:rsid w:val="001C45F7"/>
    <w:rsid w:val="001C46AE"/>
    <w:rsid w:val="001C470B"/>
    <w:rsid w:val="001C47A8"/>
    <w:rsid w:val="001C47AF"/>
    <w:rsid w:val="001C4927"/>
    <w:rsid w:val="001C497E"/>
    <w:rsid w:val="001C4A20"/>
    <w:rsid w:val="001C4A8E"/>
    <w:rsid w:val="001C4AEC"/>
    <w:rsid w:val="001C4B66"/>
    <w:rsid w:val="001C4CFD"/>
    <w:rsid w:val="001C5046"/>
    <w:rsid w:val="001C50A3"/>
    <w:rsid w:val="001C50AB"/>
    <w:rsid w:val="001C5176"/>
    <w:rsid w:val="001C51A3"/>
    <w:rsid w:val="001C51B6"/>
    <w:rsid w:val="001C5271"/>
    <w:rsid w:val="001C52FA"/>
    <w:rsid w:val="001C54EE"/>
    <w:rsid w:val="001C54FF"/>
    <w:rsid w:val="001C5543"/>
    <w:rsid w:val="001C58C6"/>
    <w:rsid w:val="001C5A20"/>
    <w:rsid w:val="001C5A46"/>
    <w:rsid w:val="001C5A5A"/>
    <w:rsid w:val="001C5A98"/>
    <w:rsid w:val="001C5BD2"/>
    <w:rsid w:val="001C5D36"/>
    <w:rsid w:val="001C5DDE"/>
    <w:rsid w:val="001C5DFB"/>
    <w:rsid w:val="001C5E68"/>
    <w:rsid w:val="001C6029"/>
    <w:rsid w:val="001C604A"/>
    <w:rsid w:val="001C618E"/>
    <w:rsid w:val="001C631B"/>
    <w:rsid w:val="001C646B"/>
    <w:rsid w:val="001C6731"/>
    <w:rsid w:val="001C6851"/>
    <w:rsid w:val="001C68D5"/>
    <w:rsid w:val="001C6904"/>
    <w:rsid w:val="001C69D9"/>
    <w:rsid w:val="001C69F1"/>
    <w:rsid w:val="001C6B79"/>
    <w:rsid w:val="001C6D30"/>
    <w:rsid w:val="001C6E7F"/>
    <w:rsid w:val="001C6ED2"/>
    <w:rsid w:val="001C6EE1"/>
    <w:rsid w:val="001C70B6"/>
    <w:rsid w:val="001C71B2"/>
    <w:rsid w:val="001C7229"/>
    <w:rsid w:val="001C7431"/>
    <w:rsid w:val="001C74B7"/>
    <w:rsid w:val="001C74FE"/>
    <w:rsid w:val="001C7500"/>
    <w:rsid w:val="001C75B8"/>
    <w:rsid w:val="001C7607"/>
    <w:rsid w:val="001C76F1"/>
    <w:rsid w:val="001C7808"/>
    <w:rsid w:val="001C78DC"/>
    <w:rsid w:val="001C7A46"/>
    <w:rsid w:val="001C7A5B"/>
    <w:rsid w:val="001C7B76"/>
    <w:rsid w:val="001C7B94"/>
    <w:rsid w:val="001C7CBA"/>
    <w:rsid w:val="001C7E45"/>
    <w:rsid w:val="001C7E9E"/>
    <w:rsid w:val="001C7EF4"/>
    <w:rsid w:val="001C7F5D"/>
    <w:rsid w:val="001D00C5"/>
    <w:rsid w:val="001D010E"/>
    <w:rsid w:val="001D0135"/>
    <w:rsid w:val="001D0300"/>
    <w:rsid w:val="001D0395"/>
    <w:rsid w:val="001D03AE"/>
    <w:rsid w:val="001D0446"/>
    <w:rsid w:val="001D04FD"/>
    <w:rsid w:val="001D05BE"/>
    <w:rsid w:val="001D05C3"/>
    <w:rsid w:val="001D0636"/>
    <w:rsid w:val="001D06DC"/>
    <w:rsid w:val="001D083A"/>
    <w:rsid w:val="001D0876"/>
    <w:rsid w:val="001D0A26"/>
    <w:rsid w:val="001D0B28"/>
    <w:rsid w:val="001D0B57"/>
    <w:rsid w:val="001D0BBD"/>
    <w:rsid w:val="001D0C08"/>
    <w:rsid w:val="001D0C64"/>
    <w:rsid w:val="001D0D0F"/>
    <w:rsid w:val="001D0D21"/>
    <w:rsid w:val="001D0D6D"/>
    <w:rsid w:val="001D0D72"/>
    <w:rsid w:val="001D0E53"/>
    <w:rsid w:val="001D0F64"/>
    <w:rsid w:val="001D106A"/>
    <w:rsid w:val="001D111B"/>
    <w:rsid w:val="001D1152"/>
    <w:rsid w:val="001D11A1"/>
    <w:rsid w:val="001D123E"/>
    <w:rsid w:val="001D14C7"/>
    <w:rsid w:val="001D151F"/>
    <w:rsid w:val="001D1532"/>
    <w:rsid w:val="001D15E8"/>
    <w:rsid w:val="001D1603"/>
    <w:rsid w:val="001D18F0"/>
    <w:rsid w:val="001D1A16"/>
    <w:rsid w:val="001D1B76"/>
    <w:rsid w:val="001D1B9C"/>
    <w:rsid w:val="001D1C48"/>
    <w:rsid w:val="001D2146"/>
    <w:rsid w:val="001D2299"/>
    <w:rsid w:val="001D236E"/>
    <w:rsid w:val="001D23C9"/>
    <w:rsid w:val="001D2459"/>
    <w:rsid w:val="001D251C"/>
    <w:rsid w:val="001D2523"/>
    <w:rsid w:val="001D26C8"/>
    <w:rsid w:val="001D2753"/>
    <w:rsid w:val="001D2813"/>
    <w:rsid w:val="001D2900"/>
    <w:rsid w:val="001D2AF0"/>
    <w:rsid w:val="001D2B64"/>
    <w:rsid w:val="001D2BBD"/>
    <w:rsid w:val="001D2FF4"/>
    <w:rsid w:val="001D304A"/>
    <w:rsid w:val="001D3050"/>
    <w:rsid w:val="001D31C9"/>
    <w:rsid w:val="001D3202"/>
    <w:rsid w:val="001D3266"/>
    <w:rsid w:val="001D32BD"/>
    <w:rsid w:val="001D32DE"/>
    <w:rsid w:val="001D3344"/>
    <w:rsid w:val="001D3460"/>
    <w:rsid w:val="001D3736"/>
    <w:rsid w:val="001D3763"/>
    <w:rsid w:val="001D37F4"/>
    <w:rsid w:val="001D37FB"/>
    <w:rsid w:val="001D3836"/>
    <w:rsid w:val="001D3917"/>
    <w:rsid w:val="001D3A7B"/>
    <w:rsid w:val="001D3AD2"/>
    <w:rsid w:val="001D3C15"/>
    <w:rsid w:val="001D3C3B"/>
    <w:rsid w:val="001D3C4A"/>
    <w:rsid w:val="001D3F86"/>
    <w:rsid w:val="001D406C"/>
    <w:rsid w:val="001D40BD"/>
    <w:rsid w:val="001D411C"/>
    <w:rsid w:val="001D4152"/>
    <w:rsid w:val="001D4201"/>
    <w:rsid w:val="001D425A"/>
    <w:rsid w:val="001D42E9"/>
    <w:rsid w:val="001D4366"/>
    <w:rsid w:val="001D436D"/>
    <w:rsid w:val="001D4582"/>
    <w:rsid w:val="001D4605"/>
    <w:rsid w:val="001D46EB"/>
    <w:rsid w:val="001D483C"/>
    <w:rsid w:val="001D4939"/>
    <w:rsid w:val="001D4C82"/>
    <w:rsid w:val="001D4C90"/>
    <w:rsid w:val="001D4E12"/>
    <w:rsid w:val="001D4F4F"/>
    <w:rsid w:val="001D5173"/>
    <w:rsid w:val="001D52B6"/>
    <w:rsid w:val="001D52F4"/>
    <w:rsid w:val="001D5345"/>
    <w:rsid w:val="001D53C2"/>
    <w:rsid w:val="001D546E"/>
    <w:rsid w:val="001D5610"/>
    <w:rsid w:val="001D56BF"/>
    <w:rsid w:val="001D5724"/>
    <w:rsid w:val="001D577F"/>
    <w:rsid w:val="001D5866"/>
    <w:rsid w:val="001D590B"/>
    <w:rsid w:val="001D59DC"/>
    <w:rsid w:val="001D5A0A"/>
    <w:rsid w:val="001D5B09"/>
    <w:rsid w:val="001D5C36"/>
    <w:rsid w:val="001D5C9B"/>
    <w:rsid w:val="001D5D64"/>
    <w:rsid w:val="001D5D94"/>
    <w:rsid w:val="001D5E0E"/>
    <w:rsid w:val="001D5E7D"/>
    <w:rsid w:val="001D5E8E"/>
    <w:rsid w:val="001D5EED"/>
    <w:rsid w:val="001D5FEE"/>
    <w:rsid w:val="001D62B3"/>
    <w:rsid w:val="001D6344"/>
    <w:rsid w:val="001D639D"/>
    <w:rsid w:val="001D63E5"/>
    <w:rsid w:val="001D6701"/>
    <w:rsid w:val="001D671E"/>
    <w:rsid w:val="001D67E1"/>
    <w:rsid w:val="001D67E9"/>
    <w:rsid w:val="001D6935"/>
    <w:rsid w:val="001D6942"/>
    <w:rsid w:val="001D6B80"/>
    <w:rsid w:val="001D6BBE"/>
    <w:rsid w:val="001D6DD1"/>
    <w:rsid w:val="001D7103"/>
    <w:rsid w:val="001D727D"/>
    <w:rsid w:val="001D7329"/>
    <w:rsid w:val="001D753C"/>
    <w:rsid w:val="001D7599"/>
    <w:rsid w:val="001D75E4"/>
    <w:rsid w:val="001D77E7"/>
    <w:rsid w:val="001D7839"/>
    <w:rsid w:val="001D7929"/>
    <w:rsid w:val="001D7B7C"/>
    <w:rsid w:val="001D7DEF"/>
    <w:rsid w:val="001D7FD3"/>
    <w:rsid w:val="001D7FDB"/>
    <w:rsid w:val="001E0050"/>
    <w:rsid w:val="001E0108"/>
    <w:rsid w:val="001E0142"/>
    <w:rsid w:val="001E0194"/>
    <w:rsid w:val="001E02D8"/>
    <w:rsid w:val="001E0360"/>
    <w:rsid w:val="001E03D5"/>
    <w:rsid w:val="001E0495"/>
    <w:rsid w:val="001E0506"/>
    <w:rsid w:val="001E0641"/>
    <w:rsid w:val="001E07B9"/>
    <w:rsid w:val="001E081B"/>
    <w:rsid w:val="001E0820"/>
    <w:rsid w:val="001E0855"/>
    <w:rsid w:val="001E08AF"/>
    <w:rsid w:val="001E097C"/>
    <w:rsid w:val="001E0A49"/>
    <w:rsid w:val="001E0A5D"/>
    <w:rsid w:val="001E0A6B"/>
    <w:rsid w:val="001E0A7C"/>
    <w:rsid w:val="001E0AA7"/>
    <w:rsid w:val="001E0C44"/>
    <w:rsid w:val="001E0CAA"/>
    <w:rsid w:val="001E0D44"/>
    <w:rsid w:val="001E0E14"/>
    <w:rsid w:val="001E0E3A"/>
    <w:rsid w:val="001E0E58"/>
    <w:rsid w:val="001E0F34"/>
    <w:rsid w:val="001E0FB6"/>
    <w:rsid w:val="001E1026"/>
    <w:rsid w:val="001E10BC"/>
    <w:rsid w:val="001E10CE"/>
    <w:rsid w:val="001E1108"/>
    <w:rsid w:val="001E118D"/>
    <w:rsid w:val="001E11D9"/>
    <w:rsid w:val="001E1375"/>
    <w:rsid w:val="001E13A2"/>
    <w:rsid w:val="001E15C3"/>
    <w:rsid w:val="001E16CA"/>
    <w:rsid w:val="001E1750"/>
    <w:rsid w:val="001E1913"/>
    <w:rsid w:val="001E1982"/>
    <w:rsid w:val="001E19C3"/>
    <w:rsid w:val="001E1A3A"/>
    <w:rsid w:val="001E1C0F"/>
    <w:rsid w:val="001E1CDA"/>
    <w:rsid w:val="001E1D27"/>
    <w:rsid w:val="001E1DAB"/>
    <w:rsid w:val="001E1DDD"/>
    <w:rsid w:val="001E1EF3"/>
    <w:rsid w:val="001E2094"/>
    <w:rsid w:val="001E21D7"/>
    <w:rsid w:val="001E2232"/>
    <w:rsid w:val="001E22E4"/>
    <w:rsid w:val="001E26CB"/>
    <w:rsid w:val="001E27DE"/>
    <w:rsid w:val="001E28B6"/>
    <w:rsid w:val="001E28FA"/>
    <w:rsid w:val="001E2971"/>
    <w:rsid w:val="001E29AB"/>
    <w:rsid w:val="001E2B5D"/>
    <w:rsid w:val="001E2C71"/>
    <w:rsid w:val="001E2E21"/>
    <w:rsid w:val="001E2EA0"/>
    <w:rsid w:val="001E2EF7"/>
    <w:rsid w:val="001E2FEE"/>
    <w:rsid w:val="001E3031"/>
    <w:rsid w:val="001E30F1"/>
    <w:rsid w:val="001E319C"/>
    <w:rsid w:val="001E31A0"/>
    <w:rsid w:val="001E3351"/>
    <w:rsid w:val="001E33B4"/>
    <w:rsid w:val="001E33F7"/>
    <w:rsid w:val="001E3474"/>
    <w:rsid w:val="001E34C3"/>
    <w:rsid w:val="001E35E2"/>
    <w:rsid w:val="001E36DF"/>
    <w:rsid w:val="001E3710"/>
    <w:rsid w:val="001E3793"/>
    <w:rsid w:val="001E379D"/>
    <w:rsid w:val="001E382A"/>
    <w:rsid w:val="001E396F"/>
    <w:rsid w:val="001E3A58"/>
    <w:rsid w:val="001E3C76"/>
    <w:rsid w:val="001E3C8B"/>
    <w:rsid w:val="001E3CB0"/>
    <w:rsid w:val="001E3DF3"/>
    <w:rsid w:val="001E3E15"/>
    <w:rsid w:val="001E3F17"/>
    <w:rsid w:val="001E3F4C"/>
    <w:rsid w:val="001E4053"/>
    <w:rsid w:val="001E40E2"/>
    <w:rsid w:val="001E4196"/>
    <w:rsid w:val="001E41BC"/>
    <w:rsid w:val="001E4275"/>
    <w:rsid w:val="001E433B"/>
    <w:rsid w:val="001E433D"/>
    <w:rsid w:val="001E435B"/>
    <w:rsid w:val="001E4472"/>
    <w:rsid w:val="001E455B"/>
    <w:rsid w:val="001E4661"/>
    <w:rsid w:val="001E47FC"/>
    <w:rsid w:val="001E481F"/>
    <w:rsid w:val="001E48CA"/>
    <w:rsid w:val="001E4A08"/>
    <w:rsid w:val="001E4AB0"/>
    <w:rsid w:val="001E4C38"/>
    <w:rsid w:val="001E4C47"/>
    <w:rsid w:val="001E4DDB"/>
    <w:rsid w:val="001E4F5D"/>
    <w:rsid w:val="001E4F9B"/>
    <w:rsid w:val="001E4FAC"/>
    <w:rsid w:val="001E4FBE"/>
    <w:rsid w:val="001E5041"/>
    <w:rsid w:val="001E5240"/>
    <w:rsid w:val="001E536A"/>
    <w:rsid w:val="001E53F0"/>
    <w:rsid w:val="001E547A"/>
    <w:rsid w:val="001E54D2"/>
    <w:rsid w:val="001E54F8"/>
    <w:rsid w:val="001E554F"/>
    <w:rsid w:val="001E5680"/>
    <w:rsid w:val="001E56D3"/>
    <w:rsid w:val="001E5ABE"/>
    <w:rsid w:val="001E5AE4"/>
    <w:rsid w:val="001E5AFA"/>
    <w:rsid w:val="001E5B5F"/>
    <w:rsid w:val="001E5D7F"/>
    <w:rsid w:val="001E5DC1"/>
    <w:rsid w:val="001E5DDC"/>
    <w:rsid w:val="001E5EC0"/>
    <w:rsid w:val="001E6081"/>
    <w:rsid w:val="001E615D"/>
    <w:rsid w:val="001E61F8"/>
    <w:rsid w:val="001E62E0"/>
    <w:rsid w:val="001E6336"/>
    <w:rsid w:val="001E6411"/>
    <w:rsid w:val="001E6456"/>
    <w:rsid w:val="001E6492"/>
    <w:rsid w:val="001E64A8"/>
    <w:rsid w:val="001E64C4"/>
    <w:rsid w:val="001E65B9"/>
    <w:rsid w:val="001E670B"/>
    <w:rsid w:val="001E67C0"/>
    <w:rsid w:val="001E685E"/>
    <w:rsid w:val="001E6B5C"/>
    <w:rsid w:val="001E6BB4"/>
    <w:rsid w:val="001E6BC5"/>
    <w:rsid w:val="001E6BE6"/>
    <w:rsid w:val="001E6C5E"/>
    <w:rsid w:val="001E6CB4"/>
    <w:rsid w:val="001E6D08"/>
    <w:rsid w:val="001E6D6A"/>
    <w:rsid w:val="001E6E7D"/>
    <w:rsid w:val="001E6FFC"/>
    <w:rsid w:val="001E712A"/>
    <w:rsid w:val="001E7164"/>
    <w:rsid w:val="001E7222"/>
    <w:rsid w:val="001E726E"/>
    <w:rsid w:val="001E72E5"/>
    <w:rsid w:val="001E73B8"/>
    <w:rsid w:val="001E743A"/>
    <w:rsid w:val="001E7736"/>
    <w:rsid w:val="001E7791"/>
    <w:rsid w:val="001E7864"/>
    <w:rsid w:val="001E797A"/>
    <w:rsid w:val="001E7983"/>
    <w:rsid w:val="001E7A1A"/>
    <w:rsid w:val="001E7A80"/>
    <w:rsid w:val="001E7E57"/>
    <w:rsid w:val="001E7EB5"/>
    <w:rsid w:val="001F010C"/>
    <w:rsid w:val="001F01B7"/>
    <w:rsid w:val="001F02CF"/>
    <w:rsid w:val="001F0324"/>
    <w:rsid w:val="001F0416"/>
    <w:rsid w:val="001F055C"/>
    <w:rsid w:val="001F05F7"/>
    <w:rsid w:val="001F0777"/>
    <w:rsid w:val="001F0889"/>
    <w:rsid w:val="001F0907"/>
    <w:rsid w:val="001F0910"/>
    <w:rsid w:val="001F0972"/>
    <w:rsid w:val="001F09DA"/>
    <w:rsid w:val="001F0D3B"/>
    <w:rsid w:val="001F0F7F"/>
    <w:rsid w:val="001F10A4"/>
    <w:rsid w:val="001F10F6"/>
    <w:rsid w:val="001F122B"/>
    <w:rsid w:val="001F12A5"/>
    <w:rsid w:val="001F1308"/>
    <w:rsid w:val="001F135C"/>
    <w:rsid w:val="001F1582"/>
    <w:rsid w:val="001F16AE"/>
    <w:rsid w:val="001F1798"/>
    <w:rsid w:val="001F18F2"/>
    <w:rsid w:val="001F191D"/>
    <w:rsid w:val="001F194F"/>
    <w:rsid w:val="001F1A2D"/>
    <w:rsid w:val="001F1AB3"/>
    <w:rsid w:val="001F1ADD"/>
    <w:rsid w:val="001F1BCE"/>
    <w:rsid w:val="001F1E4E"/>
    <w:rsid w:val="001F1EDC"/>
    <w:rsid w:val="001F20CD"/>
    <w:rsid w:val="001F20CE"/>
    <w:rsid w:val="001F2133"/>
    <w:rsid w:val="001F2162"/>
    <w:rsid w:val="001F21F4"/>
    <w:rsid w:val="001F2314"/>
    <w:rsid w:val="001F23C5"/>
    <w:rsid w:val="001F2484"/>
    <w:rsid w:val="001F2492"/>
    <w:rsid w:val="001F26BD"/>
    <w:rsid w:val="001F2788"/>
    <w:rsid w:val="001F2880"/>
    <w:rsid w:val="001F2A1B"/>
    <w:rsid w:val="001F2CF3"/>
    <w:rsid w:val="001F2D23"/>
    <w:rsid w:val="001F2DA9"/>
    <w:rsid w:val="001F2EBC"/>
    <w:rsid w:val="001F2F10"/>
    <w:rsid w:val="001F2F1F"/>
    <w:rsid w:val="001F2F60"/>
    <w:rsid w:val="001F3015"/>
    <w:rsid w:val="001F3115"/>
    <w:rsid w:val="001F317B"/>
    <w:rsid w:val="001F3207"/>
    <w:rsid w:val="001F3234"/>
    <w:rsid w:val="001F3265"/>
    <w:rsid w:val="001F33A6"/>
    <w:rsid w:val="001F3445"/>
    <w:rsid w:val="001F346F"/>
    <w:rsid w:val="001F34AF"/>
    <w:rsid w:val="001F34BE"/>
    <w:rsid w:val="001F357D"/>
    <w:rsid w:val="001F3584"/>
    <w:rsid w:val="001F35CF"/>
    <w:rsid w:val="001F3676"/>
    <w:rsid w:val="001F36BA"/>
    <w:rsid w:val="001F376D"/>
    <w:rsid w:val="001F3829"/>
    <w:rsid w:val="001F392C"/>
    <w:rsid w:val="001F39B0"/>
    <w:rsid w:val="001F3B64"/>
    <w:rsid w:val="001F3D29"/>
    <w:rsid w:val="001F3D3A"/>
    <w:rsid w:val="001F3DB5"/>
    <w:rsid w:val="001F3E4E"/>
    <w:rsid w:val="001F4100"/>
    <w:rsid w:val="001F4113"/>
    <w:rsid w:val="001F4187"/>
    <w:rsid w:val="001F41AD"/>
    <w:rsid w:val="001F4394"/>
    <w:rsid w:val="001F4442"/>
    <w:rsid w:val="001F44F6"/>
    <w:rsid w:val="001F450A"/>
    <w:rsid w:val="001F4546"/>
    <w:rsid w:val="001F4713"/>
    <w:rsid w:val="001F479F"/>
    <w:rsid w:val="001F47E1"/>
    <w:rsid w:val="001F488A"/>
    <w:rsid w:val="001F48E3"/>
    <w:rsid w:val="001F49A1"/>
    <w:rsid w:val="001F4AA3"/>
    <w:rsid w:val="001F4AC1"/>
    <w:rsid w:val="001F4BDE"/>
    <w:rsid w:val="001F4BF8"/>
    <w:rsid w:val="001F4C20"/>
    <w:rsid w:val="001F4CB4"/>
    <w:rsid w:val="001F4FE3"/>
    <w:rsid w:val="001F50C8"/>
    <w:rsid w:val="001F5312"/>
    <w:rsid w:val="001F5463"/>
    <w:rsid w:val="001F5468"/>
    <w:rsid w:val="001F54CF"/>
    <w:rsid w:val="001F5557"/>
    <w:rsid w:val="001F5657"/>
    <w:rsid w:val="001F567E"/>
    <w:rsid w:val="001F578C"/>
    <w:rsid w:val="001F5824"/>
    <w:rsid w:val="001F5941"/>
    <w:rsid w:val="001F59F8"/>
    <w:rsid w:val="001F5B57"/>
    <w:rsid w:val="001F5B6C"/>
    <w:rsid w:val="001F5D46"/>
    <w:rsid w:val="001F5E98"/>
    <w:rsid w:val="001F5E9C"/>
    <w:rsid w:val="001F5FE4"/>
    <w:rsid w:val="001F6192"/>
    <w:rsid w:val="001F6334"/>
    <w:rsid w:val="001F6551"/>
    <w:rsid w:val="001F6595"/>
    <w:rsid w:val="001F65DD"/>
    <w:rsid w:val="001F6618"/>
    <w:rsid w:val="001F66A1"/>
    <w:rsid w:val="001F680E"/>
    <w:rsid w:val="001F6874"/>
    <w:rsid w:val="001F687B"/>
    <w:rsid w:val="001F68DB"/>
    <w:rsid w:val="001F6980"/>
    <w:rsid w:val="001F6AF6"/>
    <w:rsid w:val="001F6B27"/>
    <w:rsid w:val="001F6C9C"/>
    <w:rsid w:val="001F6EF8"/>
    <w:rsid w:val="001F70E2"/>
    <w:rsid w:val="001F714F"/>
    <w:rsid w:val="001F716E"/>
    <w:rsid w:val="001F7240"/>
    <w:rsid w:val="001F72EB"/>
    <w:rsid w:val="001F730A"/>
    <w:rsid w:val="001F736E"/>
    <w:rsid w:val="001F7446"/>
    <w:rsid w:val="001F75E3"/>
    <w:rsid w:val="001F76C3"/>
    <w:rsid w:val="001F7AA7"/>
    <w:rsid w:val="001F7B50"/>
    <w:rsid w:val="001F7B83"/>
    <w:rsid w:val="001F7BB9"/>
    <w:rsid w:val="001F7D62"/>
    <w:rsid w:val="001F7D81"/>
    <w:rsid w:val="001F7D95"/>
    <w:rsid w:val="001F7DF1"/>
    <w:rsid w:val="001F7E87"/>
    <w:rsid w:val="001F7FC7"/>
    <w:rsid w:val="001F7FDE"/>
    <w:rsid w:val="00200005"/>
    <w:rsid w:val="00200012"/>
    <w:rsid w:val="0020013B"/>
    <w:rsid w:val="00200162"/>
    <w:rsid w:val="00200393"/>
    <w:rsid w:val="00200447"/>
    <w:rsid w:val="00200490"/>
    <w:rsid w:val="00200612"/>
    <w:rsid w:val="002006CD"/>
    <w:rsid w:val="00200AA6"/>
    <w:rsid w:val="00200BCC"/>
    <w:rsid w:val="00200CBB"/>
    <w:rsid w:val="00200CCF"/>
    <w:rsid w:val="00200E36"/>
    <w:rsid w:val="00200F19"/>
    <w:rsid w:val="00200F91"/>
    <w:rsid w:val="00200FD2"/>
    <w:rsid w:val="0020100C"/>
    <w:rsid w:val="002011FB"/>
    <w:rsid w:val="00201203"/>
    <w:rsid w:val="00201292"/>
    <w:rsid w:val="0020140C"/>
    <w:rsid w:val="00201440"/>
    <w:rsid w:val="00201463"/>
    <w:rsid w:val="00201481"/>
    <w:rsid w:val="002015A2"/>
    <w:rsid w:val="002015FD"/>
    <w:rsid w:val="0020185D"/>
    <w:rsid w:val="002018DE"/>
    <w:rsid w:val="00201929"/>
    <w:rsid w:val="0020194C"/>
    <w:rsid w:val="00201A45"/>
    <w:rsid w:val="00201C3B"/>
    <w:rsid w:val="00201D67"/>
    <w:rsid w:val="00201E40"/>
    <w:rsid w:val="00201EA8"/>
    <w:rsid w:val="00201F01"/>
    <w:rsid w:val="00201F21"/>
    <w:rsid w:val="00202060"/>
    <w:rsid w:val="0020207E"/>
    <w:rsid w:val="00202195"/>
    <w:rsid w:val="002022BF"/>
    <w:rsid w:val="002022E3"/>
    <w:rsid w:val="00202585"/>
    <w:rsid w:val="00202689"/>
    <w:rsid w:val="002029AA"/>
    <w:rsid w:val="00202A33"/>
    <w:rsid w:val="00202A38"/>
    <w:rsid w:val="00202A56"/>
    <w:rsid w:val="00202A60"/>
    <w:rsid w:val="00202B06"/>
    <w:rsid w:val="00202C91"/>
    <w:rsid w:val="00202D1D"/>
    <w:rsid w:val="00202E57"/>
    <w:rsid w:val="00202F20"/>
    <w:rsid w:val="002032FA"/>
    <w:rsid w:val="00203371"/>
    <w:rsid w:val="00203391"/>
    <w:rsid w:val="00203412"/>
    <w:rsid w:val="00203527"/>
    <w:rsid w:val="00203545"/>
    <w:rsid w:val="002035D6"/>
    <w:rsid w:val="00203637"/>
    <w:rsid w:val="002036C4"/>
    <w:rsid w:val="00203719"/>
    <w:rsid w:val="00203750"/>
    <w:rsid w:val="0020375D"/>
    <w:rsid w:val="00203901"/>
    <w:rsid w:val="002039F8"/>
    <w:rsid w:val="00203A19"/>
    <w:rsid w:val="00203BF1"/>
    <w:rsid w:val="00203C3B"/>
    <w:rsid w:val="00203CA2"/>
    <w:rsid w:val="00203CAB"/>
    <w:rsid w:val="00203E7D"/>
    <w:rsid w:val="00203FDA"/>
    <w:rsid w:val="0020404F"/>
    <w:rsid w:val="002040C2"/>
    <w:rsid w:val="002040F6"/>
    <w:rsid w:val="00204269"/>
    <w:rsid w:val="00204319"/>
    <w:rsid w:val="0020432B"/>
    <w:rsid w:val="0020438B"/>
    <w:rsid w:val="002043FB"/>
    <w:rsid w:val="00204450"/>
    <w:rsid w:val="00204649"/>
    <w:rsid w:val="002046E0"/>
    <w:rsid w:val="002046FC"/>
    <w:rsid w:val="00204738"/>
    <w:rsid w:val="0020482C"/>
    <w:rsid w:val="002049A3"/>
    <w:rsid w:val="002049CE"/>
    <w:rsid w:val="00204AF6"/>
    <w:rsid w:val="00204AF7"/>
    <w:rsid w:val="00204B6B"/>
    <w:rsid w:val="00204C8E"/>
    <w:rsid w:val="00204D34"/>
    <w:rsid w:val="00204E0E"/>
    <w:rsid w:val="00204E3C"/>
    <w:rsid w:val="00204E56"/>
    <w:rsid w:val="00204E9E"/>
    <w:rsid w:val="002051EC"/>
    <w:rsid w:val="00205241"/>
    <w:rsid w:val="00205248"/>
    <w:rsid w:val="002052D0"/>
    <w:rsid w:val="00205340"/>
    <w:rsid w:val="00205461"/>
    <w:rsid w:val="00205465"/>
    <w:rsid w:val="0020561A"/>
    <w:rsid w:val="002057F3"/>
    <w:rsid w:val="002058A8"/>
    <w:rsid w:val="002058F7"/>
    <w:rsid w:val="00205971"/>
    <w:rsid w:val="00205D11"/>
    <w:rsid w:val="00205D12"/>
    <w:rsid w:val="00205E46"/>
    <w:rsid w:val="00205F55"/>
    <w:rsid w:val="00205F76"/>
    <w:rsid w:val="00206174"/>
    <w:rsid w:val="00206225"/>
    <w:rsid w:val="00206240"/>
    <w:rsid w:val="002063C8"/>
    <w:rsid w:val="002063F8"/>
    <w:rsid w:val="00206446"/>
    <w:rsid w:val="0020658E"/>
    <w:rsid w:val="002065AA"/>
    <w:rsid w:val="00206737"/>
    <w:rsid w:val="002067F5"/>
    <w:rsid w:val="0020683B"/>
    <w:rsid w:val="002068BA"/>
    <w:rsid w:val="00206957"/>
    <w:rsid w:val="00206B57"/>
    <w:rsid w:val="00206BEF"/>
    <w:rsid w:val="00206DD3"/>
    <w:rsid w:val="00206DFB"/>
    <w:rsid w:val="00206FBB"/>
    <w:rsid w:val="0020707E"/>
    <w:rsid w:val="0020709A"/>
    <w:rsid w:val="002070A2"/>
    <w:rsid w:val="002070C3"/>
    <w:rsid w:val="002070DF"/>
    <w:rsid w:val="00207138"/>
    <w:rsid w:val="00207155"/>
    <w:rsid w:val="00207340"/>
    <w:rsid w:val="0020757D"/>
    <w:rsid w:val="002075E7"/>
    <w:rsid w:val="00207696"/>
    <w:rsid w:val="002076D1"/>
    <w:rsid w:val="00207743"/>
    <w:rsid w:val="00207787"/>
    <w:rsid w:val="002077A4"/>
    <w:rsid w:val="002078C7"/>
    <w:rsid w:val="002078CC"/>
    <w:rsid w:val="002079A7"/>
    <w:rsid w:val="00207AA0"/>
    <w:rsid w:val="00207B3B"/>
    <w:rsid w:val="00207B7A"/>
    <w:rsid w:val="00207EC6"/>
    <w:rsid w:val="00207F88"/>
    <w:rsid w:val="0021004D"/>
    <w:rsid w:val="002102C7"/>
    <w:rsid w:val="00210345"/>
    <w:rsid w:val="00210350"/>
    <w:rsid w:val="002103DB"/>
    <w:rsid w:val="00210515"/>
    <w:rsid w:val="002105FD"/>
    <w:rsid w:val="002106A6"/>
    <w:rsid w:val="00210B14"/>
    <w:rsid w:val="00210B5A"/>
    <w:rsid w:val="00210C3D"/>
    <w:rsid w:val="00210D23"/>
    <w:rsid w:val="00210D49"/>
    <w:rsid w:val="00210D4E"/>
    <w:rsid w:val="00210D74"/>
    <w:rsid w:val="00210E02"/>
    <w:rsid w:val="00210E36"/>
    <w:rsid w:val="00210E84"/>
    <w:rsid w:val="00210EBA"/>
    <w:rsid w:val="00210F2E"/>
    <w:rsid w:val="00210FC3"/>
    <w:rsid w:val="002111CC"/>
    <w:rsid w:val="002111F2"/>
    <w:rsid w:val="00211730"/>
    <w:rsid w:val="00211858"/>
    <w:rsid w:val="002118B5"/>
    <w:rsid w:val="00211A8C"/>
    <w:rsid w:val="00211A98"/>
    <w:rsid w:val="00211ABD"/>
    <w:rsid w:val="00211DD7"/>
    <w:rsid w:val="00211F86"/>
    <w:rsid w:val="0021211E"/>
    <w:rsid w:val="002121F2"/>
    <w:rsid w:val="0021220A"/>
    <w:rsid w:val="002122AF"/>
    <w:rsid w:val="0021234C"/>
    <w:rsid w:val="002123C7"/>
    <w:rsid w:val="002123E3"/>
    <w:rsid w:val="002124B9"/>
    <w:rsid w:val="00212633"/>
    <w:rsid w:val="00212748"/>
    <w:rsid w:val="00212844"/>
    <w:rsid w:val="0021288F"/>
    <w:rsid w:val="00212940"/>
    <w:rsid w:val="002129B0"/>
    <w:rsid w:val="002129E2"/>
    <w:rsid w:val="002129E8"/>
    <w:rsid w:val="00212BAD"/>
    <w:rsid w:val="00212BAE"/>
    <w:rsid w:val="00212C16"/>
    <w:rsid w:val="00212EAB"/>
    <w:rsid w:val="00212F2E"/>
    <w:rsid w:val="00212F33"/>
    <w:rsid w:val="00212F5B"/>
    <w:rsid w:val="00213249"/>
    <w:rsid w:val="00213330"/>
    <w:rsid w:val="002133D5"/>
    <w:rsid w:val="0021341F"/>
    <w:rsid w:val="002134D4"/>
    <w:rsid w:val="0021376F"/>
    <w:rsid w:val="00213782"/>
    <w:rsid w:val="0021379C"/>
    <w:rsid w:val="002138D3"/>
    <w:rsid w:val="002139EC"/>
    <w:rsid w:val="00213ED8"/>
    <w:rsid w:val="00213F69"/>
    <w:rsid w:val="00214087"/>
    <w:rsid w:val="00214376"/>
    <w:rsid w:val="002143B1"/>
    <w:rsid w:val="0021443B"/>
    <w:rsid w:val="00214481"/>
    <w:rsid w:val="0021452F"/>
    <w:rsid w:val="0021465D"/>
    <w:rsid w:val="0021479E"/>
    <w:rsid w:val="002148FE"/>
    <w:rsid w:val="00214906"/>
    <w:rsid w:val="00214912"/>
    <w:rsid w:val="00214989"/>
    <w:rsid w:val="00214AED"/>
    <w:rsid w:val="00214F2B"/>
    <w:rsid w:val="00215006"/>
    <w:rsid w:val="002150C3"/>
    <w:rsid w:val="00215245"/>
    <w:rsid w:val="002152A3"/>
    <w:rsid w:val="002152BE"/>
    <w:rsid w:val="002152F6"/>
    <w:rsid w:val="00215324"/>
    <w:rsid w:val="0021537B"/>
    <w:rsid w:val="002153B9"/>
    <w:rsid w:val="002153BB"/>
    <w:rsid w:val="00215499"/>
    <w:rsid w:val="0021549E"/>
    <w:rsid w:val="0021555C"/>
    <w:rsid w:val="002157C0"/>
    <w:rsid w:val="002157F6"/>
    <w:rsid w:val="00215844"/>
    <w:rsid w:val="002158A2"/>
    <w:rsid w:val="002158C2"/>
    <w:rsid w:val="00215AAB"/>
    <w:rsid w:val="00215BE1"/>
    <w:rsid w:val="00215D08"/>
    <w:rsid w:val="00215D2A"/>
    <w:rsid w:val="00215D33"/>
    <w:rsid w:val="00215DA1"/>
    <w:rsid w:val="00215FC5"/>
    <w:rsid w:val="0021609F"/>
    <w:rsid w:val="00216233"/>
    <w:rsid w:val="00216298"/>
    <w:rsid w:val="002162C9"/>
    <w:rsid w:val="00216354"/>
    <w:rsid w:val="002163B3"/>
    <w:rsid w:val="002165EC"/>
    <w:rsid w:val="0021669C"/>
    <w:rsid w:val="002166D7"/>
    <w:rsid w:val="00216702"/>
    <w:rsid w:val="0021677F"/>
    <w:rsid w:val="00216838"/>
    <w:rsid w:val="00216882"/>
    <w:rsid w:val="00216894"/>
    <w:rsid w:val="002168F8"/>
    <w:rsid w:val="002169FE"/>
    <w:rsid w:val="00216AA9"/>
    <w:rsid w:val="00216AC2"/>
    <w:rsid w:val="00216B77"/>
    <w:rsid w:val="00216BC9"/>
    <w:rsid w:val="00216BFD"/>
    <w:rsid w:val="00216D3A"/>
    <w:rsid w:val="00216E4B"/>
    <w:rsid w:val="00216F53"/>
    <w:rsid w:val="00217136"/>
    <w:rsid w:val="0021715A"/>
    <w:rsid w:val="002171BB"/>
    <w:rsid w:val="002171C4"/>
    <w:rsid w:val="0021720D"/>
    <w:rsid w:val="00217268"/>
    <w:rsid w:val="002172A6"/>
    <w:rsid w:val="002172AF"/>
    <w:rsid w:val="00217499"/>
    <w:rsid w:val="002175EC"/>
    <w:rsid w:val="002176E3"/>
    <w:rsid w:val="002178A0"/>
    <w:rsid w:val="002178DB"/>
    <w:rsid w:val="0021792A"/>
    <w:rsid w:val="00217A55"/>
    <w:rsid w:val="00217C12"/>
    <w:rsid w:val="00217CEB"/>
    <w:rsid w:val="00217D36"/>
    <w:rsid w:val="00217E29"/>
    <w:rsid w:val="00217E36"/>
    <w:rsid w:val="00217EA9"/>
    <w:rsid w:val="00217FFB"/>
    <w:rsid w:val="002200C4"/>
    <w:rsid w:val="002200F3"/>
    <w:rsid w:val="0022015D"/>
    <w:rsid w:val="00220166"/>
    <w:rsid w:val="00220197"/>
    <w:rsid w:val="002201D2"/>
    <w:rsid w:val="0022028F"/>
    <w:rsid w:val="00220400"/>
    <w:rsid w:val="0022041B"/>
    <w:rsid w:val="00220476"/>
    <w:rsid w:val="002205CF"/>
    <w:rsid w:val="00220750"/>
    <w:rsid w:val="00220823"/>
    <w:rsid w:val="00220833"/>
    <w:rsid w:val="0022091A"/>
    <w:rsid w:val="00220A89"/>
    <w:rsid w:val="00220D92"/>
    <w:rsid w:val="00220D9C"/>
    <w:rsid w:val="00220F1D"/>
    <w:rsid w:val="00220F7E"/>
    <w:rsid w:val="00220F90"/>
    <w:rsid w:val="00220FBE"/>
    <w:rsid w:val="00221092"/>
    <w:rsid w:val="002210C1"/>
    <w:rsid w:val="00221146"/>
    <w:rsid w:val="00221193"/>
    <w:rsid w:val="0022119B"/>
    <w:rsid w:val="00221227"/>
    <w:rsid w:val="002212D7"/>
    <w:rsid w:val="0022136E"/>
    <w:rsid w:val="002214F4"/>
    <w:rsid w:val="0022157B"/>
    <w:rsid w:val="002215EF"/>
    <w:rsid w:val="00221613"/>
    <w:rsid w:val="00221636"/>
    <w:rsid w:val="002216DF"/>
    <w:rsid w:val="00221A51"/>
    <w:rsid w:val="00221ADA"/>
    <w:rsid w:val="00221C51"/>
    <w:rsid w:val="00221FD2"/>
    <w:rsid w:val="00221FEC"/>
    <w:rsid w:val="002220C9"/>
    <w:rsid w:val="002220D0"/>
    <w:rsid w:val="0022214C"/>
    <w:rsid w:val="0022227F"/>
    <w:rsid w:val="002223AE"/>
    <w:rsid w:val="002224C9"/>
    <w:rsid w:val="0022250B"/>
    <w:rsid w:val="00222654"/>
    <w:rsid w:val="00222673"/>
    <w:rsid w:val="002226BC"/>
    <w:rsid w:val="00222884"/>
    <w:rsid w:val="002228E2"/>
    <w:rsid w:val="00222910"/>
    <w:rsid w:val="00222B13"/>
    <w:rsid w:val="00222BBE"/>
    <w:rsid w:val="00222CB7"/>
    <w:rsid w:val="00222F5B"/>
    <w:rsid w:val="00222F66"/>
    <w:rsid w:val="0022301C"/>
    <w:rsid w:val="002230B0"/>
    <w:rsid w:val="002232A9"/>
    <w:rsid w:val="002235A4"/>
    <w:rsid w:val="00223720"/>
    <w:rsid w:val="0022377C"/>
    <w:rsid w:val="002238A1"/>
    <w:rsid w:val="00223913"/>
    <w:rsid w:val="00223934"/>
    <w:rsid w:val="00223962"/>
    <w:rsid w:val="002239E5"/>
    <w:rsid w:val="00223A2A"/>
    <w:rsid w:val="00223A4C"/>
    <w:rsid w:val="00223A50"/>
    <w:rsid w:val="00223B61"/>
    <w:rsid w:val="00223B93"/>
    <w:rsid w:val="00223B9D"/>
    <w:rsid w:val="00223C8A"/>
    <w:rsid w:val="00223D57"/>
    <w:rsid w:val="00223D7B"/>
    <w:rsid w:val="00223DDA"/>
    <w:rsid w:val="00223DDD"/>
    <w:rsid w:val="00223E10"/>
    <w:rsid w:val="00223E7B"/>
    <w:rsid w:val="00223E94"/>
    <w:rsid w:val="00223F7D"/>
    <w:rsid w:val="00223FF3"/>
    <w:rsid w:val="0022409C"/>
    <w:rsid w:val="00224181"/>
    <w:rsid w:val="002241DF"/>
    <w:rsid w:val="0022422A"/>
    <w:rsid w:val="00224343"/>
    <w:rsid w:val="0022437F"/>
    <w:rsid w:val="002243C0"/>
    <w:rsid w:val="00224459"/>
    <w:rsid w:val="002244B2"/>
    <w:rsid w:val="00224543"/>
    <w:rsid w:val="00224849"/>
    <w:rsid w:val="002249DE"/>
    <w:rsid w:val="002249E5"/>
    <w:rsid w:val="00224A0E"/>
    <w:rsid w:val="00224AE8"/>
    <w:rsid w:val="00224B58"/>
    <w:rsid w:val="00224B74"/>
    <w:rsid w:val="00224BEC"/>
    <w:rsid w:val="00224C16"/>
    <w:rsid w:val="00224D14"/>
    <w:rsid w:val="00224D7A"/>
    <w:rsid w:val="00224EB7"/>
    <w:rsid w:val="00224FC8"/>
    <w:rsid w:val="00224FF7"/>
    <w:rsid w:val="002250AD"/>
    <w:rsid w:val="002251E1"/>
    <w:rsid w:val="00225346"/>
    <w:rsid w:val="00225363"/>
    <w:rsid w:val="0022538C"/>
    <w:rsid w:val="0022544B"/>
    <w:rsid w:val="00225482"/>
    <w:rsid w:val="0022548E"/>
    <w:rsid w:val="002254D0"/>
    <w:rsid w:val="0022561B"/>
    <w:rsid w:val="00225690"/>
    <w:rsid w:val="00225710"/>
    <w:rsid w:val="0022594C"/>
    <w:rsid w:val="00225976"/>
    <w:rsid w:val="00225BDA"/>
    <w:rsid w:val="00225C95"/>
    <w:rsid w:val="00225F3E"/>
    <w:rsid w:val="00225FFE"/>
    <w:rsid w:val="0022610C"/>
    <w:rsid w:val="00226178"/>
    <w:rsid w:val="0022621E"/>
    <w:rsid w:val="002262AC"/>
    <w:rsid w:val="0022632F"/>
    <w:rsid w:val="002263AF"/>
    <w:rsid w:val="00226634"/>
    <w:rsid w:val="002266CC"/>
    <w:rsid w:val="002266D3"/>
    <w:rsid w:val="00226705"/>
    <w:rsid w:val="002267D4"/>
    <w:rsid w:val="0022687D"/>
    <w:rsid w:val="002268DC"/>
    <w:rsid w:val="00226A30"/>
    <w:rsid w:val="00226B60"/>
    <w:rsid w:val="00226C29"/>
    <w:rsid w:val="00226C2D"/>
    <w:rsid w:val="00226C2F"/>
    <w:rsid w:val="00226E04"/>
    <w:rsid w:val="00226E39"/>
    <w:rsid w:val="00226FCF"/>
    <w:rsid w:val="00227028"/>
    <w:rsid w:val="00227219"/>
    <w:rsid w:val="002272F0"/>
    <w:rsid w:val="00227341"/>
    <w:rsid w:val="00227387"/>
    <w:rsid w:val="0022748E"/>
    <w:rsid w:val="002274C7"/>
    <w:rsid w:val="00227581"/>
    <w:rsid w:val="0022758D"/>
    <w:rsid w:val="002275AA"/>
    <w:rsid w:val="0022760D"/>
    <w:rsid w:val="00227653"/>
    <w:rsid w:val="002276AE"/>
    <w:rsid w:val="00227701"/>
    <w:rsid w:val="00227716"/>
    <w:rsid w:val="00227843"/>
    <w:rsid w:val="00227905"/>
    <w:rsid w:val="00227A0F"/>
    <w:rsid w:val="00227A63"/>
    <w:rsid w:val="00227ACE"/>
    <w:rsid w:val="00227B72"/>
    <w:rsid w:val="00227CB4"/>
    <w:rsid w:val="00227E75"/>
    <w:rsid w:val="00227EFE"/>
    <w:rsid w:val="00227F30"/>
    <w:rsid w:val="00230000"/>
    <w:rsid w:val="002300D6"/>
    <w:rsid w:val="0023012D"/>
    <w:rsid w:val="00230155"/>
    <w:rsid w:val="002301A2"/>
    <w:rsid w:val="0023020D"/>
    <w:rsid w:val="00230390"/>
    <w:rsid w:val="002303A8"/>
    <w:rsid w:val="00230513"/>
    <w:rsid w:val="00230573"/>
    <w:rsid w:val="002305A1"/>
    <w:rsid w:val="002306C8"/>
    <w:rsid w:val="002306F3"/>
    <w:rsid w:val="00230906"/>
    <w:rsid w:val="00230A77"/>
    <w:rsid w:val="00230D4D"/>
    <w:rsid w:val="00230DCD"/>
    <w:rsid w:val="00230F4B"/>
    <w:rsid w:val="0023103D"/>
    <w:rsid w:val="00231089"/>
    <w:rsid w:val="00231110"/>
    <w:rsid w:val="0023115B"/>
    <w:rsid w:val="00231161"/>
    <w:rsid w:val="002312F1"/>
    <w:rsid w:val="0023138A"/>
    <w:rsid w:val="002313BD"/>
    <w:rsid w:val="00231492"/>
    <w:rsid w:val="00231627"/>
    <w:rsid w:val="0023163F"/>
    <w:rsid w:val="002317E4"/>
    <w:rsid w:val="002317E9"/>
    <w:rsid w:val="002318DC"/>
    <w:rsid w:val="00231A14"/>
    <w:rsid w:val="00231B50"/>
    <w:rsid w:val="00231D4F"/>
    <w:rsid w:val="00231DDB"/>
    <w:rsid w:val="00231EDB"/>
    <w:rsid w:val="00231F41"/>
    <w:rsid w:val="00232045"/>
    <w:rsid w:val="002320B7"/>
    <w:rsid w:val="0023214A"/>
    <w:rsid w:val="00232168"/>
    <w:rsid w:val="002321A9"/>
    <w:rsid w:val="002322B2"/>
    <w:rsid w:val="00232307"/>
    <w:rsid w:val="00232367"/>
    <w:rsid w:val="00232399"/>
    <w:rsid w:val="002323EF"/>
    <w:rsid w:val="002325B8"/>
    <w:rsid w:val="002326A3"/>
    <w:rsid w:val="00232768"/>
    <w:rsid w:val="00232852"/>
    <w:rsid w:val="00232885"/>
    <w:rsid w:val="00232914"/>
    <w:rsid w:val="00232961"/>
    <w:rsid w:val="00232A08"/>
    <w:rsid w:val="00232A34"/>
    <w:rsid w:val="00232AB7"/>
    <w:rsid w:val="00232AE0"/>
    <w:rsid w:val="00232B56"/>
    <w:rsid w:val="00232C94"/>
    <w:rsid w:val="00232D99"/>
    <w:rsid w:val="00232DED"/>
    <w:rsid w:val="00232EA0"/>
    <w:rsid w:val="00232EF9"/>
    <w:rsid w:val="00232F3F"/>
    <w:rsid w:val="00232F5F"/>
    <w:rsid w:val="00232FD0"/>
    <w:rsid w:val="0023307D"/>
    <w:rsid w:val="0023319B"/>
    <w:rsid w:val="0023322B"/>
    <w:rsid w:val="00233313"/>
    <w:rsid w:val="0023338D"/>
    <w:rsid w:val="00233400"/>
    <w:rsid w:val="00233423"/>
    <w:rsid w:val="0023363C"/>
    <w:rsid w:val="00233744"/>
    <w:rsid w:val="0023380D"/>
    <w:rsid w:val="002338D4"/>
    <w:rsid w:val="002338FD"/>
    <w:rsid w:val="00233B32"/>
    <w:rsid w:val="00233BD9"/>
    <w:rsid w:val="00233C9E"/>
    <w:rsid w:val="00233D91"/>
    <w:rsid w:val="00233DC7"/>
    <w:rsid w:val="00233E4C"/>
    <w:rsid w:val="00233ED7"/>
    <w:rsid w:val="0023404F"/>
    <w:rsid w:val="00234074"/>
    <w:rsid w:val="002340BA"/>
    <w:rsid w:val="002340F4"/>
    <w:rsid w:val="00234130"/>
    <w:rsid w:val="002342A8"/>
    <w:rsid w:val="00234576"/>
    <w:rsid w:val="002345EF"/>
    <w:rsid w:val="002345FB"/>
    <w:rsid w:val="002346F7"/>
    <w:rsid w:val="00234778"/>
    <w:rsid w:val="002347D5"/>
    <w:rsid w:val="002348C2"/>
    <w:rsid w:val="0023490D"/>
    <w:rsid w:val="00234940"/>
    <w:rsid w:val="0023497B"/>
    <w:rsid w:val="00234AC0"/>
    <w:rsid w:val="00234B20"/>
    <w:rsid w:val="00234C92"/>
    <w:rsid w:val="00234E3D"/>
    <w:rsid w:val="00234EC7"/>
    <w:rsid w:val="00235037"/>
    <w:rsid w:val="00235060"/>
    <w:rsid w:val="00235083"/>
    <w:rsid w:val="002350AB"/>
    <w:rsid w:val="0023523C"/>
    <w:rsid w:val="00235251"/>
    <w:rsid w:val="0023526B"/>
    <w:rsid w:val="00235335"/>
    <w:rsid w:val="0023546D"/>
    <w:rsid w:val="002355AB"/>
    <w:rsid w:val="00235737"/>
    <w:rsid w:val="002357C2"/>
    <w:rsid w:val="00235892"/>
    <w:rsid w:val="002358DC"/>
    <w:rsid w:val="0023592E"/>
    <w:rsid w:val="00235980"/>
    <w:rsid w:val="002359E9"/>
    <w:rsid w:val="00235A39"/>
    <w:rsid w:val="00235A5B"/>
    <w:rsid w:val="00235C53"/>
    <w:rsid w:val="00235D7C"/>
    <w:rsid w:val="00235F2D"/>
    <w:rsid w:val="00236182"/>
    <w:rsid w:val="002361D9"/>
    <w:rsid w:val="0023639C"/>
    <w:rsid w:val="0023647B"/>
    <w:rsid w:val="002364E6"/>
    <w:rsid w:val="002365A2"/>
    <w:rsid w:val="002365C8"/>
    <w:rsid w:val="00236656"/>
    <w:rsid w:val="00236783"/>
    <w:rsid w:val="00236980"/>
    <w:rsid w:val="00236994"/>
    <w:rsid w:val="00236A25"/>
    <w:rsid w:val="00236A99"/>
    <w:rsid w:val="00236BA4"/>
    <w:rsid w:val="00236BB6"/>
    <w:rsid w:val="00236BE3"/>
    <w:rsid w:val="00236CB3"/>
    <w:rsid w:val="00236D00"/>
    <w:rsid w:val="00236D13"/>
    <w:rsid w:val="00236F9B"/>
    <w:rsid w:val="00236FB4"/>
    <w:rsid w:val="0023723E"/>
    <w:rsid w:val="0023723F"/>
    <w:rsid w:val="002373E5"/>
    <w:rsid w:val="002373FB"/>
    <w:rsid w:val="00237514"/>
    <w:rsid w:val="002375FC"/>
    <w:rsid w:val="0023764F"/>
    <w:rsid w:val="00237681"/>
    <w:rsid w:val="0023791D"/>
    <w:rsid w:val="00237998"/>
    <w:rsid w:val="00237A11"/>
    <w:rsid w:val="00237A5A"/>
    <w:rsid w:val="00237AA7"/>
    <w:rsid w:val="00237BBB"/>
    <w:rsid w:val="00237D56"/>
    <w:rsid w:val="00237E00"/>
    <w:rsid w:val="00237EC7"/>
    <w:rsid w:val="002401EA"/>
    <w:rsid w:val="00240221"/>
    <w:rsid w:val="002402BF"/>
    <w:rsid w:val="0024048B"/>
    <w:rsid w:val="002404B1"/>
    <w:rsid w:val="00240554"/>
    <w:rsid w:val="002405A1"/>
    <w:rsid w:val="002405C3"/>
    <w:rsid w:val="002408CE"/>
    <w:rsid w:val="00240986"/>
    <w:rsid w:val="00240A0C"/>
    <w:rsid w:val="00240A49"/>
    <w:rsid w:val="00240D5F"/>
    <w:rsid w:val="00240F2E"/>
    <w:rsid w:val="0024110D"/>
    <w:rsid w:val="00241311"/>
    <w:rsid w:val="00241379"/>
    <w:rsid w:val="00241433"/>
    <w:rsid w:val="0024154B"/>
    <w:rsid w:val="00241624"/>
    <w:rsid w:val="002416AC"/>
    <w:rsid w:val="0024171C"/>
    <w:rsid w:val="0024176C"/>
    <w:rsid w:val="002418BC"/>
    <w:rsid w:val="002418DF"/>
    <w:rsid w:val="00241926"/>
    <w:rsid w:val="00241A21"/>
    <w:rsid w:val="00241A4E"/>
    <w:rsid w:val="00241B97"/>
    <w:rsid w:val="00241DF8"/>
    <w:rsid w:val="00241E4A"/>
    <w:rsid w:val="00242087"/>
    <w:rsid w:val="0024212E"/>
    <w:rsid w:val="00242130"/>
    <w:rsid w:val="00242195"/>
    <w:rsid w:val="00242293"/>
    <w:rsid w:val="002422E9"/>
    <w:rsid w:val="00242303"/>
    <w:rsid w:val="002423D1"/>
    <w:rsid w:val="0024244A"/>
    <w:rsid w:val="0024246B"/>
    <w:rsid w:val="0024247E"/>
    <w:rsid w:val="002424C3"/>
    <w:rsid w:val="00242623"/>
    <w:rsid w:val="00242680"/>
    <w:rsid w:val="00242710"/>
    <w:rsid w:val="002427BE"/>
    <w:rsid w:val="0024284D"/>
    <w:rsid w:val="00242B7F"/>
    <w:rsid w:val="00242B8C"/>
    <w:rsid w:val="00242BE2"/>
    <w:rsid w:val="00242C3F"/>
    <w:rsid w:val="00242C86"/>
    <w:rsid w:val="00242D1D"/>
    <w:rsid w:val="00242FB7"/>
    <w:rsid w:val="00242FFE"/>
    <w:rsid w:val="00243021"/>
    <w:rsid w:val="00243039"/>
    <w:rsid w:val="00243255"/>
    <w:rsid w:val="002432B1"/>
    <w:rsid w:val="00243309"/>
    <w:rsid w:val="00243665"/>
    <w:rsid w:val="002436F2"/>
    <w:rsid w:val="00243732"/>
    <w:rsid w:val="0024375E"/>
    <w:rsid w:val="00243866"/>
    <w:rsid w:val="002438C3"/>
    <w:rsid w:val="002438F4"/>
    <w:rsid w:val="00243902"/>
    <w:rsid w:val="00243915"/>
    <w:rsid w:val="002439DC"/>
    <w:rsid w:val="002439E6"/>
    <w:rsid w:val="00243BAB"/>
    <w:rsid w:val="00243C7B"/>
    <w:rsid w:val="00243E19"/>
    <w:rsid w:val="00244085"/>
    <w:rsid w:val="002440F0"/>
    <w:rsid w:val="002444AC"/>
    <w:rsid w:val="00244534"/>
    <w:rsid w:val="002445CF"/>
    <w:rsid w:val="00244690"/>
    <w:rsid w:val="002446B2"/>
    <w:rsid w:val="0024475E"/>
    <w:rsid w:val="002449C9"/>
    <w:rsid w:val="00244B2A"/>
    <w:rsid w:val="00244CDB"/>
    <w:rsid w:val="00244D35"/>
    <w:rsid w:val="00244D5B"/>
    <w:rsid w:val="00244D6C"/>
    <w:rsid w:val="00244D97"/>
    <w:rsid w:val="00244E75"/>
    <w:rsid w:val="00244E82"/>
    <w:rsid w:val="00244EA5"/>
    <w:rsid w:val="00244F1B"/>
    <w:rsid w:val="00244F42"/>
    <w:rsid w:val="00244F5B"/>
    <w:rsid w:val="002451EF"/>
    <w:rsid w:val="002452B8"/>
    <w:rsid w:val="0024539A"/>
    <w:rsid w:val="00245419"/>
    <w:rsid w:val="00245486"/>
    <w:rsid w:val="002455F8"/>
    <w:rsid w:val="0024572E"/>
    <w:rsid w:val="002457CE"/>
    <w:rsid w:val="002458CA"/>
    <w:rsid w:val="002458F6"/>
    <w:rsid w:val="00245969"/>
    <w:rsid w:val="00245B3F"/>
    <w:rsid w:val="00245C7B"/>
    <w:rsid w:val="00245CBC"/>
    <w:rsid w:val="00245CBE"/>
    <w:rsid w:val="00245CD6"/>
    <w:rsid w:val="00245DED"/>
    <w:rsid w:val="00245F75"/>
    <w:rsid w:val="00245FE6"/>
    <w:rsid w:val="00245FF1"/>
    <w:rsid w:val="00246180"/>
    <w:rsid w:val="00246385"/>
    <w:rsid w:val="0024646B"/>
    <w:rsid w:val="0024650B"/>
    <w:rsid w:val="002465AE"/>
    <w:rsid w:val="002465C0"/>
    <w:rsid w:val="002465EB"/>
    <w:rsid w:val="00246656"/>
    <w:rsid w:val="00246778"/>
    <w:rsid w:val="00246802"/>
    <w:rsid w:val="00246804"/>
    <w:rsid w:val="002468BD"/>
    <w:rsid w:val="00246940"/>
    <w:rsid w:val="00246978"/>
    <w:rsid w:val="002469B5"/>
    <w:rsid w:val="00246A2E"/>
    <w:rsid w:val="00246A83"/>
    <w:rsid w:val="00246A9B"/>
    <w:rsid w:val="00246B2B"/>
    <w:rsid w:val="00246B3E"/>
    <w:rsid w:val="00246B5F"/>
    <w:rsid w:val="00246D26"/>
    <w:rsid w:val="00246DEF"/>
    <w:rsid w:val="00246F15"/>
    <w:rsid w:val="002470B1"/>
    <w:rsid w:val="00247127"/>
    <w:rsid w:val="0024713A"/>
    <w:rsid w:val="002471E0"/>
    <w:rsid w:val="002472E4"/>
    <w:rsid w:val="00247305"/>
    <w:rsid w:val="00247473"/>
    <w:rsid w:val="00247545"/>
    <w:rsid w:val="00247564"/>
    <w:rsid w:val="002475BE"/>
    <w:rsid w:val="00247697"/>
    <w:rsid w:val="0024772E"/>
    <w:rsid w:val="00247779"/>
    <w:rsid w:val="002478F3"/>
    <w:rsid w:val="002478FD"/>
    <w:rsid w:val="00247930"/>
    <w:rsid w:val="00247A8F"/>
    <w:rsid w:val="00247AF4"/>
    <w:rsid w:val="00247B13"/>
    <w:rsid w:val="00247B32"/>
    <w:rsid w:val="00247B3D"/>
    <w:rsid w:val="00247B44"/>
    <w:rsid w:val="00247B52"/>
    <w:rsid w:val="00247CA2"/>
    <w:rsid w:val="00247E87"/>
    <w:rsid w:val="00247EB7"/>
    <w:rsid w:val="00247EBA"/>
    <w:rsid w:val="00250022"/>
    <w:rsid w:val="0025008A"/>
    <w:rsid w:val="002500BA"/>
    <w:rsid w:val="002502DF"/>
    <w:rsid w:val="00250395"/>
    <w:rsid w:val="0025041E"/>
    <w:rsid w:val="002505A1"/>
    <w:rsid w:val="002505A7"/>
    <w:rsid w:val="00250636"/>
    <w:rsid w:val="00250653"/>
    <w:rsid w:val="002508A1"/>
    <w:rsid w:val="002508AC"/>
    <w:rsid w:val="002508EF"/>
    <w:rsid w:val="0025090B"/>
    <w:rsid w:val="002509F9"/>
    <w:rsid w:val="00250B28"/>
    <w:rsid w:val="00250D0C"/>
    <w:rsid w:val="00250D20"/>
    <w:rsid w:val="00250D2F"/>
    <w:rsid w:val="00250DE4"/>
    <w:rsid w:val="00250DF2"/>
    <w:rsid w:val="00250DFC"/>
    <w:rsid w:val="00250FB8"/>
    <w:rsid w:val="00251016"/>
    <w:rsid w:val="0025102E"/>
    <w:rsid w:val="002510D4"/>
    <w:rsid w:val="002510ED"/>
    <w:rsid w:val="002512E0"/>
    <w:rsid w:val="00251310"/>
    <w:rsid w:val="0025134F"/>
    <w:rsid w:val="00251482"/>
    <w:rsid w:val="00251662"/>
    <w:rsid w:val="002516ED"/>
    <w:rsid w:val="0025176B"/>
    <w:rsid w:val="002517DC"/>
    <w:rsid w:val="00251878"/>
    <w:rsid w:val="002518BB"/>
    <w:rsid w:val="00251914"/>
    <w:rsid w:val="002519ED"/>
    <w:rsid w:val="00251AAF"/>
    <w:rsid w:val="00251D27"/>
    <w:rsid w:val="00251E5F"/>
    <w:rsid w:val="00251EAA"/>
    <w:rsid w:val="00251F75"/>
    <w:rsid w:val="00252029"/>
    <w:rsid w:val="00252157"/>
    <w:rsid w:val="00252432"/>
    <w:rsid w:val="002524FE"/>
    <w:rsid w:val="0025254F"/>
    <w:rsid w:val="002525CB"/>
    <w:rsid w:val="002525FF"/>
    <w:rsid w:val="0025260F"/>
    <w:rsid w:val="00252657"/>
    <w:rsid w:val="0025281A"/>
    <w:rsid w:val="0025289F"/>
    <w:rsid w:val="00252A5E"/>
    <w:rsid w:val="00252B20"/>
    <w:rsid w:val="00252B58"/>
    <w:rsid w:val="00252BB9"/>
    <w:rsid w:val="00252E3F"/>
    <w:rsid w:val="00252EC4"/>
    <w:rsid w:val="00252EDF"/>
    <w:rsid w:val="00252F01"/>
    <w:rsid w:val="00252FEF"/>
    <w:rsid w:val="002532A5"/>
    <w:rsid w:val="0025335A"/>
    <w:rsid w:val="00253366"/>
    <w:rsid w:val="00253387"/>
    <w:rsid w:val="002533B2"/>
    <w:rsid w:val="002533FB"/>
    <w:rsid w:val="0025342B"/>
    <w:rsid w:val="00253450"/>
    <w:rsid w:val="0025346B"/>
    <w:rsid w:val="00253546"/>
    <w:rsid w:val="0025366A"/>
    <w:rsid w:val="0025367D"/>
    <w:rsid w:val="00253703"/>
    <w:rsid w:val="00253715"/>
    <w:rsid w:val="00253983"/>
    <w:rsid w:val="002539CF"/>
    <w:rsid w:val="00253C04"/>
    <w:rsid w:val="00253C88"/>
    <w:rsid w:val="00253D17"/>
    <w:rsid w:val="00253D4F"/>
    <w:rsid w:val="00253E3C"/>
    <w:rsid w:val="00253EE6"/>
    <w:rsid w:val="00253F2C"/>
    <w:rsid w:val="00253F7A"/>
    <w:rsid w:val="00253FC9"/>
    <w:rsid w:val="00254116"/>
    <w:rsid w:val="00254126"/>
    <w:rsid w:val="00254470"/>
    <w:rsid w:val="002544E4"/>
    <w:rsid w:val="0025457E"/>
    <w:rsid w:val="0025475A"/>
    <w:rsid w:val="002547AF"/>
    <w:rsid w:val="002547C7"/>
    <w:rsid w:val="00254972"/>
    <w:rsid w:val="00254984"/>
    <w:rsid w:val="00254BEB"/>
    <w:rsid w:val="00254CE9"/>
    <w:rsid w:val="00254D19"/>
    <w:rsid w:val="00254D6B"/>
    <w:rsid w:val="00254D96"/>
    <w:rsid w:val="002550F3"/>
    <w:rsid w:val="002552A7"/>
    <w:rsid w:val="002552EE"/>
    <w:rsid w:val="00255404"/>
    <w:rsid w:val="0025547F"/>
    <w:rsid w:val="00255484"/>
    <w:rsid w:val="002554EE"/>
    <w:rsid w:val="00255603"/>
    <w:rsid w:val="002556EE"/>
    <w:rsid w:val="002558E9"/>
    <w:rsid w:val="00255BBA"/>
    <w:rsid w:val="00255C7A"/>
    <w:rsid w:val="00255DB7"/>
    <w:rsid w:val="00255E2E"/>
    <w:rsid w:val="00255F84"/>
    <w:rsid w:val="00256151"/>
    <w:rsid w:val="00256218"/>
    <w:rsid w:val="0025625D"/>
    <w:rsid w:val="0025628D"/>
    <w:rsid w:val="002562A0"/>
    <w:rsid w:val="002562F2"/>
    <w:rsid w:val="00256432"/>
    <w:rsid w:val="0025644F"/>
    <w:rsid w:val="002564EF"/>
    <w:rsid w:val="0025673C"/>
    <w:rsid w:val="00256824"/>
    <w:rsid w:val="0025684B"/>
    <w:rsid w:val="00256AC3"/>
    <w:rsid w:val="00256DA9"/>
    <w:rsid w:val="00256E3B"/>
    <w:rsid w:val="002570FD"/>
    <w:rsid w:val="00257140"/>
    <w:rsid w:val="0025714C"/>
    <w:rsid w:val="002571EB"/>
    <w:rsid w:val="0025745A"/>
    <w:rsid w:val="0025758E"/>
    <w:rsid w:val="00257641"/>
    <w:rsid w:val="00257752"/>
    <w:rsid w:val="002577FB"/>
    <w:rsid w:val="0025786D"/>
    <w:rsid w:val="00257BB1"/>
    <w:rsid w:val="00257DB0"/>
    <w:rsid w:val="00257DC2"/>
    <w:rsid w:val="00257E6F"/>
    <w:rsid w:val="00260021"/>
    <w:rsid w:val="002601D4"/>
    <w:rsid w:val="00260288"/>
    <w:rsid w:val="002602FA"/>
    <w:rsid w:val="0026033D"/>
    <w:rsid w:val="0026039B"/>
    <w:rsid w:val="0026053B"/>
    <w:rsid w:val="0026064A"/>
    <w:rsid w:val="0026075A"/>
    <w:rsid w:val="00260763"/>
    <w:rsid w:val="0026077E"/>
    <w:rsid w:val="00260790"/>
    <w:rsid w:val="002607F1"/>
    <w:rsid w:val="00260A71"/>
    <w:rsid w:val="00260AF9"/>
    <w:rsid w:val="00260B61"/>
    <w:rsid w:val="00260C18"/>
    <w:rsid w:val="00260C35"/>
    <w:rsid w:val="00260C75"/>
    <w:rsid w:val="00260C90"/>
    <w:rsid w:val="00260D29"/>
    <w:rsid w:val="00260DC7"/>
    <w:rsid w:val="002612B3"/>
    <w:rsid w:val="00261356"/>
    <w:rsid w:val="002613DC"/>
    <w:rsid w:val="0026145C"/>
    <w:rsid w:val="0026148E"/>
    <w:rsid w:val="002614F3"/>
    <w:rsid w:val="0026150A"/>
    <w:rsid w:val="0026153F"/>
    <w:rsid w:val="00261681"/>
    <w:rsid w:val="002616F5"/>
    <w:rsid w:val="00261790"/>
    <w:rsid w:val="002617EB"/>
    <w:rsid w:val="002617EC"/>
    <w:rsid w:val="00261A27"/>
    <w:rsid w:val="00261A7C"/>
    <w:rsid w:val="00261B53"/>
    <w:rsid w:val="00261BC4"/>
    <w:rsid w:val="00261BDD"/>
    <w:rsid w:val="00261CE9"/>
    <w:rsid w:val="00261E08"/>
    <w:rsid w:val="00261F58"/>
    <w:rsid w:val="00261FC5"/>
    <w:rsid w:val="0026225F"/>
    <w:rsid w:val="00262292"/>
    <w:rsid w:val="0026235C"/>
    <w:rsid w:val="002624A3"/>
    <w:rsid w:val="002624F8"/>
    <w:rsid w:val="00262761"/>
    <w:rsid w:val="00262838"/>
    <w:rsid w:val="002629D5"/>
    <w:rsid w:val="00262AC2"/>
    <w:rsid w:val="00262AFA"/>
    <w:rsid w:val="00262CEF"/>
    <w:rsid w:val="00262DB5"/>
    <w:rsid w:val="00262F23"/>
    <w:rsid w:val="00262F31"/>
    <w:rsid w:val="00262FA2"/>
    <w:rsid w:val="00262FCE"/>
    <w:rsid w:val="00263049"/>
    <w:rsid w:val="0026307E"/>
    <w:rsid w:val="002630CE"/>
    <w:rsid w:val="002631DD"/>
    <w:rsid w:val="00263235"/>
    <w:rsid w:val="0026332D"/>
    <w:rsid w:val="0026341B"/>
    <w:rsid w:val="00263429"/>
    <w:rsid w:val="00263456"/>
    <w:rsid w:val="002634DE"/>
    <w:rsid w:val="002634EC"/>
    <w:rsid w:val="00263577"/>
    <w:rsid w:val="00263703"/>
    <w:rsid w:val="0026376A"/>
    <w:rsid w:val="0026378A"/>
    <w:rsid w:val="00263849"/>
    <w:rsid w:val="0026388C"/>
    <w:rsid w:val="002638BD"/>
    <w:rsid w:val="002638C3"/>
    <w:rsid w:val="0026393E"/>
    <w:rsid w:val="00263976"/>
    <w:rsid w:val="00263AEB"/>
    <w:rsid w:val="00263B05"/>
    <w:rsid w:val="00263FE1"/>
    <w:rsid w:val="002641AF"/>
    <w:rsid w:val="00264274"/>
    <w:rsid w:val="00264294"/>
    <w:rsid w:val="00264439"/>
    <w:rsid w:val="002645DF"/>
    <w:rsid w:val="002646D1"/>
    <w:rsid w:val="002647D1"/>
    <w:rsid w:val="00264809"/>
    <w:rsid w:val="002648D4"/>
    <w:rsid w:val="00264991"/>
    <w:rsid w:val="002649CB"/>
    <w:rsid w:val="00264AA3"/>
    <w:rsid w:val="00264AAF"/>
    <w:rsid w:val="00264AE9"/>
    <w:rsid w:val="00264AFF"/>
    <w:rsid w:val="00264B40"/>
    <w:rsid w:val="00264B91"/>
    <w:rsid w:val="00264C89"/>
    <w:rsid w:val="00264D2D"/>
    <w:rsid w:val="00264D47"/>
    <w:rsid w:val="00264DE3"/>
    <w:rsid w:val="00264E5E"/>
    <w:rsid w:val="00264EA9"/>
    <w:rsid w:val="00264EF3"/>
    <w:rsid w:val="002650AD"/>
    <w:rsid w:val="002650C5"/>
    <w:rsid w:val="002650ED"/>
    <w:rsid w:val="0026518E"/>
    <w:rsid w:val="0026526F"/>
    <w:rsid w:val="002652DE"/>
    <w:rsid w:val="00265392"/>
    <w:rsid w:val="00265406"/>
    <w:rsid w:val="00265460"/>
    <w:rsid w:val="0026548F"/>
    <w:rsid w:val="002655C7"/>
    <w:rsid w:val="0026561C"/>
    <w:rsid w:val="0026575E"/>
    <w:rsid w:val="002657C4"/>
    <w:rsid w:val="002659DF"/>
    <w:rsid w:val="00265C34"/>
    <w:rsid w:val="00265CB2"/>
    <w:rsid w:val="00265DE0"/>
    <w:rsid w:val="00265E15"/>
    <w:rsid w:val="00265E83"/>
    <w:rsid w:val="00265E9A"/>
    <w:rsid w:val="00265F0E"/>
    <w:rsid w:val="00265F35"/>
    <w:rsid w:val="00265F89"/>
    <w:rsid w:val="00265FDF"/>
    <w:rsid w:val="0026602D"/>
    <w:rsid w:val="00266095"/>
    <w:rsid w:val="002660EC"/>
    <w:rsid w:val="00266243"/>
    <w:rsid w:val="00266267"/>
    <w:rsid w:val="002662EF"/>
    <w:rsid w:val="002664CE"/>
    <w:rsid w:val="002665C9"/>
    <w:rsid w:val="002665ED"/>
    <w:rsid w:val="002667D7"/>
    <w:rsid w:val="0026684A"/>
    <w:rsid w:val="00266C06"/>
    <w:rsid w:val="00266C8F"/>
    <w:rsid w:val="00266CA0"/>
    <w:rsid w:val="00266D96"/>
    <w:rsid w:val="00266DC6"/>
    <w:rsid w:val="00266FA1"/>
    <w:rsid w:val="002672D7"/>
    <w:rsid w:val="002673F7"/>
    <w:rsid w:val="00267435"/>
    <w:rsid w:val="00267439"/>
    <w:rsid w:val="00267548"/>
    <w:rsid w:val="00267643"/>
    <w:rsid w:val="00267884"/>
    <w:rsid w:val="002678D4"/>
    <w:rsid w:val="00267B3C"/>
    <w:rsid w:val="00267B82"/>
    <w:rsid w:val="00267BBC"/>
    <w:rsid w:val="00267C49"/>
    <w:rsid w:val="00267C6D"/>
    <w:rsid w:val="00267C95"/>
    <w:rsid w:val="00267FEA"/>
    <w:rsid w:val="00267FFB"/>
    <w:rsid w:val="00270010"/>
    <w:rsid w:val="00270074"/>
    <w:rsid w:val="002700DB"/>
    <w:rsid w:val="00270154"/>
    <w:rsid w:val="002701D5"/>
    <w:rsid w:val="00270218"/>
    <w:rsid w:val="0027022A"/>
    <w:rsid w:val="0027038B"/>
    <w:rsid w:val="002703E9"/>
    <w:rsid w:val="0027042A"/>
    <w:rsid w:val="0027044F"/>
    <w:rsid w:val="0027048D"/>
    <w:rsid w:val="002705B4"/>
    <w:rsid w:val="0027070A"/>
    <w:rsid w:val="002707B9"/>
    <w:rsid w:val="00270869"/>
    <w:rsid w:val="00270904"/>
    <w:rsid w:val="00270969"/>
    <w:rsid w:val="002709C1"/>
    <w:rsid w:val="00270A36"/>
    <w:rsid w:val="00270A69"/>
    <w:rsid w:val="00270B4B"/>
    <w:rsid w:val="00270C5C"/>
    <w:rsid w:val="00270CEE"/>
    <w:rsid w:val="00270E04"/>
    <w:rsid w:val="0027105C"/>
    <w:rsid w:val="0027108A"/>
    <w:rsid w:val="002710E7"/>
    <w:rsid w:val="0027113B"/>
    <w:rsid w:val="00271307"/>
    <w:rsid w:val="002713C0"/>
    <w:rsid w:val="00271400"/>
    <w:rsid w:val="00271581"/>
    <w:rsid w:val="00271600"/>
    <w:rsid w:val="00271652"/>
    <w:rsid w:val="00271737"/>
    <w:rsid w:val="00271787"/>
    <w:rsid w:val="00271889"/>
    <w:rsid w:val="00271A58"/>
    <w:rsid w:val="00271AA0"/>
    <w:rsid w:val="00271BCC"/>
    <w:rsid w:val="00271C03"/>
    <w:rsid w:val="00271C60"/>
    <w:rsid w:val="00271C62"/>
    <w:rsid w:val="00271C95"/>
    <w:rsid w:val="00271CC8"/>
    <w:rsid w:val="00271F11"/>
    <w:rsid w:val="00272006"/>
    <w:rsid w:val="0027203A"/>
    <w:rsid w:val="002721E4"/>
    <w:rsid w:val="002722E2"/>
    <w:rsid w:val="002722F8"/>
    <w:rsid w:val="0027235E"/>
    <w:rsid w:val="0027239F"/>
    <w:rsid w:val="002723A1"/>
    <w:rsid w:val="0027253E"/>
    <w:rsid w:val="00272578"/>
    <w:rsid w:val="00272739"/>
    <w:rsid w:val="00272762"/>
    <w:rsid w:val="0027278F"/>
    <w:rsid w:val="00272817"/>
    <w:rsid w:val="00272821"/>
    <w:rsid w:val="00272A30"/>
    <w:rsid w:val="00272A77"/>
    <w:rsid w:val="00272AA8"/>
    <w:rsid w:val="00272B34"/>
    <w:rsid w:val="00272B8D"/>
    <w:rsid w:val="00272DE9"/>
    <w:rsid w:val="00272E99"/>
    <w:rsid w:val="00272FA7"/>
    <w:rsid w:val="002730CD"/>
    <w:rsid w:val="002732BF"/>
    <w:rsid w:val="0027341C"/>
    <w:rsid w:val="002734AF"/>
    <w:rsid w:val="002734F6"/>
    <w:rsid w:val="00273523"/>
    <w:rsid w:val="0027352F"/>
    <w:rsid w:val="0027360A"/>
    <w:rsid w:val="002739FA"/>
    <w:rsid w:val="00273A79"/>
    <w:rsid w:val="00273AA0"/>
    <w:rsid w:val="00273BCA"/>
    <w:rsid w:val="00273C4B"/>
    <w:rsid w:val="00273CB0"/>
    <w:rsid w:val="00273D09"/>
    <w:rsid w:val="00273DEE"/>
    <w:rsid w:val="00273EB4"/>
    <w:rsid w:val="00273EBE"/>
    <w:rsid w:val="00273EF6"/>
    <w:rsid w:val="00273F0E"/>
    <w:rsid w:val="00273F38"/>
    <w:rsid w:val="00273FBB"/>
    <w:rsid w:val="0027404A"/>
    <w:rsid w:val="0027423D"/>
    <w:rsid w:val="0027428F"/>
    <w:rsid w:val="00274292"/>
    <w:rsid w:val="002742E4"/>
    <w:rsid w:val="002743EC"/>
    <w:rsid w:val="00274458"/>
    <w:rsid w:val="00274550"/>
    <w:rsid w:val="00274567"/>
    <w:rsid w:val="00274661"/>
    <w:rsid w:val="00274699"/>
    <w:rsid w:val="002747AB"/>
    <w:rsid w:val="0027486A"/>
    <w:rsid w:val="002748A4"/>
    <w:rsid w:val="0027494B"/>
    <w:rsid w:val="0027494D"/>
    <w:rsid w:val="00274A58"/>
    <w:rsid w:val="00274A6B"/>
    <w:rsid w:val="00274BBA"/>
    <w:rsid w:val="00274C27"/>
    <w:rsid w:val="00274DDF"/>
    <w:rsid w:val="00274DF3"/>
    <w:rsid w:val="00274EEA"/>
    <w:rsid w:val="00274F25"/>
    <w:rsid w:val="00274FAF"/>
    <w:rsid w:val="00275035"/>
    <w:rsid w:val="00275062"/>
    <w:rsid w:val="00275123"/>
    <w:rsid w:val="0027524A"/>
    <w:rsid w:val="002752D9"/>
    <w:rsid w:val="00275347"/>
    <w:rsid w:val="002753EA"/>
    <w:rsid w:val="00275407"/>
    <w:rsid w:val="00275480"/>
    <w:rsid w:val="002754CD"/>
    <w:rsid w:val="002754DE"/>
    <w:rsid w:val="00275658"/>
    <w:rsid w:val="002757A2"/>
    <w:rsid w:val="002757A7"/>
    <w:rsid w:val="002758C3"/>
    <w:rsid w:val="002758CF"/>
    <w:rsid w:val="00275BF0"/>
    <w:rsid w:val="00275C19"/>
    <w:rsid w:val="00275CB0"/>
    <w:rsid w:val="00275EAB"/>
    <w:rsid w:val="00275FE5"/>
    <w:rsid w:val="00275FE9"/>
    <w:rsid w:val="002761A5"/>
    <w:rsid w:val="0027626E"/>
    <w:rsid w:val="00276335"/>
    <w:rsid w:val="0027636B"/>
    <w:rsid w:val="002764B1"/>
    <w:rsid w:val="00276531"/>
    <w:rsid w:val="00276566"/>
    <w:rsid w:val="00276577"/>
    <w:rsid w:val="002765D4"/>
    <w:rsid w:val="00276840"/>
    <w:rsid w:val="002768FB"/>
    <w:rsid w:val="002769A6"/>
    <w:rsid w:val="00276A0B"/>
    <w:rsid w:val="00276CBA"/>
    <w:rsid w:val="00276D25"/>
    <w:rsid w:val="00276D4E"/>
    <w:rsid w:val="0027709D"/>
    <w:rsid w:val="002770E5"/>
    <w:rsid w:val="0027710B"/>
    <w:rsid w:val="00277131"/>
    <w:rsid w:val="0027717F"/>
    <w:rsid w:val="00277223"/>
    <w:rsid w:val="002775BC"/>
    <w:rsid w:val="00277617"/>
    <w:rsid w:val="00277686"/>
    <w:rsid w:val="002777F4"/>
    <w:rsid w:val="002777F6"/>
    <w:rsid w:val="00277890"/>
    <w:rsid w:val="00277893"/>
    <w:rsid w:val="002778FA"/>
    <w:rsid w:val="0027792A"/>
    <w:rsid w:val="0027798E"/>
    <w:rsid w:val="00277A63"/>
    <w:rsid w:val="00277B6D"/>
    <w:rsid w:val="00277C0E"/>
    <w:rsid w:val="00277C0F"/>
    <w:rsid w:val="00277DA2"/>
    <w:rsid w:val="0028011A"/>
    <w:rsid w:val="00280178"/>
    <w:rsid w:val="00280221"/>
    <w:rsid w:val="00280228"/>
    <w:rsid w:val="0028025B"/>
    <w:rsid w:val="00280363"/>
    <w:rsid w:val="00280426"/>
    <w:rsid w:val="0028052D"/>
    <w:rsid w:val="0028066C"/>
    <w:rsid w:val="0028071E"/>
    <w:rsid w:val="00280732"/>
    <w:rsid w:val="0028081E"/>
    <w:rsid w:val="0028092F"/>
    <w:rsid w:val="00280941"/>
    <w:rsid w:val="0028095D"/>
    <w:rsid w:val="00280965"/>
    <w:rsid w:val="00280ACD"/>
    <w:rsid w:val="00280ACE"/>
    <w:rsid w:val="00280B60"/>
    <w:rsid w:val="00280B66"/>
    <w:rsid w:val="00280CD6"/>
    <w:rsid w:val="00280F03"/>
    <w:rsid w:val="00280F17"/>
    <w:rsid w:val="0028115C"/>
    <w:rsid w:val="002811F9"/>
    <w:rsid w:val="002814A2"/>
    <w:rsid w:val="00281525"/>
    <w:rsid w:val="0028153F"/>
    <w:rsid w:val="00281593"/>
    <w:rsid w:val="002815A0"/>
    <w:rsid w:val="00281939"/>
    <w:rsid w:val="0028199C"/>
    <w:rsid w:val="00281A90"/>
    <w:rsid w:val="00281B6E"/>
    <w:rsid w:val="00281C61"/>
    <w:rsid w:val="00281DF9"/>
    <w:rsid w:val="00281E90"/>
    <w:rsid w:val="00281EC1"/>
    <w:rsid w:val="00282021"/>
    <w:rsid w:val="0028221C"/>
    <w:rsid w:val="00282290"/>
    <w:rsid w:val="002822A3"/>
    <w:rsid w:val="002822E3"/>
    <w:rsid w:val="0028231C"/>
    <w:rsid w:val="00282336"/>
    <w:rsid w:val="00282441"/>
    <w:rsid w:val="00282477"/>
    <w:rsid w:val="00282482"/>
    <w:rsid w:val="00282638"/>
    <w:rsid w:val="00282656"/>
    <w:rsid w:val="002826F8"/>
    <w:rsid w:val="0028287C"/>
    <w:rsid w:val="002828BC"/>
    <w:rsid w:val="00282988"/>
    <w:rsid w:val="00282A66"/>
    <w:rsid w:val="00282BB4"/>
    <w:rsid w:val="00282C06"/>
    <w:rsid w:val="00282E21"/>
    <w:rsid w:val="00282F4A"/>
    <w:rsid w:val="00283102"/>
    <w:rsid w:val="00283104"/>
    <w:rsid w:val="00283249"/>
    <w:rsid w:val="002835A2"/>
    <w:rsid w:val="0028369D"/>
    <w:rsid w:val="00283724"/>
    <w:rsid w:val="00283844"/>
    <w:rsid w:val="002839CB"/>
    <w:rsid w:val="002839FF"/>
    <w:rsid w:val="00283B63"/>
    <w:rsid w:val="00283E1E"/>
    <w:rsid w:val="00283EA5"/>
    <w:rsid w:val="00283F2A"/>
    <w:rsid w:val="00283F4C"/>
    <w:rsid w:val="00284165"/>
    <w:rsid w:val="002841F0"/>
    <w:rsid w:val="00284348"/>
    <w:rsid w:val="0028435F"/>
    <w:rsid w:val="00284371"/>
    <w:rsid w:val="002845D8"/>
    <w:rsid w:val="00284688"/>
    <w:rsid w:val="002846E4"/>
    <w:rsid w:val="00284895"/>
    <w:rsid w:val="002848B0"/>
    <w:rsid w:val="002849BA"/>
    <w:rsid w:val="002849BB"/>
    <w:rsid w:val="00284ACA"/>
    <w:rsid w:val="00284C13"/>
    <w:rsid w:val="00284C14"/>
    <w:rsid w:val="00284C1E"/>
    <w:rsid w:val="00284C8F"/>
    <w:rsid w:val="00284E3B"/>
    <w:rsid w:val="002850B4"/>
    <w:rsid w:val="00285137"/>
    <w:rsid w:val="0028515A"/>
    <w:rsid w:val="002851D9"/>
    <w:rsid w:val="002851E7"/>
    <w:rsid w:val="0028543A"/>
    <w:rsid w:val="00285463"/>
    <w:rsid w:val="00285533"/>
    <w:rsid w:val="0028556E"/>
    <w:rsid w:val="0028557C"/>
    <w:rsid w:val="00285666"/>
    <w:rsid w:val="00285686"/>
    <w:rsid w:val="002856FC"/>
    <w:rsid w:val="002857A3"/>
    <w:rsid w:val="002857E4"/>
    <w:rsid w:val="002859F7"/>
    <w:rsid w:val="00285B47"/>
    <w:rsid w:val="00285BBA"/>
    <w:rsid w:val="00285BC0"/>
    <w:rsid w:val="00285BEE"/>
    <w:rsid w:val="00285CAA"/>
    <w:rsid w:val="00285CD9"/>
    <w:rsid w:val="00285D53"/>
    <w:rsid w:val="00285DA1"/>
    <w:rsid w:val="00285E2A"/>
    <w:rsid w:val="00285E80"/>
    <w:rsid w:val="00285F43"/>
    <w:rsid w:val="00285FC4"/>
    <w:rsid w:val="002861A1"/>
    <w:rsid w:val="00286240"/>
    <w:rsid w:val="0028631E"/>
    <w:rsid w:val="00286398"/>
    <w:rsid w:val="0028639D"/>
    <w:rsid w:val="00286533"/>
    <w:rsid w:val="0028665A"/>
    <w:rsid w:val="00286780"/>
    <w:rsid w:val="002867DE"/>
    <w:rsid w:val="00286827"/>
    <w:rsid w:val="002868E8"/>
    <w:rsid w:val="002868FD"/>
    <w:rsid w:val="00286941"/>
    <w:rsid w:val="00286A0F"/>
    <w:rsid w:val="00286BE1"/>
    <w:rsid w:val="00286BEE"/>
    <w:rsid w:val="00286C4C"/>
    <w:rsid w:val="00286E22"/>
    <w:rsid w:val="00286E67"/>
    <w:rsid w:val="00286F3F"/>
    <w:rsid w:val="00286F53"/>
    <w:rsid w:val="00286F95"/>
    <w:rsid w:val="002870E0"/>
    <w:rsid w:val="00287151"/>
    <w:rsid w:val="00287224"/>
    <w:rsid w:val="0028744E"/>
    <w:rsid w:val="00287493"/>
    <w:rsid w:val="002876E7"/>
    <w:rsid w:val="0028777F"/>
    <w:rsid w:val="00287799"/>
    <w:rsid w:val="002877B7"/>
    <w:rsid w:val="002878DA"/>
    <w:rsid w:val="00287995"/>
    <w:rsid w:val="002879B7"/>
    <w:rsid w:val="00287C91"/>
    <w:rsid w:val="00287CEF"/>
    <w:rsid w:val="00287CF6"/>
    <w:rsid w:val="00287D0D"/>
    <w:rsid w:val="00287D69"/>
    <w:rsid w:val="00287E07"/>
    <w:rsid w:val="00287E18"/>
    <w:rsid w:val="00287E3E"/>
    <w:rsid w:val="00287E44"/>
    <w:rsid w:val="00287EAC"/>
    <w:rsid w:val="00287F23"/>
    <w:rsid w:val="00287FA4"/>
    <w:rsid w:val="00290149"/>
    <w:rsid w:val="002901B6"/>
    <w:rsid w:val="00290203"/>
    <w:rsid w:val="0029028F"/>
    <w:rsid w:val="002902FA"/>
    <w:rsid w:val="00290398"/>
    <w:rsid w:val="0029039A"/>
    <w:rsid w:val="0029043D"/>
    <w:rsid w:val="00290449"/>
    <w:rsid w:val="0029045E"/>
    <w:rsid w:val="002905F2"/>
    <w:rsid w:val="002906E9"/>
    <w:rsid w:val="00290744"/>
    <w:rsid w:val="0029079D"/>
    <w:rsid w:val="002907CF"/>
    <w:rsid w:val="0029081B"/>
    <w:rsid w:val="00290849"/>
    <w:rsid w:val="00290885"/>
    <w:rsid w:val="00290908"/>
    <w:rsid w:val="0029094F"/>
    <w:rsid w:val="00290A03"/>
    <w:rsid w:val="00290A19"/>
    <w:rsid w:val="00290ABF"/>
    <w:rsid w:val="00290B6D"/>
    <w:rsid w:val="00290B7B"/>
    <w:rsid w:val="00290BA7"/>
    <w:rsid w:val="00290BBC"/>
    <w:rsid w:val="00290C54"/>
    <w:rsid w:val="00290C8B"/>
    <w:rsid w:val="00290CAA"/>
    <w:rsid w:val="00290D48"/>
    <w:rsid w:val="00290E85"/>
    <w:rsid w:val="00290F5A"/>
    <w:rsid w:val="00290FBE"/>
    <w:rsid w:val="0029114E"/>
    <w:rsid w:val="00291322"/>
    <w:rsid w:val="002913DC"/>
    <w:rsid w:val="002913F7"/>
    <w:rsid w:val="00291520"/>
    <w:rsid w:val="00291591"/>
    <w:rsid w:val="002915EA"/>
    <w:rsid w:val="002916FF"/>
    <w:rsid w:val="00291779"/>
    <w:rsid w:val="0029186A"/>
    <w:rsid w:val="00291929"/>
    <w:rsid w:val="0029194D"/>
    <w:rsid w:val="00291A2C"/>
    <w:rsid w:val="00291AA2"/>
    <w:rsid w:val="00291BA2"/>
    <w:rsid w:val="00291C67"/>
    <w:rsid w:val="00291D37"/>
    <w:rsid w:val="00291E54"/>
    <w:rsid w:val="00291ECA"/>
    <w:rsid w:val="00291EF2"/>
    <w:rsid w:val="00291F4D"/>
    <w:rsid w:val="00291F72"/>
    <w:rsid w:val="00291F8D"/>
    <w:rsid w:val="0029210A"/>
    <w:rsid w:val="002922A9"/>
    <w:rsid w:val="00292719"/>
    <w:rsid w:val="0029281D"/>
    <w:rsid w:val="0029286D"/>
    <w:rsid w:val="002928E1"/>
    <w:rsid w:val="002929D4"/>
    <w:rsid w:val="00292BA7"/>
    <w:rsid w:val="00292CE9"/>
    <w:rsid w:val="00292CFE"/>
    <w:rsid w:val="00292D8C"/>
    <w:rsid w:val="00292DB0"/>
    <w:rsid w:val="00292DC1"/>
    <w:rsid w:val="00292E1D"/>
    <w:rsid w:val="00292E3F"/>
    <w:rsid w:val="00292ECC"/>
    <w:rsid w:val="00292EFD"/>
    <w:rsid w:val="00292F79"/>
    <w:rsid w:val="002930E9"/>
    <w:rsid w:val="002931B0"/>
    <w:rsid w:val="002931CC"/>
    <w:rsid w:val="002933FD"/>
    <w:rsid w:val="00293693"/>
    <w:rsid w:val="0029369E"/>
    <w:rsid w:val="002936ED"/>
    <w:rsid w:val="002938F6"/>
    <w:rsid w:val="00293AA8"/>
    <w:rsid w:val="00293BBC"/>
    <w:rsid w:val="00293CAE"/>
    <w:rsid w:val="00293DA8"/>
    <w:rsid w:val="00293E3B"/>
    <w:rsid w:val="00293EC8"/>
    <w:rsid w:val="00293EFC"/>
    <w:rsid w:val="00293F07"/>
    <w:rsid w:val="00293F65"/>
    <w:rsid w:val="0029404E"/>
    <w:rsid w:val="0029405F"/>
    <w:rsid w:val="002940BE"/>
    <w:rsid w:val="002940F0"/>
    <w:rsid w:val="0029456A"/>
    <w:rsid w:val="00294571"/>
    <w:rsid w:val="00294596"/>
    <w:rsid w:val="0029463D"/>
    <w:rsid w:val="0029480C"/>
    <w:rsid w:val="00294957"/>
    <w:rsid w:val="00294B0E"/>
    <w:rsid w:val="00294BA4"/>
    <w:rsid w:val="00294D68"/>
    <w:rsid w:val="00294F2F"/>
    <w:rsid w:val="00295031"/>
    <w:rsid w:val="00295066"/>
    <w:rsid w:val="00295181"/>
    <w:rsid w:val="002951BF"/>
    <w:rsid w:val="002951F0"/>
    <w:rsid w:val="002951F2"/>
    <w:rsid w:val="0029531F"/>
    <w:rsid w:val="0029533F"/>
    <w:rsid w:val="00295433"/>
    <w:rsid w:val="00295511"/>
    <w:rsid w:val="002955B2"/>
    <w:rsid w:val="00295634"/>
    <w:rsid w:val="00295667"/>
    <w:rsid w:val="0029566C"/>
    <w:rsid w:val="002956E6"/>
    <w:rsid w:val="002957CD"/>
    <w:rsid w:val="0029581E"/>
    <w:rsid w:val="00295AD2"/>
    <w:rsid w:val="00295B79"/>
    <w:rsid w:val="00295C1D"/>
    <w:rsid w:val="00295C59"/>
    <w:rsid w:val="00295C77"/>
    <w:rsid w:val="00295D07"/>
    <w:rsid w:val="00295DA7"/>
    <w:rsid w:val="00295F05"/>
    <w:rsid w:val="00295F45"/>
    <w:rsid w:val="00295FB9"/>
    <w:rsid w:val="00295FBC"/>
    <w:rsid w:val="00295FF0"/>
    <w:rsid w:val="0029603E"/>
    <w:rsid w:val="0029608C"/>
    <w:rsid w:val="002960B1"/>
    <w:rsid w:val="0029624F"/>
    <w:rsid w:val="002962A6"/>
    <w:rsid w:val="00296615"/>
    <w:rsid w:val="00296650"/>
    <w:rsid w:val="00296A4E"/>
    <w:rsid w:val="00296B80"/>
    <w:rsid w:val="00296C0D"/>
    <w:rsid w:val="00296C8C"/>
    <w:rsid w:val="00296D2F"/>
    <w:rsid w:val="00296DCB"/>
    <w:rsid w:val="00296EB3"/>
    <w:rsid w:val="002970D1"/>
    <w:rsid w:val="00297144"/>
    <w:rsid w:val="002971F7"/>
    <w:rsid w:val="002973D8"/>
    <w:rsid w:val="0029740F"/>
    <w:rsid w:val="002975D7"/>
    <w:rsid w:val="0029773A"/>
    <w:rsid w:val="00297805"/>
    <w:rsid w:val="0029786C"/>
    <w:rsid w:val="002978F8"/>
    <w:rsid w:val="00297A30"/>
    <w:rsid w:val="00297A58"/>
    <w:rsid w:val="00297A8E"/>
    <w:rsid w:val="00297A9A"/>
    <w:rsid w:val="00297ACE"/>
    <w:rsid w:val="00297BE8"/>
    <w:rsid w:val="00297C24"/>
    <w:rsid w:val="00297C35"/>
    <w:rsid w:val="00297C38"/>
    <w:rsid w:val="00297CFE"/>
    <w:rsid w:val="00297DCA"/>
    <w:rsid w:val="00297F99"/>
    <w:rsid w:val="002A010B"/>
    <w:rsid w:val="002A01D9"/>
    <w:rsid w:val="002A0276"/>
    <w:rsid w:val="002A036F"/>
    <w:rsid w:val="002A063A"/>
    <w:rsid w:val="002A06AA"/>
    <w:rsid w:val="002A06D7"/>
    <w:rsid w:val="002A06EA"/>
    <w:rsid w:val="002A071B"/>
    <w:rsid w:val="002A075C"/>
    <w:rsid w:val="002A085A"/>
    <w:rsid w:val="002A0995"/>
    <w:rsid w:val="002A09AB"/>
    <w:rsid w:val="002A09F3"/>
    <w:rsid w:val="002A0B78"/>
    <w:rsid w:val="002A0D3E"/>
    <w:rsid w:val="002A0F3D"/>
    <w:rsid w:val="002A103F"/>
    <w:rsid w:val="002A115C"/>
    <w:rsid w:val="002A1162"/>
    <w:rsid w:val="002A116D"/>
    <w:rsid w:val="002A13EE"/>
    <w:rsid w:val="002A16B3"/>
    <w:rsid w:val="002A17F5"/>
    <w:rsid w:val="002A199C"/>
    <w:rsid w:val="002A1A09"/>
    <w:rsid w:val="002A1A44"/>
    <w:rsid w:val="002A1A5B"/>
    <w:rsid w:val="002A1B5B"/>
    <w:rsid w:val="002A1B97"/>
    <w:rsid w:val="002A1BED"/>
    <w:rsid w:val="002A1CFE"/>
    <w:rsid w:val="002A1E67"/>
    <w:rsid w:val="002A1EC5"/>
    <w:rsid w:val="002A1F04"/>
    <w:rsid w:val="002A1FD2"/>
    <w:rsid w:val="002A21F8"/>
    <w:rsid w:val="002A2399"/>
    <w:rsid w:val="002A243F"/>
    <w:rsid w:val="002A246D"/>
    <w:rsid w:val="002A249A"/>
    <w:rsid w:val="002A24BC"/>
    <w:rsid w:val="002A265A"/>
    <w:rsid w:val="002A276B"/>
    <w:rsid w:val="002A2773"/>
    <w:rsid w:val="002A27D6"/>
    <w:rsid w:val="002A2857"/>
    <w:rsid w:val="002A2A76"/>
    <w:rsid w:val="002A2AF8"/>
    <w:rsid w:val="002A2B11"/>
    <w:rsid w:val="002A2C4A"/>
    <w:rsid w:val="002A2C96"/>
    <w:rsid w:val="002A2D4F"/>
    <w:rsid w:val="002A2F6C"/>
    <w:rsid w:val="002A2FB6"/>
    <w:rsid w:val="002A306F"/>
    <w:rsid w:val="002A315F"/>
    <w:rsid w:val="002A31C1"/>
    <w:rsid w:val="002A324C"/>
    <w:rsid w:val="002A33A2"/>
    <w:rsid w:val="002A33C7"/>
    <w:rsid w:val="002A3478"/>
    <w:rsid w:val="002A35CF"/>
    <w:rsid w:val="002A3601"/>
    <w:rsid w:val="002A37F1"/>
    <w:rsid w:val="002A385B"/>
    <w:rsid w:val="002A386C"/>
    <w:rsid w:val="002A38A6"/>
    <w:rsid w:val="002A38E6"/>
    <w:rsid w:val="002A3965"/>
    <w:rsid w:val="002A3B10"/>
    <w:rsid w:val="002A3BF1"/>
    <w:rsid w:val="002A3C4F"/>
    <w:rsid w:val="002A3C77"/>
    <w:rsid w:val="002A3C8B"/>
    <w:rsid w:val="002A3D0E"/>
    <w:rsid w:val="002A3D52"/>
    <w:rsid w:val="002A3E31"/>
    <w:rsid w:val="002A403D"/>
    <w:rsid w:val="002A41EC"/>
    <w:rsid w:val="002A434E"/>
    <w:rsid w:val="002A442D"/>
    <w:rsid w:val="002A4592"/>
    <w:rsid w:val="002A4605"/>
    <w:rsid w:val="002A4677"/>
    <w:rsid w:val="002A4729"/>
    <w:rsid w:val="002A4823"/>
    <w:rsid w:val="002A48A6"/>
    <w:rsid w:val="002A48ED"/>
    <w:rsid w:val="002A49D3"/>
    <w:rsid w:val="002A4A89"/>
    <w:rsid w:val="002A4AF2"/>
    <w:rsid w:val="002A4DBC"/>
    <w:rsid w:val="002A4ED7"/>
    <w:rsid w:val="002A4EEB"/>
    <w:rsid w:val="002A4EF5"/>
    <w:rsid w:val="002A5011"/>
    <w:rsid w:val="002A518B"/>
    <w:rsid w:val="002A530B"/>
    <w:rsid w:val="002A5341"/>
    <w:rsid w:val="002A55FB"/>
    <w:rsid w:val="002A5932"/>
    <w:rsid w:val="002A5A53"/>
    <w:rsid w:val="002A5ABA"/>
    <w:rsid w:val="002A5B24"/>
    <w:rsid w:val="002A5C11"/>
    <w:rsid w:val="002A5CF7"/>
    <w:rsid w:val="002A5CFC"/>
    <w:rsid w:val="002A5D21"/>
    <w:rsid w:val="002A5D30"/>
    <w:rsid w:val="002A5E86"/>
    <w:rsid w:val="002A62D9"/>
    <w:rsid w:val="002A642F"/>
    <w:rsid w:val="002A6459"/>
    <w:rsid w:val="002A64AC"/>
    <w:rsid w:val="002A64F6"/>
    <w:rsid w:val="002A6587"/>
    <w:rsid w:val="002A661E"/>
    <w:rsid w:val="002A670F"/>
    <w:rsid w:val="002A6719"/>
    <w:rsid w:val="002A6ACC"/>
    <w:rsid w:val="002A6BC8"/>
    <w:rsid w:val="002A6DF7"/>
    <w:rsid w:val="002A6E1E"/>
    <w:rsid w:val="002A6EA9"/>
    <w:rsid w:val="002A6F22"/>
    <w:rsid w:val="002A6FA3"/>
    <w:rsid w:val="002A6FB2"/>
    <w:rsid w:val="002A7037"/>
    <w:rsid w:val="002A7068"/>
    <w:rsid w:val="002A7180"/>
    <w:rsid w:val="002A7194"/>
    <w:rsid w:val="002A7436"/>
    <w:rsid w:val="002A7460"/>
    <w:rsid w:val="002A7461"/>
    <w:rsid w:val="002A74C0"/>
    <w:rsid w:val="002A758D"/>
    <w:rsid w:val="002A773B"/>
    <w:rsid w:val="002A7786"/>
    <w:rsid w:val="002A793B"/>
    <w:rsid w:val="002A79A1"/>
    <w:rsid w:val="002A7AFD"/>
    <w:rsid w:val="002A7BB1"/>
    <w:rsid w:val="002A7BC0"/>
    <w:rsid w:val="002A7BC2"/>
    <w:rsid w:val="002A7C5C"/>
    <w:rsid w:val="002A7C9C"/>
    <w:rsid w:val="002A7CE7"/>
    <w:rsid w:val="002A7D42"/>
    <w:rsid w:val="002A7E2A"/>
    <w:rsid w:val="002A7E91"/>
    <w:rsid w:val="002A7F60"/>
    <w:rsid w:val="002B0275"/>
    <w:rsid w:val="002B0285"/>
    <w:rsid w:val="002B03E2"/>
    <w:rsid w:val="002B0402"/>
    <w:rsid w:val="002B0458"/>
    <w:rsid w:val="002B0482"/>
    <w:rsid w:val="002B04D7"/>
    <w:rsid w:val="002B06E3"/>
    <w:rsid w:val="002B0835"/>
    <w:rsid w:val="002B0A6F"/>
    <w:rsid w:val="002B0AD6"/>
    <w:rsid w:val="002B0B00"/>
    <w:rsid w:val="002B0B5E"/>
    <w:rsid w:val="002B0BD7"/>
    <w:rsid w:val="002B0DF0"/>
    <w:rsid w:val="002B0E30"/>
    <w:rsid w:val="002B0E50"/>
    <w:rsid w:val="002B0E7D"/>
    <w:rsid w:val="002B0F96"/>
    <w:rsid w:val="002B1000"/>
    <w:rsid w:val="002B116C"/>
    <w:rsid w:val="002B11A4"/>
    <w:rsid w:val="002B12AA"/>
    <w:rsid w:val="002B13BE"/>
    <w:rsid w:val="002B1462"/>
    <w:rsid w:val="002B159A"/>
    <w:rsid w:val="002B1778"/>
    <w:rsid w:val="002B1913"/>
    <w:rsid w:val="002B1973"/>
    <w:rsid w:val="002B1B9B"/>
    <w:rsid w:val="002B1CD5"/>
    <w:rsid w:val="002B1CD9"/>
    <w:rsid w:val="002B1DDF"/>
    <w:rsid w:val="002B1E9C"/>
    <w:rsid w:val="002B1EA3"/>
    <w:rsid w:val="002B1EEE"/>
    <w:rsid w:val="002B1F33"/>
    <w:rsid w:val="002B1FB1"/>
    <w:rsid w:val="002B202B"/>
    <w:rsid w:val="002B2129"/>
    <w:rsid w:val="002B2172"/>
    <w:rsid w:val="002B21CA"/>
    <w:rsid w:val="002B235F"/>
    <w:rsid w:val="002B2430"/>
    <w:rsid w:val="002B251F"/>
    <w:rsid w:val="002B2528"/>
    <w:rsid w:val="002B25D9"/>
    <w:rsid w:val="002B268B"/>
    <w:rsid w:val="002B2779"/>
    <w:rsid w:val="002B277F"/>
    <w:rsid w:val="002B2827"/>
    <w:rsid w:val="002B2899"/>
    <w:rsid w:val="002B289F"/>
    <w:rsid w:val="002B28CE"/>
    <w:rsid w:val="002B2906"/>
    <w:rsid w:val="002B296B"/>
    <w:rsid w:val="002B2A0A"/>
    <w:rsid w:val="002B2AFA"/>
    <w:rsid w:val="002B2B9E"/>
    <w:rsid w:val="002B2E35"/>
    <w:rsid w:val="002B2ED9"/>
    <w:rsid w:val="002B2EE5"/>
    <w:rsid w:val="002B30AF"/>
    <w:rsid w:val="002B310C"/>
    <w:rsid w:val="002B3288"/>
    <w:rsid w:val="002B3291"/>
    <w:rsid w:val="002B3295"/>
    <w:rsid w:val="002B3509"/>
    <w:rsid w:val="002B3891"/>
    <w:rsid w:val="002B38B2"/>
    <w:rsid w:val="002B38FD"/>
    <w:rsid w:val="002B3CBA"/>
    <w:rsid w:val="002B3E34"/>
    <w:rsid w:val="002B3E3B"/>
    <w:rsid w:val="002B3F00"/>
    <w:rsid w:val="002B3F0A"/>
    <w:rsid w:val="002B3FDA"/>
    <w:rsid w:val="002B3FE5"/>
    <w:rsid w:val="002B4137"/>
    <w:rsid w:val="002B4208"/>
    <w:rsid w:val="002B420E"/>
    <w:rsid w:val="002B452E"/>
    <w:rsid w:val="002B4613"/>
    <w:rsid w:val="002B469A"/>
    <w:rsid w:val="002B46B4"/>
    <w:rsid w:val="002B477D"/>
    <w:rsid w:val="002B47D9"/>
    <w:rsid w:val="002B48AA"/>
    <w:rsid w:val="002B492E"/>
    <w:rsid w:val="002B4950"/>
    <w:rsid w:val="002B4A07"/>
    <w:rsid w:val="002B4ACA"/>
    <w:rsid w:val="002B4CC3"/>
    <w:rsid w:val="002B4F31"/>
    <w:rsid w:val="002B4F56"/>
    <w:rsid w:val="002B4FF2"/>
    <w:rsid w:val="002B52EC"/>
    <w:rsid w:val="002B558D"/>
    <w:rsid w:val="002B56D5"/>
    <w:rsid w:val="002B58A5"/>
    <w:rsid w:val="002B5B87"/>
    <w:rsid w:val="002B5BC3"/>
    <w:rsid w:val="002B5C4A"/>
    <w:rsid w:val="002B5CC4"/>
    <w:rsid w:val="002B5DE2"/>
    <w:rsid w:val="002B5E58"/>
    <w:rsid w:val="002B5FA0"/>
    <w:rsid w:val="002B6071"/>
    <w:rsid w:val="002B622F"/>
    <w:rsid w:val="002B62B9"/>
    <w:rsid w:val="002B62BD"/>
    <w:rsid w:val="002B6306"/>
    <w:rsid w:val="002B630D"/>
    <w:rsid w:val="002B6381"/>
    <w:rsid w:val="002B63BE"/>
    <w:rsid w:val="002B656B"/>
    <w:rsid w:val="002B6664"/>
    <w:rsid w:val="002B6722"/>
    <w:rsid w:val="002B685A"/>
    <w:rsid w:val="002B687B"/>
    <w:rsid w:val="002B6984"/>
    <w:rsid w:val="002B6A5E"/>
    <w:rsid w:val="002B6A5F"/>
    <w:rsid w:val="002B6B35"/>
    <w:rsid w:val="002B6B36"/>
    <w:rsid w:val="002B6C48"/>
    <w:rsid w:val="002B6C4C"/>
    <w:rsid w:val="002B6CFD"/>
    <w:rsid w:val="002B6D40"/>
    <w:rsid w:val="002B6E7E"/>
    <w:rsid w:val="002B6EFF"/>
    <w:rsid w:val="002B6F90"/>
    <w:rsid w:val="002B7086"/>
    <w:rsid w:val="002B70EA"/>
    <w:rsid w:val="002B7119"/>
    <w:rsid w:val="002B726B"/>
    <w:rsid w:val="002B72C9"/>
    <w:rsid w:val="002B7316"/>
    <w:rsid w:val="002B73AF"/>
    <w:rsid w:val="002B743D"/>
    <w:rsid w:val="002B7444"/>
    <w:rsid w:val="002B7479"/>
    <w:rsid w:val="002B7515"/>
    <w:rsid w:val="002B7611"/>
    <w:rsid w:val="002B7678"/>
    <w:rsid w:val="002B7715"/>
    <w:rsid w:val="002B78BA"/>
    <w:rsid w:val="002B7915"/>
    <w:rsid w:val="002B7B5A"/>
    <w:rsid w:val="002B7B7C"/>
    <w:rsid w:val="002B7BB8"/>
    <w:rsid w:val="002B7C43"/>
    <w:rsid w:val="002B7DF7"/>
    <w:rsid w:val="002B7E52"/>
    <w:rsid w:val="002C000C"/>
    <w:rsid w:val="002C00E2"/>
    <w:rsid w:val="002C0110"/>
    <w:rsid w:val="002C02BD"/>
    <w:rsid w:val="002C0347"/>
    <w:rsid w:val="002C05FA"/>
    <w:rsid w:val="002C0AA5"/>
    <w:rsid w:val="002C0BC5"/>
    <w:rsid w:val="002C0CD0"/>
    <w:rsid w:val="002C0D31"/>
    <w:rsid w:val="002C0D64"/>
    <w:rsid w:val="002C0F92"/>
    <w:rsid w:val="002C10CC"/>
    <w:rsid w:val="002C127D"/>
    <w:rsid w:val="002C140F"/>
    <w:rsid w:val="002C1470"/>
    <w:rsid w:val="002C14C7"/>
    <w:rsid w:val="002C14EC"/>
    <w:rsid w:val="002C156B"/>
    <w:rsid w:val="002C16D8"/>
    <w:rsid w:val="002C1796"/>
    <w:rsid w:val="002C179E"/>
    <w:rsid w:val="002C1A33"/>
    <w:rsid w:val="002C1B8D"/>
    <w:rsid w:val="002C1D1A"/>
    <w:rsid w:val="002C1DB9"/>
    <w:rsid w:val="002C1DDB"/>
    <w:rsid w:val="002C1DF5"/>
    <w:rsid w:val="002C1EC0"/>
    <w:rsid w:val="002C21A9"/>
    <w:rsid w:val="002C2228"/>
    <w:rsid w:val="002C2257"/>
    <w:rsid w:val="002C238B"/>
    <w:rsid w:val="002C23C0"/>
    <w:rsid w:val="002C244D"/>
    <w:rsid w:val="002C24BA"/>
    <w:rsid w:val="002C2672"/>
    <w:rsid w:val="002C26F0"/>
    <w:rsid w:val="002C2729"/>
    <w:rsid w:val="002C27B3"/>
    <w:rsid w:val="002C2848"/>
    <w:rsid w:val="002C28A8"/>
    <w:rsid w:val="002C296B"/>
    <w:rsid w:val="002C2A0C"/>
    <w:rsid w:val="002C2A78"/>
    <w:rsid w:val="002C2AC3"/>
    <w:rsid w:val="002C2C9D"/>
    <w:rsid w:val="002C2F05"/>
    <w:rsid w:val="002C2F13"/>
    <w:rsid w:val="002C2F99"/>
    <w:rsid w:val="002C316D"/>
    <w:rsid w:val="002C321D"/>
    <w:rsid w:val="002C32D9"/>
    <w:rsid w:val="002C3303"/>
    <w:rsid w:val="002C3320"/>
    <w:rsid w:val="002C3422"/>
    <w:rsid w:val="002C34FA"/>
    <w:rsid w:val="002C3528"/>
    <w:rsid w:val="002C35A7"/>
    <w:rsid w:val="002C3600"/>
    <w:rsid w:val="002C3642"/>
    <w:rsid w:val="002C3669"/>
    <w:rsid w:val="002C375B"/>
    <w:rsid w:val="002C3863"/>
    <w:rsid w:val="002C3993"/>
    <w:rsid w:val="002C3A33"/>
    <w:rsid w:val="002C3BAA"/>
    <w:rsid w:val="002C3C10"/>
    <w:rsid w:val="002C3C2B"/>
    <w:rsid w:val="002C3CB7"/>
    <w:rsid w:val="002C3DB5"/>
    <w:rsid w:val="002C3E39"/>
    <w:rsid w:val="002C3E5C"/>
    <w:rsid w:val="002C3E6E"/>
    <w:rsid w:val="002C3FB8"/>
    <w:rsid w:val="002C400A"/>
    <w:rsid w:val="002C407F"/>
    <w:rsid w:val="002C40C2"/>
    <w:rsid w:val="002C40D4"/>
    <w:rsid w:val="002C4180"/>
    <w:rsid w:val="002C4184"/>
    <w:rsid w:val="002C43F3"/>
    <w:rsid w:val="002C4404"/>
    <w:rsid w:val="002C44B4"/>
    <w:rsid w:val="002C458E"/>
    <w:rsid w:val="002C473A"/>
    <w:rsid w:val="002C476F"/>
    <w:rsid w:val="002C4950"/>
    <w:rsid w:val="002C49C6"/>
    <w:rsid w:val="002C49D4"/>
    <w:rsid w:val="002C4A18"/>
    <w:rsid w:val="002C4A58"/>
    <w:rsid w:val="002C4A7A"/>
    <w:rsid w:val="002C4C5E"/>
    <w:rsid w:val="002C4C89"/>
    <w:rsid w:val="002C4D27"/>
    <w:rsid w:val="002C4E2B"/>
    <w:rsid w:val="002C4EC3"/>
    <w:rsid w:val="002C4FAA"/>
    <w:rsid w:val="002C5151"/>
    <w:rsid w:val="002C5612"/>
    <w:rsid w:val="002C573C"/>
    <w:rsid w:val="002C5791"/>
    <w:rsid w:val="002C58F2"/>
    <w:rsid w:val="002C5943"/>
    <w:rsid w:val="002C5967"/>
    <w:rsid w:val="002C59DC"/>
    <w:rsid w:val="002C5C73"/>
    <w:rsid w:val="002C5D17"/>
    <w:rsid w:val="002C5D64"/>
    <w:rsid w:val="002C5D96"/>
    <w:rsid w:val="002C5DB2"/>
    <w:rsid w:val="002C5EEF"/>
    <w:rsid w:val="002C604C"/>
    <w:rsid w:val="002C6159"/>
    <w:rsid w:val="002C616C"/>
    <w:rsid w:val="002C625A"/>
    <w:rsid w:val="002C62C6"/>
    <w:rsid w:val="002C62D6"/>
    <w:rsid w:val="002C653F"/>
    <w:rsid w:val="002C6635"/>
    <w:rsid w:val="002C665A"/>
    <w:rsid w:val="002C6767"/>
    <w:rsid w:val="002C6A31"/>
    <w:rsid w:val="002C6A83"/>
    <w:rsid w:val="002C6AD5"/>
    <w:rsid w:val="002C6B30"/>
    <w:rsid w:val="002C6BEC"/>
    <w:rsid w:val="002C6C93"/>
    <w:rsid w:val="002C6C99"/>
    <w:rsid w:val="002C6CAE"/>
    <w:rsid w:val="002C6CCC"/>
    <w:rsid w:val="002C6D4F"/>
    <w:rsid w:val="002C6DFE"/>
    <w:rsid w:val="002C6F78"/>
    <w:rsid w:val="002C6F7C"/>
    <w:rsid w:val="002C6FAE"/>
    <w:rsid w:val="002C70A4"/>
    <w:rsid w:val="002C72BB"/>
    <w:rsid w:val="002C734D"/>
    <w:rsid w:val="002C74B8"/>
    <w:rsid w:val="002C7586"/>
    <w:rsid w:val="002C759E"/>
    <w:rsid w:val="002C7630"/>
    <w:rsid w:val="002C767B"/>
    <w:rsid w:val="002C76DE"/>
    <w:rsid w:val="002C76F3"/>
    <w:rsid w:val="002C7715"/>
    <w:rsid w:val="002C77CE"/>
    <w:rsid w:val="002C78DC"/>
    <w:rsid w:val="002C7969"/>
    <w:rsid w:val="002C79B3"/>
    <w:rsid w:val="002C7B4A"/>
    <w:rsid w:val="002C7BC5"/>
    <w:rsid w:val="002C7D3D"/>
    <w:rsid w:val="002C7D9D"/>
    <w:rsid w:val="002C7DC9"/>
    <w:rsid w:val="002C7E65"/>
    <w:rsid w:val="002C7E82"/>
    <w:rsid w:val="002C7EA1"/>
    <w:rsid w:val="002C7EF4"/>
    <w:rsid w:val="002C7EFF"/>
    <w:rsid w:val="002C7F41"/>
    <w:rsid w:val="002C7FA2"/>
    <w:rsid w:val="002D00FE"/>
    <w:rsid w:val="002D0194"/>
    <w:rsid w:val="002D024A"/>
    <w:rsid w:val="002D02B9"/>
    <w:rsid w:val="002D02E2"/>
    <w:rsid w:val="002D036E"/>
    <w:rsid w:val="002D0505"/>
    <w:rsid w:val="002D0507"/>
    <w:rsid w:val="002D07A4"/>
    <w:rsid w:val="002D0881"/>
    <w:rsid w:val="002D089F"/>
    <w:rsid w:val="002D08E6"/>
    <w:rsid w:val="002D0924"/>
    <w:rsid w:val="002D0934"/>
    <w:rsid w:val="002D09CE"/>
    <w:rsid w:val="002D0A56"/>
    <w:rsid w:val="002D0B83"/>
    <w:rsid w:val="002D0BF4"/>
    <w:rsid w:val="002D0C4B"/>
    <w:rsid w:val="002D0CFF"/>
    <w:rsid w:val="002D0E08"/>
    <w:rsid w:val="002D0F70"/>
    <w:rsid w:val="002D0FF6"/>
    <w:rsid w:val="002D126D"/>
    <w:rsid w:val="002D1271"/>
    <w:rsid w:val="002D12FB"/>
    <w:rsid w:val="002D133E"/>
    <w:rsid w:val="002D13F3"/>
    <w:rsid w:val="002D1520"/>
    <w:rsid w:val="002D1539"/>
    <w:rsid w:val="002D15FC"/>
    <w:rsid w:val="002D1614"/>
    <w:rsid w:val="002D1756"/>
    <w:rsid w:val="002D178D"/>
    <w:rsid w:val="002D17EE"/>
    <w:rsid w:val="002D1907"/>
    <w:rsid w:val="002D1912"/>
    <w:rsid w:val="002D19F5"/>
    <w:rsid w:val="002D1A59"/>
    <w:rsid w:val="002D1BD0"/>
    <w:rsid w:val="002D1C25"/>
    <w:rsid w:val="002D1DA5"/>
    <w:rsid w:val="002D1E95"/>
    <w:rsid w:val="002D1ED7"/>
    <w:rsid w:val="002D1F4E"/>
    <w:rsid w:val="002D1F9F"/>
    <w:rsid w:val="002D1FEC"/>
    <w:rsid w:val="002D2047"/>
    <w:rsid w:val="002D20D0"/>
    <w:rsid w:val="002D211C"/>
    <w:rsid w:val="002D23AF"/>
    <w:rsid w:val="002D2427"/>
    <w:rsid w:val="002D2435"/>
    <w:rsid w:val="002D25C9"/>
    <w:rsid w:val="002D2611"/>
    <w:rsid w:val="002D2716"/>
    <w:rsid w:val="002D27EA"/>
    <w:rsid w:val="002D285F"/>
    <w:rsid w:val="002D29CB"/>
    <w:rsid w:val="002D2B9B"/>
    <w:rsid w:val="002D2CB2"/>
    <w:rsid w:val="002D2CD7"/>
    <w:rsid w:val="002D2D65"/>
    <w:rsid w:val="002D2E09"/>
    <w:rsid w:val="002D2EF4"/>
    <w:rsid w:val="002D2F13"/>
    <w:rsid w:val="002D3180"/>
    <w:rsid w:val="002D31BA"/>
    <w:rsid w:val="002D32BE"/>
    <w:rsid w:val="002D338D"/>
    <w:rsid w:val="002D33B2"/>
    <w:rsid w:val="002D3402"/>
    <w:rsid w:val="002D35F2"/>
    <w:rsid w:val="002D36A4"/>
    <w:rsid w:val="002D36E1"/>
    <w:rsid w:val="002D3752"/>
    <w:rsid w:val="002D3761"/>
    <w:rsid w:val="002D37B3"/>
    <w:rsid w:val="002D385D"/>
    <w:rsid w:val="002D3864"/>
    <w:rsid w:val="002D3A43"/>
    <w:rsid w:val="002D3B78"/>
    <w:rsid w:val="002D3BD9"/>
    <w:rsid w:val="002D3CDD"/>
    <w:rsid w:val="002D3E1E"/>
    <w:rsid w:val="002D3ED5"/>
    <w:rsid w:val="002D405E"/>
    <w:rsid w:val="002D4100"/>
    <w:rsid w:val="002D415B"/>
    <w:rsid w:val="002D41BE"/>
    <w:rsid w:val="002D43D2"/>
    <w:rsid w:val="002D46A5"/>
    <w:rsid w:val="002D46D9"/>
    <w:rsid w:val="002D46F8"/>
    <w:rsid w:val="002D4AF7"/>
    <w:rsid w:val="002D4C19"/>
    <w:rsid w:val="002D4E0E"/>
    <w:rsid w:val="002D4F73"/>
    <w:rsid w:val="002D508C"/>
    <w:rsid w:val="002D50B7"/>
    <w:rsid w:val="002D50FE"/>
    <w:rsid w:val="002D5237"/>
    <w:rsid w:val="002D5378"/>
    <w:rsid w:val="002D53E8"/>
    <w:rsid w:val="002D5543"/>
    <w:rsid w:val="002D55D2"/>
    <w:rsid w:val="002D55D4"/>
    <w:rsid w:val="002D55F6"/>
    <w:rsid w:val="002D5609"/>
    <w:rsid w:val="002D563A"/>
    <w:rsid w:val="002D5819"/>
    <w:rsid w:val="002D5871"/>
    <w:rsid w:val="002D5995"/>
    <w:rsid w:val="002D5B28"/>
    <w:rsid w:val="002D5B4C"/>
    <w:rsid w:val="002D5BC6"/>
    <w:rsid w:val="002D5FAB"/>
    <w:rsid w:val="002D626C"/>
    <w:rsid w:val="002D62ED"/>
    <w:rsid w:val="002D649B"/>
    <w:rsid w:val="002D66B3"/>
    <w:rsid w:val="002D6741"/>
    <w:rsid w:val="002D6784"/>
    <w:rsid w:val="002D6840"/>
    <w:rsid w:val="002D6904"/>
    <w:rsid w:val="002D6918"/>
    <w:rsid w:val="002D6977"/>
    <w:rsid w:val="002D69AB"/>
    <w:rsid w:val="002D69F7"/>
    <w:rsid w:val="002D6A6D"/>
    <w:rsid w:val="002D6B5F"/>
    <w:rsid w:val="002D6C23"/>
    <w:rsid w:val="002D6CA1"/>
    <w:rsid w:val="002D6E80"/>
    <w:rsid w:val="002D6FFF"/>
    <w:rsid w:val="002D7185"/>
    <w:rsid w:val="002D718D"/>
    <w:rsid w:val="002D724B"/>
    <w:rsid w:val="002D7293"/>
    <w:rsid w:val="002D7320"/>
    <w:rsid w:val="002D7328"/>
    <w:rsid w:val="002D7389"/>
    <w:rsid w:val="002D73DB"/>
    <w:rsid w:val="002D740E"/>
    <w:rsid w:val="002D75B4"/>
    <w:rsid w:val="002D7624"/>
    <w:rsid w:val="002D777B"/>
    <w:rsid w:val="002D77E2"/>
    <w:rsid w:val="002D785C"/>
    <w:rsid w:val="002D7887"/>
    <w:rsid w:val="002D79C5"/>
    <w:rsid w:val="002D7A79"/>
    <w:rsid w:val="002D7B77"/>
    <w:rsid w:val="002D7D99"/>
    <w:rsid w:val="002D7E86"/>
    <w:rsid w:val="002D7F2D"/>
    <w:rsid w:val="002D7F44"/>
    <w:rsid w:val="002D7FD2"/>
    <w:rsid w:val="002E008D"/>
    <w:rsid w:val="002E012D"/>
    <w:rsid w:val="002E0163"/>
    <w:rsid w:val="002E01E9"/>
    <w:rsid w:val="002E0207"/>
    <w:rsid w:val="002E026E"/>
    <w:rsid w:val="002E0290"/>
    <w:rsid w:val="002E02A1"/>
    <w:rsid w:val="002E02F2"/>
    <w:rsid w:val="002E050E"/>
    <w:rsid w:val="002E05FC"/>
    <w:rsid w:val="002E0643"/>
    <w:rsid w:val="002E0662"/>
    <w:rsid w:val="002E0671"/>
    <w:rsid w:val="002E06D7"/>
    <w:rsid w:val="002E06F5"/>
    <w:rsid w:val="002E0740"/>
    <w:rsid w:val="002E0812"/>
    <w:rsid w:val="002E0955"/>
    <w:rsid w:val="002E0981"/>
    <w:rsid w:val="002E0A18"/>
    <w:rsid w:val="002E0B30"/>
    <w:rsid w:val="002E0DEB"/>
    <w:rsid w:val="002E0E87"/>
    <w:rsid w:val="002E0EE9"/>
    <w:rsid w:val="002E0F79"/>
    <w:rsid w:val="002E0F90"/>
    <w:rsid w:val="002E1134"/>
    <w:rsid w:val="002E116F"/>
    <w:rsid w:val="002E1251"/>
    <w:rsid w:val="002E13AA"/>
    <w:rsid w:val="002E1401"/>
    <w:rsid w:val="002E14D5"/>
    <w:rsid w:val="002E14DD"/>
    <w:rsid w:val="002E151F"/>
    <w:rsid w:val="002E1551"/>
    <w:rsid w:val="002E161E"/>
    <w:rsid w:val="002E1749"/>
    <w:rsid w:val="002E175C"/>
    <w:rsid w:val="002E187B"/>
    <w:rsid w:val="002E187D"/>
    <w:rsid w:val="002E18BD"/>
    <w:rsid w:val="002E19F9"/>
    <w:rsid w:val="002E1A81"/>
    <w:rsid w:val="002E1A9A"/>
    <w:rsid w:val="002E1DDC"/>
    <w:rsid w:val="002E1EED"/>
    <w:rsid w:val="002E1FED"/>
    <w:rsid w:val="002E207E"/>
    <w:rsid w:val="002E20B4"/>
    <w:rsid w:val="002E2222"/>
    <w:rsid w:val="002E2256"/>
    <w:rsid w:val="002E22AF"/>
    <w:rsid w:val="002E22D4"/>
    <w:rsid w:val="002E22F3"/>
    <w:rsid w:val="002E244B"/>
    <w:rsid w:val="002E24B9"/>
    <w:rsid w:val="002E25E5"/>
    <w:rsid w:val="002E2630"/>
    <w:rsid w:val="002E264A"/>
    <w:rsid w:val="002E27ED"/>
    <w:rsid w:val="002E2857"/>
    <w:rsid w:val="002E29B7"/>
    <w:rsid w:val="002E2A23"/>
    <w:rsid w:val="002E2B56"/>
    <w:rsid w:val="002E2C19"/>
    <w:rsid w:val="002E2F64"/>
    <w:rsid w:val="002E309C"/>
    <w:rsid w:val="002E3166"/>
    <w:rsid w:val="002E32D6"/>
    <w:rsid w:val="002E3316"/>
    <w:rsid w:val="002E3343"/>
    <w:rsid w:val="002E370A"/>
    <w:rsid w:val="002E37A4"/>
    <w:rsid w:val="002E37ED"/>
    <w:rsid w:val="002E3839"/>
    <w:rsid w:val="002E3859"/>
    <w:rsid w:val="002E3D44"/>
    <w:rsid w:val="002E3D4B"/>
    <w:rsid w:val="002E3DD4"/>
    <w:rsid w:val="002E3E5D"/>
    <w:rsid w:val="002E3ED1"/>
    <w:rsid w:val="002E3FB8"/>
    <w:rsid w:val="002E40C2"/>
    <w:rsid w:val="002E43E5"/>
    <w:rsid w:val="002E44A4"/>
    <w:rsid w:val="002E4533"/>
    <w:rsid w:val="002E456D"/>
    <w:rsid w:val="002E4584"/>
    <w:rsid w:val="002E45AE"/>
    <w:rsid w:val="002E4633"/>
    <w:rsid w:val="002E468E"/>
    <w:rsid w:val="002E46D9"/>
    <w:rsid w:val="002E4714"/>
    <w:rsid w:val="002E481D"/>
    <w:rsid w:val="002E4855"/>
    <w:rsid w:val="002E48DF"/>
    <w:rsid w:val="002E4AD9"/>
    <w:rsid w:val="002E4AF2"/>
    <w:rsid w:val="002E4B69"/>
    <w:rsid w:val="002E4B81"/>
    <w:rsid w:val="002E4CDF"/>
    <w:rsid w:val="002E4D36"/>
    <w:rsid w:val="002E4F75"/>
    <w:rsid w:val="002E4FB6"/>
    <w:rsid w:val="002E5270"/>
    <w:rsid w:val="002E5284"/>
    <w:rsid w:val="002E5330"/>
    <w:rsid w:val="002E54B1"/>
    <w:rsid w:val="002E556E"/>
    <w:rsid w:val="002E5676"/>
    <w:rsid w:val="002E5730"/>
    <w:rsid w:val="002E5A37"/>
    <w:rsid w:val="002E5A68"/>
    <w:rsid w:val="002E5AA5"/>
    <w:rsid w:val="002E5AB5"/>
    <w:rsid w:val="002E5B3B"/>
    <w:rsid w:val="002E5CDD"/>
    <w:rsid w:val="002E5D1B"/>
    <w:rsid w:val="002E600A"/>
    <w:rsid w:val="002E60B2"/>
    <w:rsid w:val="002E6212"/>
    <w:rsid w:val="002E62BA"/>
    <w:rsid w:val="002E62C6"/>
    <w:rsid w:val="002E6329"/>
    <w:rsid w:val="002E63E9"/>
    <w:rsid w:val="002E63ED"/>
    <w:rsid w:val="002E6491"/>
    <w:rsid w:val="002E66FB"/>
    <w:rsid w:val="002E684F"/>
    <w:rsid w:val="002E6867"/>
    <w:rsid w:val="002E6897"/>
    <w:rsid w:val="002E689F"/>
    <w:rsid w:val="002E68E4"/>
    <w:rsid w:val="002E6B94"/>
    <w:rsid w:val="002E6C1F"/>
    <w:rsid w:val="002E6CA5"/>
    <w:rsid w:val="002E6CC6"/>
    <w:rsid w:val="002E6D44"/>
    <w:rsid w:val="002E6D66"/>
    <w:rsid w:val="002E6DA1"/>
    <w:rsid w:val="002E6F26"/>
    <w:rsid w:val="002E6F45"/>
    <w:rsid w:val="002E6F72"/>
    <w:rsid w:val="002E735E"/>
    <w:rsid w:val="002E73B3"/>
    <w:rsid w:val="002E7443"/>
    <w:rsid w:val="002E7591"/>
    <w:rsid w:val="002E75D8"/>
    <w:rsid w:val="002E762F"/>
    <w:rsid w:val="002E7721"/>
    <w:rsid w:val="002E7756"/>
    <w:rsid w:val="002E7957"/>
    <w:rsid w:val="002E7AFC"/>
    <w:rsid w:val="002E7D2A"/>
    <w:rsid w:val="002E7D3B"/>
    <w:rsid w:val="002E7D7B"/>
    <w:rsid w:val="002E7DA9"/>
    <w:rsid w:val="002E7FEB"/>
    <w:rsid w:val="002F009F"/>
    <w:rsid w:val="002F00EB"/>
    <w:rsid w:val="002F01E5"/>
    <w:rsid w:val="002F02B0"/>
    <w:rsid w:val="002F02CF"/>
    <w:rsid w:val="002F034D"/>
    <w:rsid w:val="002F040B"/>
    <w:rsid w:val="002F042E"/>
    <w:rsid w:val="002F071B"/>
    <w:rsid w:val="002F0736"/>
    <w:rsid w:val="002F0797"/>
    <w:rsid w:val="002F0877"/>
    <w:rsid w:val="002F0BF8"/>
    <w:rsid w:val="002F0C49"/>
    <w:rsid w:val="002F0C64"/>
    <w:rsid w:val="002F0F3B"/>
    <w:rsid w:val="002F0FDB"/>
    <w:rsid w:val="002F106C"/>
    <w:rsid w:val="002F1095"/>
    <w:rsid w:val="002F115B"/>
    <w:rsid w:val="002F115F"/>
    <w:rsid w:val="002F1288"/>
    <w:rsid w:val="002F1476"/>
    <w:rsid w:val="002F14F1"/>
    <w:rsid w:val="002F1613"/>
    <w:rsid w:val="002F164D"/>
    <w:rsid w:val="002F1682"/>
    <w:rsid w:val="002F16E6"/>
    <w:rsid w:val="002F1712"/>
    <w:rsid w:val="002F17B1"/>
    <w:rsid w:val="002F17ED"/>
    <w:rsid w:val="002F17F4"/>
    <w:rsid w:val="002F1962"/>
    <w:rsid w:val="002F1A45"/>
    <w:rsid w:val="002F1A97"/>
    <w:rsid w:val="002F1B04"/>
    <w:rsid w:val="002F1C14"/>
    <w:rsid w:val="002F1C4C"/>
    <w:rsid w:val="002F1D17"/>
    <w:rsid w:val="002F1D53"/>
    <w:rsid w:val="002F1F3B"/>
    <w:rsid w:val="002F2090"/>
    <w:rsid w:val="002F2192"/>
    <w:rsid w:val="002F21F8"/>
    <w:rsid w:val="002F2302"/>
    <w:rsid w:val="002F2305"/>
    <w:rsid w:val="002F231D"/>
    <w:rsid w:val="002F2488"/>
    <w:rsid w:val="002F2646"/>
    <w:rsid w:val="002F2701"/>
    <w:rsid w:val="002F2713"/>
    <w:rsid w:val="002F2798"/>
    <w:rsid w:val="002F279E"/>
    <w:rsid w:val="002F2A99"/>
    <w:rsid w:val="002F2CC6"/>
    <w:rsid w:val="002F2D32"/>
    <w:rsid w:val="002F2D63"/>
    <w:rsid w:val="002F2F33"/>
    <w:rsid w:val="002F30AA"/>
    <w:rsid w:val="002F314F"/>
    <w:rsid w:val="002F32E7"/>
    <w:rsid w:val="002F3324"/>
    <w:rsid w:val="002F340D"/>
    <w:rsid w:val="002F34B7"/>
    <w:rsid w:val="002F34BB"/>
    <w:rsid w:val="002F3540"/>
    <w:rsid w:val="002F35BB"/>
    <w:rsid w:val="002F37FD"/>
    <w:rsid w:val="002F380A"/>
    <w:rsid w:val="002F38A3"/>
    <w:rsid w:val="002F38D5"/>
    <w:rsid w:val="002F394A"/>
    <w:rsid w:val="002F3AEF"/>
    <w:rsid w:val="002F3B98"/>
    <w:rsid w:val="002F3BDE"/>
    <w:rsid w:val="002F3C28"/>
    <w:rsid w:val="002F3C2A"/>
    <w:rsid w:val="002F3D7F"/>
    <w:rsid w:val="002F3DA2"/>
    <w:rsid w:val="002F3E39"/>
    <w:rsid w:val="002F3F19"/>
    <w:rsid w:val="002F3FC1"/>
    <w:rsid w:val="002F4059"/>
    <w:rsid w:val="002F419F"/>
    <w:rsid w:val="002F41FE"/>
    <w:rsid w:val="002F431D"/>
    <w:rsid w:val="002F4429"/>
    <w:rsid w:val="002F444A"/>
    <w:rsid w:val="002F4520"/>
    <w:rsid w:val="002F457F"/>
    <w:rsid w:val="002F45B4"/>
    <w:rsid w:val="002F45C8"/>
    <w:rsid w:val="002F45F6"/>
    <w:rsid w:val="002F4611"/>
    <w:rsid w:val="002F46B8"/>
    <w:rsid w:val="002F48BD"/>
    <w:rsid w:val="002F48D7"/>
    <w:rsid w:val="002F49CD"/>
    <w:rsid w:val="002F4AC8"/>
    <w:rsid w:val="002F4AC9"/>
    <w:rsid w:val="002F4B1B"/>
    <w:rsid w:val="002F4B34"/>
    <w:rsid w:val="002F4CE2"/>
    <w:rsid w:val="002F4CE3"/>
    <w:rsid w:val="002F4E04"/>
    <w:rsid w:val="002F4F5F"/>
    <w:rsid w:val="002F4F7E"/>
    <w:rsid w:val="002F5007"/>
    <w:rsid w:val="002F50B4"/>
    <w:rsid w:val="002F51AC"/>
    <w:rsid w:val="002F5301"/>
    <w:rsid w:val="002F54D7"/>
    <w:rsid w:val="002F5529"/>
    <w:rsid w:val="002F5531"/>
    <w:rsid w:val="002F55D1"/>
    <w:rsid w:val="002F561C"/>
    <w:rsid w:val="002F56DE"/>
    <w:rsid w:val="002F5A0B"/>
    <w:rsid w:val="002F5B09"/>
    <w:rsid w:val="002F5B1B"/>
    <w:rsid w:val="002F5B6A"/>
    <w:rsid w:val="002F5DD9"/>
    <w:rsid w:val="002F5E3C"/>
    <w:rsid w:val="002F5EF9"/>
    <w:rsid w:val="002F5F03"/>
    <w:rsid w:val="002F6105"/>
    <w:rsid w:val="002F61F8"/>
    <w:rsid w:val="002F62F0"/>
    <w:rsid w:val="002F6586"/>
    <w:rsid w:val="002F65F9"/>
    <w:rsid w:val="002F6629"/>
    <w:rsid w:val="002F670D"/>
    <w:rsid w:val="002F673A"/>
    <w:rsid w:val="002F6780"/>
    <w:rsid w:val="002F67EB"/>
    <w:rsid w:val="002F68EF"/>
    <w:rsid w:val="002F6938"/>
    <w:rsid w:val="002F6949"/>
    <w:rsid w:val="002F69DE"/>
    <w:rsid w:val="002F6A1A"/>
    <w:rsid w:val="002F6A2B"/>
    <w:rsid w:val="002F6AC9"/>
    <w:rsid w:val="002F6BAD"/>
    <w:rsid w:val="002F6DB1"/>
    <w:rsid w:val="002F6ED6"/>
    <w:rsid w:val="002F6FE0"/>
    <w:rsid w:val="002F7088"/>
    <w:rsid w:val="002F7179"/>
    <w:rsid w:val="002F71A0"/>
    <w:rsid w:val="002F721E"/>
    <w:rsid w:val="002F7230"/>
    <w:rsid w:val="002F7455"/>
    <w:rsid w:val="002F74F8"/>
    <w:rsid w:val="002F75D9"/>
    <w:rsid w:val="002F75F5"/>
    <w:rsid w:val="002F78AA"/>
    <w:rsid w:val="002F7941"/>
    <w:rsid w:val="002F79AE"/>
    <w:rsid w:val="002F7AD1"/>
    <w:rsid w:val="002F7AF2"/>
    <w:rsid w:val="002F7C1D"/>
    <w:rsid w:val="002F7C97"/>
    <w:rsid w:val="002F7DF9"/>
    <w:rsid w:val="002F7E5D"/>
    <w:rsid w:val="002F7EEC"/>
    <w:rsid w:val="002F7EF8"/>
    <w:rsid w:val="002F7FBC"/>
    <w:rsid w:val="00300186"/>
    <w:rsid w:val="003001D4"/>
    <w:rsid w:val="003001E7"/>
    <w:rsid w:val="0030037F"/>
    <w:rsid w:val="003003B6"/>
    <w:rsid w:val="0030049A"/>
    <w:rsid w:val="003004CC"/>
    <w:rsid w:val="003004CD"/>
    <w:rsid w:val="00300661"/>
    <w:rsid w:val="0030099E"/>
    <w:rsid w:val="003009E2"/>
    <w:rsid w:val="00300A2A"/>
    <w:rsid w:val="00300A68"/>
    <w:rsid w:val="00300BB1"/>
    <w:rsid w:val="00300D41"/>
    <w:rsid w:val="00300D5C"/>
    <w:rsid w:val="00300FA0"/>
    <w:rsid w:val="00300FEF"/>
    <w:rsid w:val="00301061"/>
    <w:rsid w:val="003010C0"/>
    <w:rsid w:val="003010E0"/>
    <w:rsid w:val="003011AC"/>
    <w:rsid w:val="003012DE"/>
    <w:rsid w:val="0030141E"/>
    <w:rsid w:val="00301499"/>
    <w:rsid w:val="003014E5"/>
    <w:rsid w:val="00301597"/>
    <w:rsid w:val="00301638"/>
    <w:rsid w:val="0030170C"/>
    <w:rsid w:val="0030176C"/>
    <w:rsid w:val="003017F3"/>
    <w:rsid w:val="0030196C"/>
    <w:rsid w:val="00301A68"/>
    <w:rsid w:val="00301C44"/>
    <w:rsid w:val="00301C67"/>
    <w:rsid w:val="00301C79"/>
    <w:rsid w:val="00301C89"/>
    <w:rsid w:val="00301D18"/>
    <w:rsid w:val="00301D31"/>
    <w:rsid w:val="00301E0E"/>
    <w:rsid w:val="00302073"/>
    <w:rsid w:val="003020A0"/>
    <w:rsid w:val="00302126"/>
    <w:rsid w:val="00302218"/>
    <w:rsid w:val="003026F3"/>
    <w:rsid w:val="00302716"/>
    <w:rsid w:val="00302961"/>
    <w:rsid w:val="00302972"/>
    <w:rsid w:val="00302987"/>
    <w:rsid w:val="003029E4"/>
    <w:rsid w:val="003029EA"/>
    <w:rsid w:val="00302B20"/>
    <w:rsid w:val="00302B44"/>
    <w:rsid w:val="00302B54"/>
    <w:rsid w:val="00302B7E"/>
    <w:rsid w:val="00302BE3"/>
    <w:rsid w:val="00302C73"/>
    <w:rsid w:val="00302C7B"/>
    <w:rsid w:val="00302D91"/>
    <w:rsid w:val="00302E4C"/>
    <w:rsid w:val="00302FC9"/>
    <w:rsid w:val="003030AB"/>
    <w:rsid w:val="003031B2"/>
    <w:rsid w:val="003032B6"/>
    <w:rsid w:val="0030333E"/>
    <w:rsid w:val="0030337A"/>
    <w:rsid w:val="00303517"/>
    <w:rsid w:val="003035CE"/>
    <w:rsid w:val="003037BE"/>
    <w:rsid w:val="00303AC1"/>
    <w:rsid w:val="00303ACC"/>
    <w:rsid w:val="00303B2B"/>
    <w:rsid w:val="00303B3C"/>
    <w:rsid w:val="00303B4B"/>
    <w:rsid w:val="00303B66"/>
    <w:rsid w:val="00303BA3"/>
    <w:rsid w:val="00303BAB"/>
    <w:rsid w:val="00303BEF"/>
    <w:rsid w:val="00303D4C"/>
    <w:rsid w:val="00303DA7"/>
    <w:rsid w:val="00303FE8"/>
    <w:rsid w:val="00304056"/>
    <w:rsid w:val="0030406D"/>
    <w:rsid w:val="003040CF"/>
    <w:rsid w:val="00304146"/>
    <w:rsid w:val="003041DD"/>
    <w:rsid w:val="003042AC"/>
    <w:rsid w:val="0030437D"/>
    <w:rsid w:val="003043D4"/>
    <w:rsid w:val="00304529"/>
    <w:rsid w:val="0030458C"/>
    <w:rsid w:val="0030458F"/>
    <w:rsid w:val="0030467F"/>
    <w:rsid w:val="003046F1"/>
    <w:rsid w:val="00304727"/>
    <w:rsid w:val="0030498A"/>
    <w:rsid w:val="00304A92"/>
    <w:rsid w:val="00304B23"/>
    <w:rsid w:val="00304D48"/>
    <w:rsid w:val="00304DD2"/>
    <w:rsid w:val="00304DD9"/>
    <w:rsid w:val="00304E96"/>
    <w:rsid w:val="00304F7D"/>
    <w:rsid w:val="00305078"/>
    <w:rsid w:val="0030511D"/>
    <w:rsid w:val="0030512C"/>
    <w:rsid w:val="0030527D"/>
    <w:rsid w:val="00305459"/>
    <w:rsid w:val="0030558F"/>
    <w:rsid w:val="0030559C"/>
    <w:rsid w:val="00305635"/>
    <w:rsid w:val="00305721"/>
    <w:rsid w:val="003057AC"/>
    <w:rsid w:val="003057AF"/>
    <w:rsid w:val="003057E7"/>
    <w:rsid w:val="0030594B"/>
    <w:rsid w:val="003059F9"/>
    <w:rsid w:val="00305A39"/>
    <w:rsid w:val="00305B04"/>
    <w:rsid w:val="00305B6D"/>
    <w:rsid w:val="00305B9A"/>
    <w:rsid w:val="00305DE8"/>
    <w:rsid w:val="00305F36"/>
    <w:rsid w:val="00305F38"/>
    <w:rsid w:val="00305F6B"/>
    <w:rsid w:val="00305FC7"/>
    <w:rsid w:val="00306094"/>
    <w:rsid w:val="003063AE"/>
    <w:rsid w:val="003063C2"/>
    <w:rsid w:val="003064B0"/>
    <w:rsid w:val="0030656D"/>
    <w:rsid w:val="00306579"/>
    <w:rsid w:val="0030669C"/>
    <w:rsid w:val="00306ACC"/>
    <w:rsid w:val="00306C80"/>
    <w:rsid w:val="00306CA1"/>
    <w:rsid w:val="00306D3D"/>
    <w:rsid w:val="00306D66"/>
    <w:rsid w:val="00306D95"/>
    <w:rsid w:val="00306DB1"/>
    <w:rsid w:val="00306F19"/>
    <w:rsid w:val="00306F3D"/>
    <w:rsid w:val="00306F68"/>
    <w:rsid w:val="00307085"/>
    <w:rsid w:val="003071B5"/>
    <w:rsid w:val="00307412"/>
    <w:rsid w:val="003074A0"/>
    <w:rsid w:val="00307804"/>
    <w:rsid w:val="0030782A"/>
    <w:rsid w:val="00307948"/>
    <w:rsid w:val="003079A0"/>
    <w:rsid w:val="00307A27"/>
    <w:rsid w:val="00307ABA"/>
    <w:rsid w:val="00307ABD"/>
    <w:rsid w:val="00307C55"/>
    <w:rsid w:val="00307D17"/>
    <w:rsid w:val="00307D96"/>
    <w:rsid w:val="00307DD5"/>
    <w:rsid w:val="00307E3B"/>
    <w:rsid w:val="00307F34"/>
    <w:rsid w:val="00307F44"/>
    <w:rsid w:val="00307FE7"/>
    <w:rsid w:val="0031002C"/>
    <w:rsid w:val="003101B0"/>
    <w:rsid w:val="00310284"/>
    <w:rsid w:val="003102BE"/>
    <w:rsid w:val="0031030E"/>
    <w:rsid w:val="0031039C"/>
    <w:rsid w:val="003105C2"/>
    <w:rsid w:val="00310740"/>
    <w:rsid w:val="003107D4"/>
    <w:rsid w:val="00310806"/>
    <w:rsid w:val="003109DE"/>
    <w:rsid w:val="003109FE"/>
    <w:rsid w:val="00310A93"/>
    <w:rsid w:val="00310B12"/>
    <w:rsid w:val="00310BE8"/>
    <w:rsid w:val="00310BF1"/>
    <w:rsid w:val="00310D22"/>
    <w:rsid w:val="00310D2B"/>
    <w:rsid w:val="00310D74"/>
    <w:rsid w:val="00310E0D"/>
    <w:rsid w:val="00310E3B"/>
    <w:rsid w:val="00310E64"/>
    <w:rsid w:val="00310EEA"/>
    <w:rsid w:val="00311068"/>
    <w:rsid w:val="0031108B"/>
    <w:rsid w:val="003110ED"/>
    <w:rsid w:val="0031129E"/>
    <w:rsid w:val="003113AB"/>
    <w:rsid w:val="003113C1"/>
    <w:rsid w:val="00311462"/>
    <w:rsid w:val="0031146E"/>
    <w:rsid w:val="00311471"/>
    <w:rsid w:val="00311795"/>
    <w:rsid w:val="00311941"/>
    <w:rsid w:val="00311A57"/>
    <w:rsid w:val="00311A9A"/>
    <w:rsid w:val="00311BE2"/>
    <w:rsid w:val="00311DCF"/>
    <w:rsid w:val="00311E22"/>
    <w:rsid w:val="00311E60"/>
    <w:rsid w:val="00311EE0"/>
    <w:rsid w:val="00311FCF"/>
    <w:rsid w:val="00312073"/>
    <w:rsid w:val="00312081"/>
    <w:rsid w:val="003121A3"/>
    <w:rsid w:val="0031226C"/>
    <w:rsid w:val="003122EA"/>
    <w:rsid w:val="00312348"/>
    <w:rsid w:val="003123A5"/>
    <w:rsid w:val="003124AB"/>
    <w:rsid w:val="003126E9"/>
    <w:rsid w:val="003127EE"/>
    <w:rsid w:val="003128F2"/>
    <w:rsid w:val="00312A7B"/>
    <w:rsid w:val="00312B96"/>
    <w:rsid w:val="00312C33"/>
    <w:rsid w:val="00312C69"/>
    <w:rsid w:val="00312C7D"/>
    <w:rsid w:val="00312CC0"/>
    <w:rsid w:val="00312DB1"/>
    <w:rsid w:val="00312DEF"/>
    <w:rsid w:val="00312F2A"/>
    <w:rsid w:val="00312F88"/>
    <w:rsid w:val="00313080"/>
    <w:rsid w:val="003130D4"/>
    <w:rsid w:val="00313143"/>
    <w:rsid w:val="003132A8"/>
    <w:rsid w:val="003138C8"/>
    <w:rsid w:val="00313F95"/>
    <w:rsid w:val="00314005"/>
    <w:rsid w:val="003140F8"/>
    <w:rsid w:val="0031431A"/>
    <w:rsid w:val="0031466C"/>
    <w:rsid w:val="003146B9"/>
    <w:rsid w:val="00314823"/>
    <w:rsid w:val="0031487C"/>
    <w:rsid w:val="0031492B"/>
    <w:rsid w:val="0031494C"/>
    <w:rsid w:val="00314970"/>
    <w:rsid w:val="00314A0B"/>
    <w:rsid w:val="00314A6D"/>
    <w:rsid w:val="00314AA7"/>
    <w:rsid w:val="00314B7E"/>
    <w:rsid w:val="00314BC1"/>
    <w:rsid w:val="00314BF4"/>
    <w:rsid w:val="00314D0D"/>
    <w:rsid w:val="003152A4"/>
    <w:rsid w:val="003152BC"/>
    <w:rsid w:val="0031536B"/>
    <w:rsid w:val="003153EE"/>
    <w:rsid w:val="00315467"/>
    <w:rsid w:val="003154A9"/>
    <w:rsid w:val="00315516"/>
    <w:rsid w:val="00315556"/>
    <w:rsid w:val="0031566A"/>
    <w:rsid w:val="00315695"/>
    <w:rsid w:val="003156AD"/>
    <w:rsid w:val="00315A4B"/>
    <w:rsid w:val="00315AA4"/>
    <w:rsid w:val="00315E97"/>
    <w:rsid w:val="00315EA0"/>
    <w:rsid w:val="00315F65"/>
    <w:rsid w:val="00316107"/>
    <w:rsid w:val="00316115"/>
    <w:rsid w:val="0031611C"/>
    <w:rsid w:val="00316124"/>
    <w:rsid w:val="00316133"/>
    <w:rsid w:val="0031626A"/>
    <w:rsid w:val="003162A1"/>
    <w:rsid w:val="003162C6"/>
    <w:rsid w:val="003162CA"/>
    <w:rsid w:val="00316336"/>
    <w:rsid w:val="0031648D"/>
    <w:rsid w:val="00316540"/>
    <w:rsid w:val="00316637"/>
    <w:rsid w:val="00316827"/>
    <w:rsid w:val="0031697A"/>
    <w:rsid w:val="0031697C"/>
    <w:rsid w:val="00316B08"/>
    <w:rsid w:val="00316B90"/>
    <w:rsid w:val="00316C2E"/>
    <w:rsid w:val="00316DE5"/>
    <w:rsid w:val="00316DFE"/>
    <w:rsid w:val="00316E02"/>
    <w:rsid w:val="00316EBB"/>
    <w:rsid w:val="00316FB8"/>
    <w:rsid w:val="00316FCC"/>
    <w:rsid w:val="00316FDF"/>
    <w:rsid w:val="00316FEE"/>
    <w:rsid w:val="0031707B"/>
    <w:rsid w:val="00317097"/>
    <w:rsid w:val="00317110"/>
    <w:rsid w:val="00317358"/>
    <w:rsid w:val="00317375"/>
    <w:rsid w:val="003173D8"/>
    <w:rsid w:val="0031744D"/>
    <w:rsid w:val="0031771B"/>
    <w:rsid w:val="00317798"/>
    <w:rsid w:val="0031787E"/>
    <w:rsid w:val="00317923"/>
    <w:rsid w:val="003179E6"/>
    <w:rsid w:val="00317A33"/>
    <w:rsid w:val="00317B52"/>
    <w:rsid w:val="00317B97"/>
    <w:rsid w:val="00317C65"/>
    <w:rsid w:val="00317D0C"/>
    <w:rsid w:val="00317EB2"/>
    <w:rsid w:val="00317FEA"/>
    <w:rsid w:val="00320198"/>
    <w:rsid w:val="003201C8"/>
    <w:rsid w:val="003202D7"/>
    <w:rsid w:val="0032049F"/>
    <w:rsid w:val="003204F2"/>
    <w:rsid w:val="00320509"/>
    <w:rsid w:val="003206B5"/>
    <w:rsid w:val="00320951"/>
    <w:rsid w:val="003209AF"/>
    <w:rsid w:val="00320A91"/>
    <w:rsid w:val="00320ADA"/>
    <w:rsid w:val="00320BB1"/>
    <w:rsid w:val="00320C77"/>
    <w:rsid w:val="00320C81"/>
    <w:rsid w:val="00320C8D"/>
    <w:rsid w:val="00320CB0"/>
    <w:rsid w:val="00320D20"/>
    <w:rsid w:val="00320F15"/>
    <w:rsid w:val="00320F45"/>
    <w:rsid w:val="00320F5A"/>
    <w:rsid w:val="00320FA8"/>
    <w:rsid w:val="00320FE0"/>
    <w:rsid w:val="0032106C"/>
    <w:rsid w:val="00321116"/>
    <w:rsid w:val="00321119"/>
    <w:rsid w:val="0032120F"/>
    <w:rsid w:val="003212D1"/>
    <w:rsid w:val="00321408"/>
    <w:rsid w:val="00321690"/>
    <w:rsid w:val="00321732"/>
    <w:rsid w:val="003217E7"/>
    <w:rsid w:val="0032189D"/>
    <w:rsid w:val="003219BF"/>
    <w:rsid w:val="00321A59"/>
    <w:rsid w:val="00321B68"/>
    <w:rsid w:val="00321BAE"/>
    <w:rsid w:val="00321BFA"/>
    <w:rsid w:val="00321C47"/>
    <w:rsid w:val="00321CDC"/>
    <w:rsid w:val="00321D38"/>
    <w:rsid w:val="00321DB1"/>
    <w:rsid w:val="00321DE7"/>
    <w:rsid w:val="00321E1D"/>
    <w:rsid w:val="00321E20"/>
    <w:rsid w:val="00321E2B"/>
    <w:rsid w:val="00321EF5"/>
    <w:rsid w:val="00321F6A"/>
    <w:rsid w:val="00321F96"/>
    <w:rsid w:val="00321FBC"/>
    <w:rsid w:val="003220F0"/>
    <w:rsid w:val="00322126"/>
    <w:rsid w:val="00322169"/>
    <w:rsid w:val="003221BE"/>
    <w:rsid w:val="00322220"/>
    <w:rsid w:val="00322256"/>
    <w:rsid w:val="00322309"/>
    <w:rsid w:val="0032234D"/>
    <w:rsid w:val="00322361"/>
    <w:rsid w:val="003223ED"/>
    <w:rsid w:val="00322413"/>
    <w:rsid w:val="00322518"/>
    <w:rsid w:val="003225AD"/>
    <w:rsid w:val="003226FA"/>
    <w:rsid w:val="003226FE"/>
    <w:rsid w:val="0032273A"/>
    <w:rsid w:val="003227AB"/>
    <w:rsid w:val="00322826"/>
    <w:rsid w:val="00322861"/>
    <w:rsid w:val="00322862"/>
    <w:rsid w:val="003229B6"/>
    <w:rsid w:val="003229F8"/>
    <w:rsid w:val="00322BD3"/>
    <w:rsid w:val="00322C9B"/>
    <w:rsid w:val="00322CAF"/>
    <w:rsid w:val="00322D72"/>
    <w:rsid w:val="00322DB9"/>
    <w:rsid w:val="00323092"/>
    <w:rsid w:val="003230F4"/>
    <w:rsid w:val="003232B5"/>
    <w:rsid w:val="0032337A"/>
    <w:rsid w:val="003233A7"/>
    <w:rsid w:val="00323407"/>
    <w:rsid w:val="003234B1"/>
    <w:rsid w:val="003234C9"/>
    <w:rsid w:val="003234D6"/>
    <w:rsid w:val="00323555"/>
    <w:rsid w:val="003235C8"/>
    <w:rsid w:val="00323609"/>
    <w:rsid w:val="00323686"/>
    <w:rsid w:val="003236DE"/>
    <w:rsid w:val="0032378B"/>
    <w:rsid w:val="00323853"/>
    <w:rsid w:val="00323876"/>
    <w:rsid w:val="0032391A"/>
    <w:rsid w:val="00323B3F"/>
    <w:rsid w:val="00323B55"/>
    <w:rsid w:val="00323B86"/>
    <w:rsid w:val="00323C21"/>
    <w:rsid w:val="00323D03"/>
    <w:rsid w:val="00323F55"/>
    <w:rsid w:val="00323F9A"/>
    <w:rsid w:val="00323FF4"/>
    <w:rsid w:val="0032410E"/>
    <w:rsid w:val="0032413B"/>
    <w:rsid w:val="003242DB"/>
    <w:rsid w:val="003244AF"/>
    <w:rsid w:val="003244D4"/>
    <w:rsid w:val="00324890"/>
    <w:rsid w:val="00324960"/>
    <w:rsid w:val="00324B93"/>
    <w:rsid w:val="00324C00"/>
    <w:rsid w:val="00324DE6"/>
    <w:rsid w:val="00324FB4"/>
    <w:rsid w:val="00324FC9"/>
    <w:rsid w:val="00325159"/>
    <w:rsid w:val="0032539B"/>
    <w:rsid w:val="003253C5"/>
    <w:rsid w:val="00325520"/>
    <w:rsid w:val="003255A9"/>
    <w:rsid w:val="003255D2"/>
    <w:rsid w:val="003256CE"/>
    <w:rsid w:val="003256FD"/>
    <w:rsid w:val="0032570D"/>
    <w:rsid w:val="0032570F"/>
    <w:rsid w:val="00325807"/>
    <w:rsid w:val="003258F9"/>
    <w:rsid w:val="00325940"/>
    <w:rsid w:val="00325CC2"/>
    <w:rsid w:val="00325CC9"/>
    <w:rsid w:val="00325FD1"/>
    <w:rsid w:val="00325FDE"/>
    <w:rsid w:val="003262AB"/>
    <w:rsid w:val="00326389"/>
    <w:rsid w:val="0032644A"/>
    <w:rsid w:val="003264E4"/>
    <w:rsid w:val="0032653E"/>
    <w:rsid w:val="003266B5"/>
    <w:rsid w:val="00326736"/>
    <w:rsid w:val="00326924"/>
    <w:rsid w:val="003269DF"/>
    <w:rsid w:val="00326A55"/>
    <w:rsid w:val="00326A9F"/>
    <w:rsid w:val="00326D0D"/>
    <w:rsid w:val="00326E94"/>
    <w:rsid w:val="00326FAB"/>
    <w:rsid w:val="00326FFA"/>
    <w:rsid w:val="003271C4"/>
    <w:rsid w:val="003271F4"/>
    <w:rsid w:val="003271F9"/>
    <w:rsid w:val="00327258"/>
    <w:rsid w:val="00327335"/>
    <w:rsid w:val="00327419"/>
    <w:rsid w:val="003275C3"/>
    <w:rsid w:val="0032796F"/>
    <w:rsid w:val="0032797F"/>
    <w:rsid w:val="00327A12"/>
    <w:rsid w:val="00327C0F"/>
    <w:rsid w:val="00327D02"/>
    <w:rsid w:val="00327F5C"/>
    <w:rsid w:val="0032913F"/>
    <w:rsid w:val="0032DD47"/>
    <w:rsid w:val="003301E8"/>
    <w:rsid w:val="00330229"/>
    <w:rsid w:val="00330483"/>
    <w:rsid w:val="003304F7"/>
    <w:rsid w:val="003304FC"/>
    <w:rsid w:val="00330596"/>
    <w:rsid w:val="00330696"/>
    <w:rsid w:val="0033073C"/>
    <w:rsid w:val="0033079A"/>
    <w:rsid w:val="003307A7"/>
    <w:rsid w:val="00330813"/>
    <w:rsid w:val="003308E8"/>
    <w:rsid w:val="00330A35"/>
    <w:rsid w:val="00330C58"/>
    <w:rsid w:val="00330E20"/>
    <w:rsid w:val="00330E6B"/>
    <w:rsid w:val="00330EAD"/>
    <w:rsid w:val="00331012"/>
    <w:rsid w:val="003310F3"/>
    <w:rsid w:val="0033130D"/>
    <w:rsid w:val="003313AA"/>
    <w:rsid w:val="00331508"/>
    <w:rsid w:val="003315E4"/>
    <w:rsid w:val="00331683"/>
    <w:rsid w:val="0033171C"/>
    <w:rsid w:val="0033171F"/>
    <w:rsid w:val="00331900"/>
    <w:rsid w:val="00331905"/>
    <w:rsid w:val="00331A0C"/>
    <w:rsid w:val="00331A12"/>
    <w:rsid w:val="00331A81"/>
    <w:rsid w:val="00331B4F"/>
    <w:rsid w:val="00331BED"/>
    <w:rsid w:val="00331C28"/>
    <w:rsid w:val="00331C2D"/>
    <w:rsid w:val="00331E28"/>
    <w:rsid w:val="00331E2D"/>
    <w:rsid w:val="00331E66"/>
    <w:rsid w:val="00331EC2"/>
    <w:rsid w:val="00331FCF"/>
    <w:rsid w:val="0033201F"/>
    <w:rsid w:val="003320AE"/>
    <w:rsid w:val="0033211A"/>
    <w:rsid w:val="00332154"/>
    <w:rsid w:val="00332247"/>
    <w:rsid w:val="003322AD"/>
    <w:rsid w:val="00332342"/>
    <w:rsid w:val="00332416"/>
    <w:rsid w:val="00332471"/>
    <w:rsid w:val="003325CB"/>
    <w:rsid w:val="003325D4"/>
    <w:rsid w:val="00332606"/>
    <w:rsid w:val="00332616"/>
    <w:rsid w:val="00332652"/>
    <w:rsid w:val="00332665"/>
    <w:rsid w:val="00332688"/>
    <w:rsid w:val="00332800"/>
    <w:rsid w:val="0033280E"/>
    <w:rsid w:val="00332895"/>
    <w:rsid w:val="00332967"/>
    <w:rsid w:val="00332A6A"/>
    <w:rsid w:val="00332AD4"/>
    <w:rsid w:val="00332BA3"/>
    <w:rsid w:val="00332BD7"/>
    <w:rsid w:val="00332DAA"/>
    <w:rsid w:val="00332DD5"/>
    <w:rsid w:val="00332EC0"/>
    <w:rsid w:val="00332F2D"/>
    <w:rsid w:val="00332F32"/>
    <w:rsid w:val="00332F61"/>
    <w:rsid w:val="00332F9B"/>
    <w:rsid w:val="00332FB4"/>
    <w:rsid w:val="0033303E"/>
    <w:rsid w:val="0033314B"/>
    <w:rsid w:val="0033324A"/>
    <w:rsid w:val="0033327D"/>
    <w:rsid w:val="0033336C"/>
    <w:rsid w:val="0033336E"/>
    <w:rsid w:val="0033337F"/>
    <w:rsid w:val="003333A9"/>
    <w:rsid w:val="00333414"/>
    <w:rsid w:val="0033344A"/>
    <w:rsid w:val="003334D7"/>
    <w:rsid w:val="0033355D"/>
    <w:rsid w:val="003335AD"/>
    <w:rsid w:val="003335B8"/>
    <w:rsid w:val="003336C6"/>
    <w:rsid w:val="00333864"/>
    <w:rsid w:val="003338B0"/>
    <w:rsid w:val="0033393C"/>
    <w:rsid w:val="003339B9"/>
    <w:rsid w:val="00333A74"/>
    <w:rsid w:val="00333ADB"/>
    <w:rsid w:val="00333B71"/>
    <w:rsid w:val="00333BD3"/>
    <w:rsid w:val="00333CC3"/>
    <w:rsid w:val="00333E98"/>
    <w:rsid w:val="00333F88"/>
    <w:rsid w:val="00333F97"/>
    <w:rsid w:val="00333FAA"/>
    <w:rsid w:val="00333FE2"/>
    <w:rsid w:val="00334157"/>
    <w:rsid w:val="003341C9"/>
    <w:rsid w:val="0033430E"/>
    <w:rsid w:val="00334319"/>
    <w:rsid w:val="00334322"/>
    <w:rsid w:val="00334353"/>
    <w:rsid w:val="0033445D"/>
    <w:rsid w:val="00334481"/>
    <w:rsid w:val="003345F6"/>
    <w:rsid w:val="00334651"/>
    <w:rsid w:val="00334661"/>
    <w:rsid w:val="0033481B"/>
    <w:rsid w:val="0033485E"/>
    <w:rsid w:val="00334869"/>
    <w:rsid w:val="003348EF"/>
    <w:rsid w:val="00334917"/>
    <w:rsid w:val="00334965"/>
    <w:rsid w:val="00334A58"/>
    <w:rsid w:val="00334C77"/>
    <w:rsid w:val="00334C9F"/>
    <w:rsid w:val="00334CB8"/>
    <w:rsid w:val="00334CE4"/>
    <w:rsid w:val="00334CEF"/>
    <w:rsid w:val="00334FE0"/>
    <w:rsid w:val="00335047"/>
    <w:rsid w:val="00335100"/>
    <w:rsid w:val="00335318"/>
    <w:rsid w:val="00335338"/>
    <w:rsid w:val="0033533D"/>
    <w:rsid w:val="003353FF"/>
    <w:rsid w:val="00335746"/>
    <w:rsid w:val="00335755"/>
    <w:rsid w:val="00335825"/>
    <w:rsid w:val="00335879"/>
    <w:rsid w:val="003358B9"/>
    <w:rsid w:val="003358E9"/>
    <w:rsid w:val="00335A0E"/>
    <w:rsid w:val="00335A3E"/>
    <w:rsid w:val="00335A92"/>
    <w:rsid w:val="00335AC8"/>
    <w:rsid w:val="00335E30"/>
    <w:rsid w:val="00335E8C"/>
    <w:rsid w:val="00335F5D"/>
    <w:rsid w:val="003360BF"/>
    <w:rsid w:val="00336136"/>
    <w:rsid w:val="00336265"/>
    <w:rsid w:val="0033636C"/>
    <w:rsid w:val="003363D7"/>
    <w:rsid w:val="00336417"/>
    <w:rsid w:val="00336469"/>
    <w:rsid w:val="0033654A"/>
    <w:rsid w:val="0033654C"/>
    <w:rsid w:val="0033655A"/>
    <w:rsid w:val="00336585"/>
    <w:rsid w:val="0033660C"/>
    <w:rsid w:val="00336702"/>
    <w:rsid w:val="003367BE"/>
    <w:rsid w:val="0033682D"/>
    <w:rsid w:val="00336882"/>
    <w:rsid w:val="00336990"/>
    <w:rsid w:val="00336A71"/>
    <w:rsid w:val="00336A75"/>
    <w:rsid w:val="00336C99"/>
    <w:rsid w:val="00336D0F"/>
    <w:rsid w:val="00336D69"/>
    <w:rsid w:val="00336F02"/>
    <w:rsid w:val="00336F11"/>
    <w:rsid w:val="00336F82"/>
    <w:rsid w:val="003370B7"/>
    <w:rsid w:val="00337249"/>
    <w:rsid w:val="00337293"/>
    <w:rsid w:val="003372C4"/>
    <w:rsid w:val="003372C7"/>
    <w:rsid w:val="00337407"/>
    <w:rsid w:val="00337638"/>
    <w:rsid w:val="003376B6"/>
    <w:rsid w:val="00337726"/>
    <w:rsid w:val="003377D3"/>
    <w:rsid w:val="0033789E"/>
    <w:rsid w:val="00337902"/>
    <w:rsid w:val="00337A3E"/>
    <w:rsid w:val="00337C1F"/>
    <w:rsid w:val="00337E30"/>
    <w:rsid w:val="00337F78"/>
    <w:rsid w:val="0034019C"/>
    <w:rsid w:val="003402CD"/>
    <w:rsid w:val="003402E1"/>
    <w:rsid w:val="0034036F"/>
    <w:rsid w:val="003403DE"/>
    <w:rsid w:val="003405A1"/>
    <w:rsid w:val="00340628"/>
    <w:rsid w:val="00340724"/>
    <w:rsid w:val="00340748"/>
    <w:rsid w:val="003407AD"/>
    <w:rsid w:val="0034081F"/>
    <w:rsid w:val="0034083F"/>
    <w:rsid w:val="0034087B"/>
    <w:rsid w:val="00340900"/>
    <w:rsid w:val="00340A44"/>
    <w:rsid w:val="00340AA1"/>
    <w:rsid w:val="00340B7D"/>
    <w:rsid w:val="00340C2E"/>
    <w:rsid w:val="00340E68"/>
    <w:rsid w:val="0034117B"/>
    <w:rsid w:val="003411B3"/>
    <w:rsid w:val="003411F3"/>
    <w:rsid w:val="003412D2"/>
    <w:rsid w:val="003413CA"/>
    <w:rsid w:val="0034158E"/>
    <w:rsid w:val="00341596"/>
    <w:rsid w:val="0034170F"/>
    <w:rsid w:val="003417AD"/>
    <w:rsid w:val="00341842"/>
    <w:rsid w:val="00341886"/>
    <w:rsid w:val="003418B4"/>
    <w:rsid w:val="003418C7"/>
    <w:rsid w:val="00341A7C"/>
    <w:rsid w:val="00341AD2"/>
    <w:rsid w:val="00341B3B"/>
    <w:rsid w:val="00341BB5"/>
    <w:rsid w:val="00341C47"/>
    <w:rsid w:val="00341C6C"/>
    <w:rsid w:val="00341D0D"/>
    <w:rsid w:val="00341D66"/>
    <w:rsid w:val="00341E1D"/>
    <w:rsid w:val="00341E3D"/>
    <w:rsid w:val="00341EE5"/>
    <w:rsid w:val="00341F0E"/>
    <w:rsid w:val="00341FCB"/>
    <w:rsid w:val="0034229B"/>
    <w:rsid w:val="00342386"/>
    <w:rsid w:val="003423DE"/>
    <w:rsid w:val="00342403"/>
    <w:rsid w:val="00342583"/>
    <w:rsid w:val="0034263E"/>
    <w:rsid w:val="00342658"/>
    <w:rsid w:val="003426BF"/>
    <w:rsid w:val="00342810"/>
    <w:rsid w:val="003428EF"/>
    <w:rsid w:val="00342A0A"/>
    <w:rsid w:val="00342AF9"/>
    <w:rsid w:val="00342B6A"/>
    <w:rsid w:val="00342C0C"/>
    <w:rsid w:val="00342C71"/>
    <w:rsid w:val="00342E2E"/>
    <w:rsid w:val="0034309D"/>
    <w:rsid w:val="003434C2"/>
    <w:rsid w:val="003434F6"/>
    <w:rsid w:val="00343507"/>
    <w:rsid w:val="00343554"/>
    <w:rsid w:val="0034361A"/>
    <w:rsid w:val="0034364B"/>
    <w:rsid w:val="003437D1"/>
    <w:rsid w:val="0034382E"/>
    <w:rsid w:val="0034386D"/>
    <w:rsid w:val="00343912"/>
    <w:rsid w:val="00343955"/>
    <w:rsid w:val="0034397D"/>
    <w:rsid w:val="00343A3B"/>
    <w:rsid w:val="00343BBE"/>
    <w:rsid w:val="00343FAC"/>
    <w:rsid w:val="00343FB9"/>
    <w:rsid w:val="00343FD0"/>
    <w:rsid w:val="00343FF5"/>
    <w:rsid w:val="003441C7"/>
    <w:rsid w:val="00344394"/>
    <w:rsid w:val="003444B3"/>
    <w:rsid w:val="0034455D"/>
    <w:rsid w:val="0034477D"/>
    <w:rsid w:val="003448B2"/>
    <w:rsid w:val="003448C2"/>
    <w:rsid w:val="003448E7"/>
    <w:rsid w:val="0034491F"/>
    <w:rsid w:val="0034496E"/>
    <w:rsid w:val="003449E0"/>
    <w:rsid w:val="00344A81"/>
    <w:rsid w:val="00344C5D"/>
    <w:rsid w:val="00344D71"/>
    <w:rsid w:val="00344D88"/>
    <w:rsid w:val="00344DA3"/>
    <w:rsid w:val="00344DAB"/>
    <w:rsid w:val="00344E26"/>
    <w:rsid w:val="00344F9F"/>
    <w:rsid w:val="00345027"/>
    <w:rsid w:val="0034511B"/>
    <w:rsid w:val="003451D5"/>
    <w:rsid w:val="00345203"/>
    <w:rsid w:val="00345454"/>
    <w:rsid w:val="00345522"/>
    <w:rsid w:val="00345529"/>
    <w:rsid w:val="00345572"/>
    <w:rsid w:val="003456F4"/>
    <w:rsid w:val="003457F9"/>
    <w:rsid w:val="00345A4F"/>
    <w:rsid w:val="00345B3E"/>
    <w:rsid w:val="00345BE1"/>
    <w:rsid w:val="00345F2E"/>
    <w:rsid w:val="00346135"/>
    <w:rsid w:val="003461AD"/>
    <w:rsid w:val="003462C1"/>
    <w:rsid w:val="0034636E"/>
    <w:rsid w:val="00346482"/>
    <w:rsid w:val="003465C5"/>
    <w:rsid w:val="003465E8"/>
    <w:rsid w:val="003465F0"/>
    <w:rsid w:val="00346741"/>
    <w:rsid w:val="0034689E"/>
    <w:rsid w:val="003468CE"/>
    <w:rsid w:val="003468F6"/>
    <w:rsid w:val="00346910"/>
    <w:rsid w:val="0034696B"/>
    <w:rsid w:val="0034697F"/>
    <w:rsid w:val="003469CE"/>
    <w:rsid w:val="00346A4A"/>
    <w:rsid w:val="00346ADF"/>
    <w:rsid w:val="00346C3A"/>
    <w:rsid w:val="00346EB3"/>
    <w:rsid w:val="00346ECF"/>
    <w:rsid w:val="003471DD"/>
    <w:rsid w:val="00347208"/>
    <w:rsid w:val="00347221"/>
    <w:rsid w:val="003472AA"/>
    <w:rsid w:val="003472E4"/>
    <w:rsid w:val="00347382"/>
    <w:rsid w:val="003473AE"/>
    <w:rsid w:val="003473E5"/>
    <w:rsid w:val="00347521"/>
    <w:rsid w:val="00347583"/>
    <w:rsid w:val="0034762E"/>
    <w:rsid w:val="003476AE"/>
    <w:rsid w:val="0034772E"/>
    <w:rsid w:val="00347792"/>
    <w:rsid w:val="003477A0"/>
    <w:rsid w:val="00347A1F"/>
    <w:rsid w:val="00347B40"/>
    <w:rsid w:val="00347B51"/>
    <w:rsid w:val="00347B67"/>
    <w:rsid w:val="00347C57"/>
    <w:rsid w:val="00347D3E"/>
    <w:rsid w:val="00347E44"/>
    <w:rsid w:val="00347EBC"/>
    <w:rsid w:val="00350021"/>
    <w:rsid w:val="003501FF"/>
    <w:rsid w:val="00350210"/>
    <w:rsid w:val="00350255"/>
    <w:rsid w:val="00350281"/>
    <w:rsid w:val="003502CA"/>
    <w:rsid w:val="00350363"/>
    <w:rsid w:val="00350374"/>
    <w:rsid w:val="003503A2"/>
    <w:rsid w:val="00350476"/>
    <w:rsid w:val="003504F4"/>
    <w:rsid w:val="0035058F"/>
    <w:rsid w:val="003505A5"/>
    <w:rsid w:val="003505CD"/>
    <w:rsid w:val="003506E1"/>
    <w:rsid w:val="003508B9"/>
    <w:rsid w:val="0035090D"/>
    <w:rsid w:val="00350A0F"/>
    <w:rsid w:val="00350A24"/>
    <w:rsid w:val="00350B0E"/>
    <w:rsid w:val="00350B51"/>
    <w:rsid w:val="00350C02"/>
    <w:rsid w:val="00350C71"/>
    <w:rsid w:val="00350CCF"/>
    <w:rsid w:val="00350F01"/>
    <w:rsid w:val="00350FDA"/>
    <w:rsid w:val="0035106F"/>
    <w:rsid w:val="0035107C"/>
    <w:rsid w:val="0035110C"/>
    <w:rsid w:val="00351166"/>
    <w:rsid w:val="003511D5"/>
    <w:rsid w:val="003511EA"/>
    <w:rsid w:val="00351218"/>
    <w:rsid w:val="003512F5"/>
    <w:rsid w:val="003513CA"/>
    <w:rsid w:val="00351428"/>
    <w:rsid w:val="00351455"/>
    <w:rsid w:val="00351496"/>
    <w:rsid w:val="003514DA"/>
    <w:rsid w:val="003514E9"/>
    <w:rsid w:val="00351743"/>
    <w:rsid w:val="003517E1"/>
    <w:rsid w:val="0035183A"/>
    <w:rsid w:val="00351896"/>
    <w:rsid w:val="00351A48"/>
    <w:rsid w:val="00351B5D"/>
    <w:rsid w:val="00351BFD"/>
    <w:rsid w:val="00351C87"/>
    <w:rsid w:val="00351CC9"/>
    <w:rsid w:val="00351E6C"/>
    <w:rsid w:val="00351EA1"/>
    <w:rsid w:val="00351F4F"/>
    <w:rsid w:val="00352001"/>
    <w:rsid w:val="0035204E"/>
    <w:rsid w:val="0035217A"/>
    <w:rsid w:val="0035219A"/>
    <w:rsid w:val="003521E9"/>
    <w:rsid w:val="00352213"/>
    <w:rsid w:val="00352326"/>
    <w:rsid w:val="00352373"/>
    <w:rsid w:val="003524DD"/>
    <w:rsid w:val="003524EE"/>
    <w:rsid w:val="003525ED"/>
    <w:rsid w:val="003529A2"/>
    <w:rsid w:val="003529D5"/>
    <w:rsid w:val="003529FF"/>
    <w:rsid w:val="00352A64"/>
    <w:rsid w:val="00352AA2"/>
    <w:rsid w:val="00352AEF"/>
    <w:rsid w:val="00352B6F"/>
    <w:rsid w:val="00352BC2"/>
    <w:rsid w:val="00352CE0"/>
    <w:rsid w:val="00352DEF"/>
    <w:rsid w:val="00352DF6"/>
    <w:rsid w:val="00352E8D"/>
    <w:rsid w:val="003530A7"/>
    <w:rsid w:val="003531C9"/>
    <w:rsid w:val="0035327C"/>
    <w:rsid w:val="003532BD"/>
    <w:rsid w:val="00353345"/>
    <w:rsid w:val="0035343B"/>
    <w:rsid w:val="00353489"/>
    <w:rsid w:val="00353670"/>
    <w:rsid w:val="00353938"/>
    <w:rsid w:val="00353A8F"/>
    <w:rsid w:val="00353AA7"/>
    <w:rsid w:val="00353E11"/>
    <w:rsid w:val="00353E23"/>
    <w:rsid w:val="00353E9B"/>
    <w:rsid w:val="00353F0F"/>
    <w:rsid w:val="00354022"/>
    <w:rsid w:val="00354304"/>
    <w:rsid w:val="00354430"/>
    <w:rsid w:val="003544E4"/>
    <w:rsid w:val="003545B5"/>
    <w:rsid w:val="00354642"/>
    <w:rsid w:val="00354646"/>
    <w:rsid w:val="00354653"/>
    <w:rsid w:val="003546FC"/>
    <w:rsid w:val="003547A3"/>
    <w:rsid w:val="003547AB"/>
    <w:rsid w:val="003548FD"/>
    <w:rsid w:val="003549E9"/>
    <w:rsid w:val="00354B4F"/>
    <w:rsid w:val="00354CE4"/>
    <w:rsid w:val="00354CE8"/>
    <w:rsid w:val="00354E37"/>
    <w:rsid w:val="00354ECB"/>
    <w:rsid w:val="00355030"/>
    <w:rsid w:val="0035509C"/>
    <w:rsid w:val="0035510F"/>
    <w:rsid w:val="003553F4"/>
    <w:rsid w:val="003554FB"/>
    <w:rsid w:val="00355568"/>
    <w:rsid w:val="003555BA"/>
    <w:rsid w:val="003558D6"/>
    <w:rsid w:val="003558E8"/>
    <w:rsid w:val="00355A86"/>
    <w:rsid w:val="00355BCF"/>
    <w:rsid w:val="00355C27"/>
    <w:rsid w:val="00355D15"/>
    <w:rsid w:val="00355D61"/>
    <w:rsid w:val="00355EC2"/>
    <w:rsid w:val="00355EEC"/>
    <w:rsid w:val="00355EF5"/>
    <w:rsid w:val="0035611D"/>
    <w:rsid w:val="00356131"/>
    <w:rsid w:val="00356136"/>
    <w:rsid w:val="0035620E"/>
    <w:rsid w:val="00356376"/>
    <w:rsid w:val="0035643A"/>
    <w:rsid w:val="00356494"/>
    <w:rsid w:val="003564FA"/>
    <w:rsid w:val="00356500"/>
    <w:rsid w:val="0035657F"/>
    <w:rsid w:val="003565F8"/>
    <w:rsid w:val="003566B3"/>
    <w:rsid w:val="003569C1"/>
    <w:rsid w:val="003569D9"/>
    <w:rsid w:val="00356AA1"/>
    <w:rsid w:val="00356AF9"/>
    <w:rsid w:val="00356AFF"/>
    <w:rsid w:val="00356B6D"/>
    <w:rsid w:val="00356BAA"/>
    <w:rsid w:val="00356C4A"/>
    <w:rsid w:val="00356DF5"/>
    <w:rsid w:val="00356E7F"/>
    <w:rsid w:val="00356EA5"/>
    <w:rsid w:val="0035711E"/>
    <w:rsid w:val="00357314"/>
    <w:rsid w:val="00357352"/>
    <w:rsid w:val="00357480"/>
    <w:rsid w:val="003574C7"/>
    <w:rsid w:val="003574FA"/>
    <w:rsid w:val="00357515"/>
    <w:rsid w:val="0035752E"/>
    <w:rsid w:val="0035763D"/>
    <w:rsid w:val="003577B7"/>
    <w:rsid w:val="003577D0"/>
    <w:rsid w:val="003578E0"/>
    <w:rsid w:val="00357920"/>
    <w:rsid w:val="0035795B"/>
    <w:rsid w:val="003579BD"/>
    <w:rsid w:val="00357AE2"/>
    <w:rsid w:val="00357E22"/>
    <w:rsid w:val="00357E8E"/>
    <w:rsid w:val="003600D8"/>
    <w:rsid w:val="003601BF"/>
    <w:rsid w:val="0036029D"/>
    <w:rsid w:val="003602E8"/>
    <w:rsid w:val="003602FA"/>
    <w:rsid w:val="00360318"/>
    <w:rsid w:val="00360377"/>
    <w:rsid w:val="003603A3"/>
    <w:rsid w:val="003603E2"/>
    <w:rsid w:val="0036050F"/>
    <w:rsid w:val="00360744"/>
    <w:rsid w:val="003608AA"/>
    <w:rsid w:val="00360934"/>
    <w:rsid w:val="00360935"/>
    <w:rsid w:val="0036099C"/>
    <w:rsid w:val="003609B1"/>
    <w:rsid w:val="00360B32"/>
    <w:rsid w:val="00360B6C"/>
    <w:rsid w:val="00360C4B"/>
    <w:rsid w:val="00360CCE"/>
    <w:rsid w:val="00360D37"/>
    <w:rsid w:val="00360E05"/>
    <w:rsid w:val="00360F37"/>
    <w:rsid w:val="00360FA0"/>
    <w:rsid w:val="00360FAE"/>
    <w:rsid w:val="00361083"/>
    <w:rsid w:val="00361129"/>
    <w:rsid w:val="00361467"/>
    <w:rsid w:val="003614B0"/>
    <w:rsid w:val="003614BC"/>
    <w:rsid w:val="003614F8"/>
    <w:rsid w:val="003614FB"/>
    <w:rsid w:val="0036178A"/>
    <w:rsid w:val="003617C0"/>
    <w:rsid w:val="003617D1"/>
    <w:rsid w:val="00361814"/>
    <w:rsid w:val="003618A0"/>
    <w:rsid w:val="00361A3F"/>
    <w:rsid w:val="00361C84"/>
    <w:rsid w:val="00361D60"/>
    <w:rsid w:val="00361E0B"/>
    <w:rsid w:val="00361E32"/>
    <w:rsid w:val="00361ED9"/>
    <w:rsid w:val="00361FE6"/>
    <w:rsid w:val="00362003"/>
    <w:rsid w:val="00362069"/>
    <w:rsid w:val="00362119"/>
    <w:rsid w:val="00362122"/>
    <w:rsid w:val="00362272"/>
    <w:rsid w:val="003623B1"/>
    <w:rsid w:val="00362545"/>
    <w:rsid w:val="00362858"/>
    <w:rsid w:val="00362881"/>
    <w:rsid w:val="00362956"/>
    <w:rsid w:val="00362BA5"/>
    <w:rsid w:val="00362BC5"/>
    <w:rsid w:val="00362C59"/>
    <w:rsid w:val="00362D9D"/>
    <w:rsid w:val="0036307B"/>
    <w:rsid w:val="003631A3"/>
    <w:rsid w:val="003633C0"/>
    <w:rsid w:val="0036349D"/>
    <w:rsid w:val="00363552"/>
    <w:rsid w:val="003635BB"/>
    <w:rsid w:val="003636C7"/>
    <w:rsid w:val="003637D4"/>
    <w:rsid w:val="00363864"/>
    <w:rsid w:val="0036393A"/>
    <w:rsid w:val="003639DD"/>
    <w:rsid w:val="00363A2E"/>
    <w:rsid w:val="00363A3E"/>
    <w:rsid w:val="00363ACD"/>
    <w:rsid w:val="00363F9C"/>
    <w:rsid w:val="00364110"/>
    <w:rsid w:val="003641AC"/>
    <w:rsid w:val="0036427E"/>
    <w:rsid w:val="003642F5"/>
    <w:rsid w:val="003645B0"/>
    <w:rsid w:val="003645B3"/>
    <w:rsid w:val="003646AF"/>
    <w:rsid w:val="00364752"/>
    <w:rsid w:val="003647E3"/>
    <w:rsid w:val="003647EF"/>
    <w:rsid w:val="003649D9"/>
    <w:rsid w:val="00364AA2"/>
    <w:rsid w:val="00364AA8"/>
    <w:rsid w:val="00364C1A"/>
    <w:rsid w:val="00364C4A"/>
    <w:rsid w:val="00364C95"/>
    <w:rsid w:val="00365149"/>
    <w:rsid w:val="00365171"/>
    <w:rsid w:val="00365348"/>
    <w:rsid w:val="0036553D"/>
    <w:rsid w:val="00365605"/>
    <w:rsid w:val="003657C1"/>
    <w:rsid w:val="00365945"/>
    <w:rsid w:val="00365A30"/>
    <w:rsid w:val="00365A5B"/>
    <w:rsid w:val="00365B0C"/>
    <w:rsid w:val="00365B4C"/>
    <w:rsid w:val="00365BFA"/>
    <w:rsid w:val="00365C1A"/>
    <w:rsid w:val="00365CDD"/>
    <w:rsid w:val="00365D24"/>
    <w:rsid w:val="00365E24"/>
    <w:rsid w:val="00365E47"/>
    <w:rsid w:val="00365FF7"/>
    <w:rsid w:val="0036618D"/>
    <w:rsid w:val="00366212"/>
    <w:rsid w:val="00366694"/>
    <w:rsid w:val="003667BC"/>
    <w:rsid w:val="003667CF"/>
    <w:rsid w:val="00366852"/>
    <w:rsid w:val="003668B7"/>
    <w:rsid w:val="00366940"/>
    <w:rsid w:val="00366971"/>
    <w:rsid w:val="003669EE"/>
    <w:rsid w:val="00366AF3"/>
    <w:rsid w:val="00366B27"/>
    <w:rsid w:val="00366BE0"/>
    <w:rsid w:val="00366C56"/>
    <w:rsid w:val="00366C85"/>
    <w:rsid w:val="00366CA2"/>
    <w:rsid w:val="00366DFD"/>
    <w:rsid w:val="00366E1D"/>
    <w:rsid w:val="00366E26"/>
    <w:rsid w:val="00366E30"/>
    <w:rsid w:val="00366EC1"/>
    <w:rsid w:val="00366ED6"/>
    <w:rsid w:val="00366FC7"/>
    <w:rsid w:val="00367090"/>
    <w:rsid w:val="00367161"/>
    <w:rsid w:val="003671FC"/>
    <w:rsid w:val="0036720A"/>
    <w:rsid w:val="00367223"/>
    <w:rsid w:val="00367334"/>
    <w:rsid w:val="0036735F"/>
    <w:rsid w:val="00367410"/>
    <w:rsid w:val="003676E2"/>
    <w:rsid w:val="00367770"/>
    <w:rsid w:val="003677B1"/>
    <w:rsid w:val="00367963"/>
    <w:rsid w:val="00367973"/>
    <w:rsid w:val="00367999"/>
    <w:rsid w:val="00367C50"/>
    <w:rsid w:val="00367D06"/>
    <w:rsid w:val="00367EC9"/>
    <w:rsid w:val="00367F92"/>
    <w:rsid w:val="003701FC"/>
    <w:rsid w:val="0037020C"/>
    <w:rsid w:val="00370369"/>
    <w:rsid w:val="003704BC"/>
    <w:rsid w:val="0037074A"/>
    <w:rsid w:val="00370810"/>
    <w:rsid w:val="00370816"/>
    <w:rsid w:val="00370A2D"/>
    <w:rsid w:val="00370AB2"/>
    <w:rsid w:val="00370BF3"/>
    <w:rsid w:val="00370C69"/>
    <w:rsid w:val="00370C9D"/>
    <w:rsid w:val="00370CC3"/>
    <w:rsid w:val="00370CE4"/>
    <w:rsid w:val="00370D73"/>
    <w:rsid w:val="00370DB5"/>
    <w:rsid w:val="00370F63"/>
    <w:rsid w:val="003710B3"/>
    <w:rsid w:val="00371168"/>
    <w:rsid w:val="00371230"/>
    <w:rsid w:val="00371278"/>
    <w:rsid w:val="0037133D"/>
    <w:rsid w:val="0037154D"/>
    <w:rsid w:val="003715BF"/>
    <w:rsid w:val="00371848"/>
    <w:rsid w:val="003718FD"/>
    <w:rsid w:val="00371916"/>
    <w:rsid w:val="00371943"/>
    <w:rsid w:val="0037194D"/>
    <w:rsid w:val="00371A7E"/>
    <w:rsid w:val="00371A97"/>
    <w:rsid w:val="00371DCA"/>
    <w:rsid w:val="00371DCD"/>
    <w:rsid w:val="00371E2D"/>
    <w:rsid w:val="00371E53"/>
    <w:rsid w:val="00371EB8"/>
    <w:rsid w:val="00372086"/>
    <w:rsid w:val="003720FF"/>
    <w:rsid w:val="0037210B"/>
    <w:rsid w:val="00372216"/>
    <w:rsid w:val="0037228D"/>
    <w:rsid w:val="0037236E"/>
    <w:rsid w:val="00372727"/>
    <w:rsid w:val="003727BE"/>
    <w:rsid w:val="003727C9"/>
    <w:rsid w:val="00372AB7"/>
    <w:rsid w:val="00372B1E"/>
    <w:rsid w:val="00372B98"/>
    <w:rsid w:val="00372C16"/>
    <w:rsid w:val="00372C7D"/>
    <w:rsid w:val="00372C7E"/>
    <w:rsid w:val="00372CEC"/>
    <w:rsid w:val="00372DC8"/>
    <w:rsid w:val="00372F0A"/>
    <w:rsid w:val="00372F94"/>
    <w:rsid w:val="00372FE5"/>
    <w:rsid w:val="0037316D"/>
    <w:rsid w:val="00373222"/>
    <w:rsid w:val="00373299"/>
    <w:rsid w:val="0037331C"/>
    <w:rsid w:val="00373331"/>
    <w:rsid w:val="003733FF"/>
    <w:rsid w:val="00373433"/>
    <w:rsid w:val="0037363E"/>
    <w:rsid w:val="00373814"/>
    <w:rsid w:val="00373836"/>
    <w:rsid w:val="00373955"/>
    <w:rsid w:val="00373C72"/>
    <w:rsid w:val="00373E1E"/>
    <w:rsid w:val="00373E24"/>
    <w:rsid w:val="00373E5E"/>
    <w:rsid w:val="00373EF8"/>
    <w:rsid w:val="00373F55"/>
    <w:rsid w:val="00373F76"/>
    <w:rsid w:val="00373FC4"/>
    <w:rsid w:val="00374097"/>
    <w:rsid w:val="0037411A"/>
    <w:rsid w:val="00374674"/>
    <w:rsid w:val="00374837"/>
    <w:rsid w:val="00374A70"/>
    <w:rsid w:val="00374B83"/>
    <w:rsid w:val="00374BA0"/>
    <w:rsid w:val="00374BA7"/>
    <w:rsid w:val="00374C64"/>
    <w:rsid w:val="00374CBB"/>
    <w:rsid w:val="00374D38"/>
    <w:rsid w:val="00374DF1"/>
    <w:rsid w:val="00374E04"/>
    <w:rsid w:val="00374E71"/>
    <w:rsid w:val="00374E89"/>
    <w:rsid w:val="003751BA"/>
    <w:rsid w:val="00375217"/>
    <w:rsid w:val="00375286"/>
    <w:rsid w:val="003752B9"/>
    <w:rsid w:val="003752E4"/>
    <w:rsid w:val="00375315"/>
    <w:rsid w:val="0037535D"/>
    <w:rsid w:val="0037536B"/>
    <w:rsid w:val="003753E8"/>
    <w:rsid w:val="00375452"/>
    <w:rsid w:val="003754B9"/>
    <w:rsid w:val="003754C4"/>
    <w:rsid w:val="0037553C"/>
    <w:rsid w:val="0037573A"/>
    <w:rsid w:val="00375765"/>
    <w:rsid w:val="00375786"/>
    <w:rsid w:val="003757D2"/>
    <w:rsid w:val="00375A89"/>
    <w:rsid w:val="00375BFC"/>
    <w:rsid w:val="00375CB3"/>
    <w:rsid w:val="00375CF1"/>
    <w:rsid w:val="00375D3B"/>
    <w:rsid w:val="00375D8C"/>
    <w:rsid w:val="00375DBD"/>
    <w:rsid w:val="00375EC2"/>
    <w:rsid w:val="00376004"/>
    <w:rsid w:val="00376076"/>
    <w:rsid w:val="00376077"/>
    <w:rsid w:val="0037626B"/>
    <w:rsid w:val="00376395"/>
    <w:rsid w:val="00376402"/>
    <w:rsid w:val="0037647F"/>
    <w:rsid w:val="00376559"/>
    <w:rsid w:val="00376604"/>
    <w:rsid w:val="00376666"/>
    <w:rsid w:val="003767E5"/>
    <w:rsid w:val="00376B37"/>
    <w:rsid w:val="00376DB1"/>
    <w:rsid w:val="00376F50"/>
    <w:rsid w:val="00376FD0"/>
    <w:rsid w:val="0037727B"/>
    <w:rsid w:val="0037746B"/>
    <w:rsid w:val="00377678"/>
    <w:rsid w:val="003776D2"/>
    <w:rsid w:val="003776F1"/>
    <w:rsid w:val="003777E5"/>
    <w:rsid w:val="003779AB"/>
    <w:rsid w:val="00377A59"/>
    <w:rsid w:val="00377AD9"/>
    <w:rsid w:val="00377BA6"/>
    <w:rsid w:val="00377BC4"/>
    <w:rsid w:val="00377C00"/>
    <w:rsid w:val="00377D77"/>
    <w:rsid w:val="00377DBF"/>
    <w:rsid w:val="00377DC4"/>
    <w:rsid w:val="00377E58"/>
    <w:rsid w:val="00377F0F"/>
    <w:rsid w:val="00380037"/>
    <w:rsid w:val="00380054"/>
    <w:rsid w:val="00380069"/>
    <w:rsid w:val="00380083"/>
    <w:rsid w:val="0038031E"/>
    <w:rsid w:val="00380342"/>
    <w:rsid w:val="003803FF"/>
    <w:rsid w:val="00380419"/>
    <w:rsid w:val="00380479"/>
    <w:rsid w:val="0038074E"/>
    <w:rsid w:val="0038088F"/>
    <w:rsid w:val="00380893"/>
    <w:rsid w:val="00380898"/>
    <w:rsid w:val="00380924"/>
    <w:rsid w:val="00380A8D"/>
    <w:rsid w:val="00380B6B"/>
    <w:rsid w:val="00380C64"/>
    <w:rsid w:val="00380CFC"/>
    <w:rsid w:val="00380EB5"/>
    <w:rsid w:val="00380EE4"/>
    <w:rsid w:val="00380F6B"/>
    <w:rsid w:val="00381007"/>
    <w:rsid w:val="00381019"/>
    <w:rsid w:val="00381214"/>
    <w:rsid w:val="0038124F"/>
    <w:rsid w:val="00381300"/>
    <w:rsid w:val="0038134C"/>
    <w:rsid w:val="00381371"/>
    <w:rsid w:val="003813EC"/>
    <w:rsid w:val="0038149C"/>
    <w:rsid w:val="003814E3"/>
    <w:rsid w:val="003815D2"/>
    <w:rsid w:val="0038160F"/>
    <w:rsid w:val="003816FC"/>
    <w:rsid w:val="003819F2"/>
    <w:rsid w:val="00381D08"/>
    <w:rsid w:val="00381E44"/>
    <w:rsid w:val="00381E84"/>
    <w:rsid w:val="00381F50"/>
    <w:rsid w:val="00381F55"/>
    <w:rsid w:val="00381F63"/>
    <w:rsid w:val="00381F82"/>
    <w:rsid w:val="003821AE"/>
    <w:rsid w:val="003821D6"/>
    <w:rsid w:val="00382208"/>
    <w:rsid w:val="0038227C"/>
    <w:rsid w:val="003824A1"/>
    <w:rsid w:val="00382544"/>
    <w:rsid w:val="00382846"/>
    <w:rsid w:val="00382872"/>
    <w:rsid w:val="00382873"/>
    <w:rsid w:val="003828F1"/>
    <w:rsid w:val="00382973"/>
    <w:rsid w:val="003829DA"/>
    <w:rsid w:val="00382A05"/>
    <w:rsid w:val="00382B8B"/>
    <w:rsid w:val="00382BF0"/>
    <w:rsid w:val="00382CDD"/>
    <w:rsid w:val="00382DE1"/>
    <w:rsid w:val="00382E0D"/>
    <w:rsid w:val="00382E8D"/>
    <w:rsid w:val="00382ED0"/>
    <w:rsid w:val="00382FE7"/>
    <w:rsid w:val="00383173"/>
    <w:rsid w:val="003831B5"/>
    <w:rsid w:val="0038324B"/>
    <w:rsid w:val="003832A4"/>
    <w:rsid w:val="003833A4"/>
    <w:rsid w:val="003833D7"/>
    <w:rsid w:val="00383588"/>
    <w:rsid w:val="00383844"/>
    <w:rsid w:val="003838F7"/>
    <w:rsid w:val="003839F9"/>
    <w:rsid w:val="00383B8D"/>
    <w:rsid w:val="00383B90"/>
    <w:rsid w:val="00383C63"/>
    <w:rsid w:val="00383CE6"/>
    <w:rsid w:val="00383D6D"/>
    <w:rsid w:val="00383F1B"/>
    <w:rsid w:val="00383F5E"/>
    <w:rsid w:val="00383F69"/>
    <w:rsid w:val="003840CE"/>
    <w:rsid w:val="003841CB"/>
    <w:rsid w:val="0038423E"/>
    <w:rsid w:val="0038429D"/>
    <w:rsid w:val="00384353"/>
    <w:rsid w:val="00384388"/>
    <w:rsid w:val="003844D0"/>
    <w:rsid w:val="003845BE"/>
    <w:rsid w:val="0038461F"/>
    <w:rsid w:val="00384667"/>
    <w:rsid w:val="003847C3"/>
    <w:rsid w:val="003848DD"/>
    <w:rsid w:val="00384A30"/>
    <w:rsid w:val="00384ADC"/>
    <w:rsid w:val="00384AE2"/>
    <w:rsid w:val="00384B95"/>
    <w:rsid w:val="00384C20"/>
    <w:rsid w:val="00384C7F"/>
    <w:rsid w:val="00384F73"/>
    <w:rsid w:val="00385088"/>
    <w:rsid w:val="00385132"/>
    <w:rsid w:val="00385237"/>
    <w:rsid w:val="0038532D"/>
    <w:rsid w:val="0038562F"/>
    <w:rsid w:val="003857A5"/>
    <w:rsid w:val="00385A0B"/>
    <w:rsid w:val="00385A3F"/>
    <w:rsid w:val="00385ADB"/>
    <w:rsid w:val="00385B03"/>
    <w:rsid w:val="00385C2B"/>
    <w:rsid w:val="00385D08"/>
    <w:rsid w:val="00385F14"/>
    <w:rsid w:val="00385F25"/>
    <w:rsid w:val="00385F6D"/>
    <w:rsid w:val="003861CA"/>
    <w:rsid w:val="00386212"/>
    <w:rsid w:val="003862D7"/>
    <w:rsid w:val="00386319"/>
    <w:rsid w:val="003863B4"/>
    <w:rsid w:val="003863E1"/>
    <w:rsid w:val="00386475"/>
    <w:rsid w:val="00386503"/>
    <w:rsid w:val="00386545"/>
    <w:rsid w:val="003866FB"/>
    <w:rsid w:val="00386706"/>
    <w:rsid w:val="00386722"/>
    <w:rsid w:val="0038689D"/>
    <w:rsid w:val="00386952"/>
    <w:rsid w:val="00386967"/>
    <w:rsid w:val="00386A2B"/>
    <w:rsid w:val="00386A45"/>
    <w:rsid w:val="00386A64"/>
    <w:rsid w:val="00386B2D"/>
    <w:rsid w:val="00386C69"/>
    <w:rsid w:val="00386D02"/>
    <w:rsid w:val="00386D39"/>
    <w:rsid w:val="00386D73"/>
    <w:rsid w:val="00386DEB"/>
    <w:rsid w:val="00386E56"/>
    <w:rsid w:val="00386E5E"/>
    <w:rsid w:val="00386E63"/>
    <w:rsid w:val="00386EAD"/>
    <w:rsid w:val="00386F27"/>
    <w:rsid w:val="00386FC0"/>
    <w:rsid w:val="00386FFC"/>
    <w:rsid w:val="00387013"/>
    <w:rsid w:val="003870E8"/>
    <w:rsid w:val="00387131"/>
    <w:rsid w:val="00387248"/>
    <w:rsid w:val="003872FF"/>
    <w:rsid w:val="00387332"/>
    <w:rsid w:val="00387357"/>
    <w:rsid w:val="003874F4"/>
    <w:rsid w:val="0038764A"/>
    <w:rsid w:val="003876CE"/>
    <w:rsid w:val="0038775F"/>
    <w:rsid w:val="0038783A"/>
    <w:rsid w:val="00387860"/>
    <w:rsid w:val="00387877"/>
    <w:rsid w:val="003878BC"/>
    <w:rsid w:val="00387922"/>
    <w:rsid w:val="00387BB8"/>
    <w:rsid w:val="00387BD4"/>
    <w:rsid w:val="00387C1D"/>
    <w:rsid w:val="00387C42"/>
    <w:rsid w:val="00387CB7"/>
    <w:rsid w:val="00387CD7"/>
    <w:rsid w:val="00387D4D"/>
    <w:rsid w:val="00387DA2"/>
    <w:rsid w:val="00387E17"/>
    <w:rsid w:val="00387E33"/>
    <w:rsid w:val="00387E37"/>
    <w:rsid w:val="00387E9E"/>
    <w:rsid w:val="00390148"/>
    <w:rsid w:val="003901E4"/>
    <w:rsid w:val="0039034F"/>
    <w:rsid w:val="003905FF"/>
    <w:rsid w:val="00390659"/>
    <w:rsid w:val="003906C0"/>
    <w:rsid w:val="00390902"/>
    <w:rsid w:val="0039096A"/>
    <w:rsid w:val="00390997"/>
    <w:rsid w:val="0039099D"/>
    <w:rsid w:val="00390D31"/>
    <w:rsid w:val="00390E75"/>
    <w:rsid w:val="00390F3A"/>
    <w:rsid w:val="00390F69"/>
    <w:rsid w:val="00390F6C"/>
    <w:rsid w:val="003910A2"/>
    <w:rsid w:val="003911DD"/>
    <w:rsid w:val="00391410"/>
    <w:rsid w:val="00391429"/>
    <w:rsid w:val="00391445"/>
    <w:rsid w:val="0039154F"/>
    <w:rsid w:val="00391559"/>
    <w:rsid w:val="00391651"/>
    <w:rsid w:val="00391659"/>
    <w:rsid w:val="0039169E"/>
    <w:rsid w:val="003916B9"/>
    <w:rsid w:val="00391810"/>
    <w:rsid w:val="003918CE"/>
    <w:rsid w:val="0039195D"/>
    <w:rsid w:val="00391B58"/>
    <w:rsid w:val="00391B6B"/>
    <w:rsid w:val="00391C52"/>
    <w:rsid w:val="00391EDB"/>
    <w:rsid w:val="00391EEB"/>
    <w:rsid w:val="00391F34"/>
    <w:rsid w:val="00391F76"/>
    <w:rsid w:val="00391F94"/>
    <w:rsid w:val="00392133"/>
    <w:rsid w:val="00392271"/>
    <w:rsid w:val="003922FF"/>
    <w:rsid w:val="00392336"/>
    <w:rsid w:val="003923AA"/>
    <w:rsid w:val="00392494"/>
    <w:rsid w:val="00392597"/>
    <w:rsid w:val="0039263F"/>
    <w:rsid w:val="00392932"/>
    <w:rsid w:val="003929CE"/>
    <w:rsid w:val="00392C17"/>
    <w:rsid w:val="00392C4B"/>
    <w:rsid w:val="00392C85"/>
    <w:rsid w:val="00392DD3"/>
    <w:rsid w:val="00392ED7"/>
    <w:rsid w:val="003932E1"/>
    <w:rsid w:val="0039331C"/>
    <w:rsid w:val="0039343C"/>
    <w:rsid w:val="003934C5"/>
    <w:rsid w:val="003934FF"/>
    <w:rsid w:val="00393632"/>
    <w:rsid w:val="00393662"/>
    <w:rsid w:val="00393885"/>
    <w:rsid w:val="003939F5"/>
    <w:rsid w:val="00393C51"/>
    <w:rsid w:val="00393CE1"/>
    <w:rsid w:val="00393D71"/>
    <w:rsid w:val="00393D83"/>
    <w:rsid w:val="00393DD1"/>
    <w:rsid w:val="00393DD2"/>
    <w:rsid w:val="00393E37"/>
    <w:rsid w:val="00393E4E"/>
    <w:rsid w:val="00393E74"/>
    <w:rsid w:val="00393FBC"/>
    <w:rsid w:val="0039416F"/>
    <w:rsid w:val="00394199"/>
    <w:rsid w:val="003942F7"/>
    <w:rsid w:val="00394441"/>
    <w:rsid w:val="00394478"/>
    <w:rsid w:val="003944E9"/>
    <w:rsid w:val="0039458D"/>
    <w:rsid w:val="0039470D"/>
    <w:rsid w:val="0039484B"/>
    <w:rsid w:val="00394932"/>
    <w:rsid w:val="00394961"/>
    <w:rsid w:val="0039497C"/>
    <w:rsid w:val="003949EB"/>
    <w:rsid w:val="003949FF"/>
    <w:rsid w:val="00394A43"/>
    <w:rsid w:val="00394DB8"/>
    <w:rsid w:val="00394DE2"/>
    <w:rsid w:val="00394DF4"/>
    <w:rsid w:val="00394E47"/>
    <w:rsid w:val="00394F1A"/>
    <w:rsid w:val="00394F73"/>
    <w:rsid w:val="0039513E"/>
    <w:rsid w:val="003953B0"/>
    <w:rsid w:val="00395417"/>
    <w:rsid w:val="0039555F"/>
    <w:rsid w:val="00395694"/>
    <w:rsid w:val="003956F6"/>
    <w:rsid w:val="0039579F"/>
    <w:rsid w:val="003957FB"/>
    <w:rsid w:val="00395815"/>
    <w:rsid w:val="00395864"/>
    <w:rsid w:val="003958B4"/>
    <w:rsid w:val="00395A53"/>
    <w:rsid w:val="00395AA4"/>
    <w:rsid w:val="00395B7D"/>
    <w:rsid w:val="00395D7E"/>
    <w:rsid w:val="00395ECA"/>
    <w:rsid w:val="0039604D"/>
    <w:rsid w:val="0039617D"/>
    <w:rsid w:val="0039639B"/>
    <w:rsid w:val="003963BA"/>
    <w:rsid w:val="003963FA"/>
    <w:rsid w:val="003964B1"/>
    <w:rsid w:val="003964DD"/>
    <w:rsid w:val="003966C7"/>
    <w:rsid w:val="0039674B"/>
    <w:rsid w:val="00396755"/>
    <w:rsid w:val="0039694D"/>
    <w:rsid w:val="003969AB"/>
    <w:rsid w:val="003969F4"/>
    <w:rsid w:val="00396AF8"/>
    <w:rsid w:val="00396B3E"/>
    <w:rsid w:val="00396BC3"/>
    <w:rsid w:val="00396C06"/>
    <w:rsid w:val="00396D14"/>
    <w:rsid w:val="00396D5F"/>
    <w:rsid w:val="00396E31"/>
    <w:rsid w:val="00396E63"/>
    <w:rsid w:val="00396F5A"/>
    <w:rsid w:val="00397051"/>
    <w:rsid w:val="003971F9"/>
    <w:rsid w:val="0039721B"/>
    <w:rsid w:val="00397239"/>
    <w:rsid w:val="0039726A"/>
    <w:rsid w:val="0039744D"/>
    <w:rsid w:val="00397568"/>
    <w:rsid w:val="0039762A"/>
    <w:rsid w:val="00397635"/>
    <w:rsid w:val="003976F5"/>
    <w:rsid w:val="00397748"/>
    <w:rsid w:val="00397766"/>
    <w:rsid w:val="00397B5C"/>
    <w:rsid w:val="00397C59"/>
    <w:rsid w:val="00397C67"/>
    <w:rsid w:val="00397D31"/>
    <w:rsid w:val="00397DBB"/>
    <w:rsid w:val="00397EB8"/>
    <w:rsid w:val="003A010B"/>
    <w:rsid w:val="003A016C"/>
    <w:rsid w:val="003A0197"/>
    <w:rsid w:val="003A020F"/>
    <w:rsid w:val="003A02C1"/>
    <w:rsid w:val="003A0303"/>
    <w:rsid w:val="003A047A"/>
    <w:rsid w:val="003A0482"/>
    <w:rsid w:val="003A0594"/>
    <w:rsid w:val="003A05A7"/>
    <w:rsid w:val="003A0742"/>
    <w:rsid w:val="003A087D"/>
    <w:rsid w:val="003A0A10"/>
    <w:rsid w:val="003A0A56"/>
    <w:rsid w:val="003A0B97"/>
    <w:rsid w:val="003A0C11"/>
    <w:rsid w:val="003A0C18"/>
    <w:rsid w:val="003A0D0A"/>
    <w:rsid w:val="003A0D3E"/>
    <w:rsid w:val="003A1077"/>
    <w:rsid w:val="003A130D"/>
    <w:rsid w:val="003A13E5"/>
    <w:rsid w:val="003A14FB"/>
    <w:rsid w:val="003A1665"/>
    <w:rsid w:val="003A1716"/>
    <w:rsid w:val="003A1748"/>
    <w:rsid w:val="003A17FD"/>
    <w:rsid w:val="003A18B6"/>
    <w:rsid w:val="003A1978"/>
    <w:rsid w:val="003A1C2F"/>
    <w:rsid w:val="003A1C59"/>
    <w:rsid w:val="003A1E5F"/>
    <w:rsid w:val="003A20ED"/>
    <w:rsid w:val="003A23D1"/>
    <w:rsid w:val="003A2439"/>
    <w:rsid w:val="003A245D"/>
    <w:rsid w:val="003A24A3"/>
    <w:rsid w:val="003A2500"/>
    <w:rsid w:val="003A2582"/>
    <w:rsid w:val="003A25C3"/>
    <w:rsid w:val="003A265B"/>
    <w:rsid w:val="003A27D7"/>
    <w:rsid w:val="003A28B8"/>
    <w:rsid w:val="003A28E0"/>
    <w:rsid w:val="003A2964"/>
    <w:rsid w:val="003A2AB1"/>
    <w:rsid w:val="003A2BBC"/>
    <w:rsid w:val="003A2C0F"/>
    <w:rsid w:val="003A2C2C"/>
    <w:rsid w:val="003A2E2B"/>
    <w:rsid w:val="003A2EB9"/>
    <w:rsid w:val="003A2EBF"/>
    <w:rsid w:val="003A2F6E"/>
    <w:rsid w:val="003A2FCD"/>
    <w:rsid w:val="003A303B"/>
    <w:rsid w:val="003A334A"/>
    <w:rsid w:val="003A3438"/>
    <w:rsid w:val="003A3546"/>
    <w:rsid w:val="003A35DA"/>
    <w:rsid w:val="003A35DF"/>
    <w:rsid w:val="003A3627"/>
    <w:rsid w:val="003A3786"/>
    <w:rsid w:val="003A3842"/>
    <w:rsid w:val="003A3946"/>
    <w:rsid w:val="003A3959"/>
    <w:rsid w:val="003A3A19"/>
    <w:rsid w:val="003A3BCC"/>
    <w:rsid w:val="003A3C80"/>
    <w:rsid w:val="003A3D98"/>
    <w:rsid w:val="003A3DA6"/>
    <w:rsid w:val="003A3DF2"/>
    <w:rsid w:val="003A3DF3"/>
    <w:rsid w:val="003A3E43"/>
    <w:rsid w:val="003A3F1C"/>
    <w:rsid w:val="003A3FE6"/>
    <w:rsid w:val="003A40E3"/>
    <w:rsid w:val="003A411D"/>
    <w:rsid w:val="003A4150"/>
    <w:rsid w:val="003A4266"/>
    <w:rsid w:val="003A42F2"/>
    <w:rsid w:val="003A435E"/>
    <w:rsid w:val="003A43E2"/>
    <w:rsid w:val="003A44BA"/>
    <w:rsid w:val="003A45D0"/>
    <w:rsid w:val="003A474F"/>
    <w:rsid w:val="003A4917"/>
    <w:rsid w:val="003A493B"/>
    <w:rsid w:val="003A499D"/>
    <w:rsid w:val="003A4BB5"/>
    <w:rsid w:val="003A4BBD"/>
    <w:rsid w:val="003A4BD8"/>
    <w:rsid w:val="003A4C91"/>
    <w:rsid w:val="003A4CED"/>
    <w:rsid w:val="003A4DA3"/>
    <w:rsid w:val="003A4F99"/>
    <w:rsid w:val="003A5034"/>
    <w:rsid w:val="003A50E9"/>
    <w:rsid w:val="003A525A"/>
    <w:rsid w:val="003A52C0"/>
    <w:rsid w:val="003A541D"/>
    <w:rsid w:val="003A54FE"/>
    <w:rsid w:val="003A5623"/>
    <w:rsid w:val="003A58A5"/>
    <w:rsid w:val="003A58BF"/>
    <w:rsid w:val="003A58E0"/>
    <w:rsid w:val="003A598F"/>
    <w:rsid w:val="003A5A88"/>
    <w:rsid w:val="003A5B49"/>
    <w:rsid w:val="003A5BB2"/>
    <w:rsid w:val="003A5C12"/>
    <w:rsid w:val="003A5C70"/>
    <w:rsid w:val="003A5EEC"/>
    <w:rsid w:val="003A5FA7"/>
    <w:rsid w:val="003A5FED"/>
    <w:rsid w:val="003A5FF2"/>
    <w:rsid w:val="003A6057"/>
    <w:rsid w:val="003A61CD"/>
    <w:rsid w:val="003A6268"/>
    <w:rsid w:val="003A6394"/>
    <w:rsid w:val="003A6416"/>
    <w:rsid w:val="003A6438"/>
    <w:rsid w:val="003A653F"/>
    <w:rsid w:val="003A6558"/>
    <w:rsid w:val="003A656B"/>
    <w:rsid w:val="003A65EB"/>
    <w:rsid w:val="003A67B1"/>
    <w:rsid w:val="003A6836"/>
    <w:rsid w:val="003A6950"/>
    <w:rsid w:val="003A69F1"/>
    <w:rsid w:val="003A6B3B"/>
    <w:rsid w:val="003A6B95"/>
    <w:rsid w:val="003A6BB5"/>
    <w:rsid w:val="003A6C6F"/>
    <w:rsid w:val="003A6C70"/>
    <w:rsid w:val="003A6EEC"/>
    <w:rsid w:val="003A6F35"/>
    <w:rsid w:val="003A6FED"/>
    <w:rsid w:val="003A7000"/>
    <w:rsid w:val="003A70B3"/>
    <w:rsid w:val="003A70CA"/>
    <w:rsid w:val="003A71B6"/>
    <w:rsid w:val="003A73E4"/>
    <w:rsid w:val="003A73E6"/>
    <w:rsid w:val="003A7510"/>
    <w:rsid w:val="003A75F8"/>
    <w:rsid w:val="003A767E"/>
    <w:rsid w:val="003A775C"/>
    <w:rsid w:val="003A77E3"/>
    <w:rsid w:val="003A784D"/>
    <w:rsid w:val="003A79D3"/>
    <w:rsid w:val="003A7A73"/>
    <w:rsid w:val="003A7A7B"/>
    <w:rsid w:val="003A7AFB"/>
    <w:rsid w:val="003A7D1B"/>
    <w:rsid w:val="003A7DEA"/>
    <w:rsid w:val="003A7E8E"/>
    <w:rsid w:val="003B006D"/>
    <w:rsid w:val="003B0093"/>
    <w:rsid w:val="003B0665"/>
    <w:rsid w:val="003B0687"/>
    <w:rsid w:val="003B07DD"/>
    <w:rsid w:val="003B0940"/>
    <w:rsid w:val="003B09D4"/>
    <w:rsid w:val="003B0A4D"/>
    <w:rsid w:val="003B0AC3"/>
    <w:rsid w:val="003B0D11"/>
    <w:rsid w:val="003B0D2F"/>
    <w:rsid w:val="003B0EED"/>
    <w:rsid w:val="003B0F6F"/>
    <w:rsid w:val="003B0FB3"/>
    <w:rsid w:val="003B0FD2"/>
    <w:rsid w:val="003B0FF0"/>
    <w:rsid w:val="003B100D"/>
    <w:rsid w:val="003B10DB"/>
    <w:rsid w:val="003B111D"/>
    <w:rsid w:val="003B1169"/>
    <w:rsid w:val="003B1304"/>
    <w:rsid w:val="003B13AD"/>
    <w:rsid w:val="003B13E6"/>
    <w:rsid w:val="003B1623"/>
    <w:rsid w:val="003B162A"/>
    <w:rsid w:val="003B16C6"/>
    <w:rsid w:val="003B1844"/>
    <w:rsid w:val="003B18BD"/>
    <w:rsid w:val="003B19D6"/>
    <w:rsid w:val="003B1A4A"/>
    <w:rsid w:val="003B1B09"/>
    <w:rsid w:val="003B1B29"/>
    <w:rsid w:val="003B1B7F"/>
    <w:rsid w:val="003B1BCA"/>
    <w:rsid w:val="003B1CBE"/>
    <w:rsid w:val="003B1CFC"/>
    <w:rsid w:val="003B1DFA"/>
    <w:rsid w:val="003B1E46"/>
    <w:rsid w:val="003B1E61"/>
    <w:rsid w:val="003B1ED5"/>
    <w:rsid w:val="003B1F50"/>
    <w:rsid w:val="003B20C4"/>
    <w:rsid w:val="003B20F4"/>
    <w:rsid w:val="003B2226"/>
    <w:rsid w:val="003B226E"/>
    <w:rsid w:val="003B22AB"/>
    <w:rsid w:val="003B248B"/>
    <w:rsid w:val="003B25BB"/>
    <w:rsid w:val="003B25BE"/>
    <w:rsid w:val="003B27F9"/>
    <w:rsid w:val="003B2842"/>
    <w:rsid w:val="003B28A5"/>
    <w:rsid w:val="003B2910"/>
    <w:rsid w:val="003B2947"/>
    <w:rsid w:val="003B2DFD"/>
    <w:rsid w:val="003B3113"/>
    <w:rsid w:val="003B3395"/>
    <w:rsid w:val="003B33F6"/>
    <w:rsid w:val="003B3412"/>
    <w:rsid w:val="003B3471"/>
    <w:rsid w:val="003B375E"/>
    <w:rsid w:val="003B375F"/>
    <w:rsid w:val="003B391C"/>
    <w:rsid w:val="003B397F"/>
    <w:rsid w:val="003B3A6A"/>
    <w:rsid w:val="003B3A92"/>
    <w:rsid w:val="003B3B18"/>
    <w:rsid w:val="003B3BA9"/>
    <w:rsid w:val="003B3C53"/>
    <w:rsid w:val="003B3DCA"/>
    <w:rsid w:val="003B3DFF"/>
    <w:rsid w:val="003B3E14"/>
    <w:rsid w:val="003B3F0F"/>
    <w:rsid w:val="003B3F46"/>
    <w:rsid w:val="003B3F5A"/>
    <w:rsid w:val="003B3F8B"/>
    <w:rsid w:val="003B4090"/>
    <w:rsid w:val="003B4216"/>
    <w:rsid w:val="003B43E6"/>
    <w:rsid w:val="003B443C"/>
    <w:rsid w:val="003B4544"/>
    <w:rsid w:val="003B45A7"/>
    <w:rsid w:val="003B45BC"/>
    <w:rsid w:val="003B4720"/>
    <w:rsid w:val="003B4767"/>
    <w:rsid w:val="003B4A80"/>
    <w:rsid w:val="003B4C08"/>
    <w:rsid w:val="003B4D3D"/>
    <w:rsid w:val="003B4EF9"/>
    <w:rsid w:val="003B4F4B"/>
    <w:rsid w:val="003B4F4F"/>
    <w:rsid w:val="003B50B9"/>
    <w:rsid w:val="003B5127"/>
    <w:rsid w:val="003B5152"/>
    <w:rsid w:val="003B51B6"/>
    <w:rsid w:val="003B5481"/>
    <w:rsid w:val="003B55E1"/>
    <w:rsid w:val="003B56F8"/>
    <w:rsid w:val="003B5773"/>
    <w:rsid w:val="003B577B"/>
    <w:rsid w:val="003B5922"/>
    <w:rsid w:val="003B5A91"/>
    <w:rsid w:val="003B5BBE"/>
    <w:rsid w:val="003B5C27"/>
    <w:rsid w:val="003B600E"/>
    <w:rsid w:val="003B6099"/>
    <w:rsid w:val="003B6100"/>
    <w:rsid w:val="003B6246"/>
    <w:rsid w:val="003B624C"/>
    <w:rsid w:val="003B6344"/>
    <w:rsid w:val="003B6399"/>
    <w:rsid w:val="003B639D"/>
    <w:rsid w:val="003B6494"/>
    <w:rsid w:val="003B6573"/>
    <w:rsid w:val="003B6579"/>
    <w:rsid w:val="003B6626"/>
    <w:rsid w:val="003B6771"/>
    <w:rsid w:val="003B684D"/>
    <w:rsid w:val="003B6861"/>
    <w:rsid w:val="003B6914"/>
    <w:rsid w:val="003B692C"/>
    <w:rsid w:val="003B6938"/>
    <w:rsid w:val="003B6A04"/>
    <w:rsid w:val="003B6A7B"/>
    <w:rsid w:val="003B6B2D"/>
    <w:rsid w:val="003B6CAB"/>
    <w:rsid w:val="003B6EEE"/>
    <w:rsid w:val="003B6F0F"/>
    <w:rsid w:val="003B7037"/>
    <w:rsid w:val="003B7132"/>
    <w:rsid w:val="003B71BC"/>
    <w:rsid w:val="003B7275"/>
    <w:rsid w:val="003B74AA"/>
    <w:rsid w:val="003B7504"/>
    <w:rsid w:val="003B7522"/>
    <w:rsid w:val="003B7714"/>
    <w:rsid w:val="003B77A1"/>
    <w:rsid w:val="003B77A9"/>
    <w:rsid w:val="003B7846"/>
    <w:rsid w:val="003B7A46"/>
    <w:rsid w:val="003B7AFB"/>
    <w:rsid w:val="003B7B72"/>
    <w:rsid w:val="003B7C27"/>
    <w:rsid w:val="003B7C8A"/>
    <w:rsid w:val="003B7DEA"/>
    <w:rsid w:val="003B7E33"/>
    <w:rsid w:val="003B7E3B"/>
    <w:rsid w:val="003B7F95"/>
    <w:rsid w:val="003C0121"/>
    <w:rsid w:val="003C0140"/>
    <w:rsid w:val="003C0228"/>
    <w:rsid w:val="003C029F"/>
    <w:rsid w:val="003C03A1"/>
    <w:rsid w:val="003C046A"/>
    <w:rsid w:val="003C047C"/>
    <w:rsid w:val="003C0580"/>
    <w:rsid w:val="003C05D7"/>
    <w:rsid w:val="003C05F5"/>
    <w:rsid w:val="003C061B"/>
    <w:rsid w:val="003C06A4"/>
    <w:rsid w:val="003C0734"/>
    <w:rsid w:val="003C0884"/>
    <w:rsid w:val="003C0936"/>
    <w:rsid w:val="003C0AE6"/>
    <w:rsid w:val="003C0B24"/>
    <w:rsid w:val="003C0B8B"/>
    <w:rsid w:val="003C0D78"/>
    <w:rsid w:val="003C0E22"/>
    <w:rsid w:val="003C0E23"/>
    <w:rsid w:val="003C0FB9"/>
    <w:rsid w:val="003C115E"/>
    <w:rsid w:val="003C11EF"/>
    <w:rsid w:val="003C1202"/>
    <w:rsid w:val="003C129B"/>
    <w:rsid w:val="003C12DA"/>
    <w:rsid w:val="003C1374"/>
    <w:rsid w:val="003C1577"/>
    <w:rsid w:val="003C1700"/>
    <w:rsid w:val="003C177C"/>
    <w:rsid w:val="003C1848"/>
    <w:rsid w:val="003C18EF"/>
    <w:rsid w:val="003C19F5"/>
    <w:rsid w:val="003C1AFA"/>
    <w:rsid w:val="003C1AFF"/>
    <w:rsid w:val="003C1B51"/>
    <w:rsid w:val="003C1B91"/>
    <w:rsid w:val="003C1EC1"/>
    <w:rsid w:val="003C1F77"/>
    <w:rsid w:val="003C204E"/>
    <w:rsid w:val="003C2193"/>
    <w:rsid w:val="003C224D"/>
    <w:rsid w:val="003C23D3"/>
    <w:rsid w:val="003C255A"/>
    <w:rsid w:val="003C26B4"/>
    <w:rsid w:val="003C278D"/>
    <w:rsid w:val="003C2827"/>
    <w:rsid w:val="003C2984"/>
    <w:rsid w:val="003C2AAA"/>
    <w:rsid w:val="003C2B16"/>
    <w:rsid w:val="003C2B79"/>
    <w:rsid w:val="003C2BED"/>
    <w:rsid w:val="003C2C86"/>
    <w:rsid w:val="003C2CBB"/>
    <w:rsid w:val="003C2E11"/>
    <w:rsid w:val="003C2F32"/>
    <w:rsid w:val="003C2F99"/>
    <w:rsid w:val="003C301D"/>
    <w:rsid w:val="003C3052"/>
    <w:rsid w:val="003C30AE"/>
    <w:rsid w:val="003C3311"/>
    <w:rsid w:val="003C33E4"/>
    <w:rsid w:val="003C3481"/>
    <w:rsid w:val="003C3533"/>
    <w:rsid w:val="003C35F3"/>
    <w:rsid w:val="003C3697"/>
    <w:rsid w:val="003C36AD"/>
    <w:rsid w:val="003C36E9"/>
    <w:rsid w:val="003C3726"/>
    <w:rsid w:val="003C37AB"/>
    <w:rsid w:val="003C3916"/>
    <w:rsid w:val="003C39CB"/>
    <w:rsid w:val="003C3A6B"/>
    <w:rsid w:val="003C3A9A"/>
    <w:rsid w:val="003C3AFD"/>
    <w:rsid w:val="003C3B2B"/>
    <w:rsid w:val="003C3B7B"/>
    <w:rsid w:val="003C3C0D"/>
    <w:rsid w:val="003C3D0D"/>
    <w:rsid w:val="003C3E3E"/>
    <w:rsid w:val="003C400B"/>
    <w:rsid w:val="003C4214"/>
    <w:rsid w:val="003C42A5"/>
    <w:rsid w:val="003C42BE"/>
    <w:rsid w:val="003C43D0"/>
    <w:rsid w:val="003C4472"/>
    <w:rsid w:val="003C447E"/>
    <w:rsid w:val="003C4527"/>
    <w:rsid w:val="003C45BC"/>
    <w:rsid w:val="003C4625"/>
    <w:rsid w:val="003C4841"/>
    <w:rsid w:val="003C4854"/>
    <w:rsid w:val="003C4AA5"/>
    <w:rsid w:val="003C4B27"/>
    <w:rsid w:val="003C4CB4"/>
    <w:rsid w:val="003C4CF7"/>
    <w:rsid w:val="003C4E29"/>
    <w:rsid w:val="003C4EDB"/>
    <w:rsid w:val="003C4F0E"/>
    <w:rsid w:val="003C4FE8"/>
    <w:rsid w:val="003C50A3"/>
    <w:rsid w:val="003C50C0"/>
    <w:rsid w:val="003C50F5"/>
    <w:rsid w:val="003C513B"/>
    <w:rsid w:val="003C531B"/>
    <w:rsid w:val="003C54DF"/>
    <w:rsid w:val="003C560A"/>
    <w:rsid w:val="003C574F"/>
    <w:rsid w:val="003C57FB"/>
    <w:rsid w:val="003C585C"/>
    <w:rsid w:val="003C590B"/>
    <w:rsid w:val="003C5A8F"/>
    <w:rsid w:val="003C5AD7"/>
    <w:rsid w:val="003C5DB6"/>
    <w:rsid w:val="003C5DEC"/>
    <w:rsid w:val="003C5E72"/>
    <w:rsid w:val="003C5F6D"/>
    <w:rsid w:val="003C5F7F"/>
    <w:rsid w:val="003C614A"/>
    <w:rsid w:val="003C614F"/>
    <w:rsid w:val="003C6158"/>
    <w:rsid w:val="003C62FD"/>
    <w:rsid w:val="003C6385"/>
    <w:rsid w:val="003C66B0"/>
    <w:rsid w:val="003C6716"/>
    <w:rsid w:val="003C67CF"/>
    <w:rsid w:val="003C6948"/>
    <w:rsid w:val="003C695B"/>
    <w:rsid w:val="003C6B83"/>
    <w:rsid w:val="003C6B93"/>
    <w:rsid w:val="003C6C1A"/>
    <w:rsid w:val="003C6F40"/>
    <w:rsid w:val="003C6F4E"/>
    <w:rsid w:val="003C75A9"/>
    <w:rsid w:val="003C75BD"/>
    <w:rsid w:val="003C76A7"/>
    <w:rsid w:val="003C76F9"/>
    <w:rsid w:val="003C794C"/>
    <w:rsid w:val="003C7A8E"/>
    <w:rsid w:val="003C7AF0"/>
    <w:rsid w:val="003C7AF5"/>
    <w:rsid w:val="003C7B87"/>
    <w:rsid w:val="003C7C57"/>
    <w:rsid w:val="003C7CCA"/>
    <w:rsid w:val="003C7E35"/>
    <w:rsid w:val="003D0269"/>
    <w:rsid w:val="003D02AB"/>
    <w:rsid w:val="003D038E"/>
    <w:rsid w:val="003D04AE"/>
    <w:rsid w:val="003D04F3"/>
    <w:rsid w:val="003D04FA"/>
    <w:rsid w:val="003D051F"/>
    <w:rsid w:val="003D0529"/>
    <w:rsid w:val="003D05A5"/>
    <w:rsid w:val="003D05AE"/>
    <w:rsid w:val="003D06ED"/>
    <w:rsid w:val="003D0830"/>
    <w:rsid w:val="003D0865"/>
    <w:rsid w:val="003D0B22"/>
    <w:rsid w:val="003D0BEC"/>
    <w:rsid w:val="003D0D49"/>
    <w:rsid w:val="003D0F5B"/>
    <w:rsid w:val="003D0F6D"/>
    <w:rsid w:val="003D1020"/>
    <w:rsid w:val="003D125C"/>
    <w:rsid w:val="003D129F"/>
    <w:rsid w:val="003D138A"/>
    <w:rsid w:val="003D13CB"/>
    <w:rsid w:val="003D1537"/>
    <w:rsid w:val="003D15DD"/>
    <w:rsid w:val="003D1722"/>
    <w:rsid w:val="003D18D0"/>
    <w:rsid w:val="003D191A"/>
    <w:rsid w:val="003D1A48"/>
    <w:rsid w:val="003D1B5B"/>
    <w:rsid w:val="003D1C14"/>
    <w:rsid w:val="003D1CB8"/>
    <w:rsid w:val="003D1D7B"/>
    <w:rsid w:val="003D1DB9"/>
    <w:rsid w:val="003D1E0B"/>
    <w:rsid w:val="003D1E40"/>
    <w:rsid w:val="003D1F2D"/>
    <w:rsid w:val="003D2387"/>
    <w:rsid w:val="003D248D"/>
    <w:rsid w:val="003D2544"/>
    <w:rsid w:val="003D264B"/>
    <w:rsid w:val="003D286A"/>
    <w:rsid w:val="003D2890"/>
    <w:rsid w:val="003D2A42"/>
    <w:rsid w:val="003D2A5D"/>
    <w:rsid w:val="003D2AA2"/>
    <w:rsid w:val="003D2AC3"/>
    <w:rsid w:val="003D2AD0"/>
    <w:rsid w:val="003D2B91"/>
    <w:rsid w:val="003D2C97"/>
    <w:rsid w:val="003D2D66"/>
    <w:rsid w:val="003D2DA3"/>
    <w:rsid w:val="003D2DF9"/>
    <w:rsid w:val="003D2E25"/>
    <w:rsid w:val="003D2E56"/>
    <w:rsid w:val="003D2EAC"/>
    <w:rsid w:val="003D302F"/>
    <w:rsid w:val="003D304E"/>
    <w:rsid w:val="003D3152"/>
    <w:rsid w:val="003D3236"/>
    <w:rsid w:val="003D3316"/>
    <w:rsid w:val="003D339C"/>
    <w:rsid w:val="003D3461"/>
    <w:rsid w:val="003D34C9"/>
    <w:rsid w:val="003D36BB"/>
    <w:rsid w:val="003D36DB"/>
    <w:rsid w:val="003D36E9"/>
    <w:rsid w:val="003D3701"/>
    <w:rsid w:val="003D38B7"/>
    <w:rsid w:val="003D3C01"/>
    <w:rsid w:val="003D3D5F"/>
    <w:rsid w:val="003D3E7C"/>
    <w:rsid w:val="003D40D0"/>
    <w:rsid w:val="003D40D2"/>
    <w:rsid w:val="003D4176"/>
    <w:rsid w:val="003D4311"/>
    <w:rsid w:val="003D4314"/>
    <w:rsid w:val="003D43BB"/>
    <w:rsid w:val="003D43D0"/>
    <w:rsid w:val="003D4428"/>
    <w:rsid w:val="003D4448"/>
    <w:rsid w:val="003D4591"/>
    <w:rsid w:val="003D463D"/>
    <w:rsid w:val="003D46D6"/>
    <w:rsid w:val="003D4752"/>
    <w:rsid w:val="003D48A5"/>
    <w:rsid w:val="003D49D1"/>
    <w:rsid w:val="003D49D2"/>
    <w:rsid w:val="003D4A26"/>
    <w:rsid w:val="003D4A91"/>
    <w:rsid w:val="003D4B01"/>
    <w:rsid w:val="003D4BE2"/>
    <w:rsid w:val="003D4CE1"/>
    <w:rsid w:val="003D4D28"/>
    <w:rsid w:val="003D4D32"/>
    <w:rsid w:val="003D4D61"/>
    <w:rsid w:val="003D4D8C"/>
    <w:rsid w:val="003D4DDB"/>
    <w:rsid w:val="003D4F2C"/>
    <w:rsid w:val="003D4F40"/>
    <w:rsid w:val="003D5193"/>
    <w:rsid w:val="003D51DE"/>
    <w:rsid w:val="003D51EE"/>
    <w:rsid w:val="003D5278"/>
    <w:rsid w:val="003D52E7"/>
    <w:rsid w:val="003D5375"/>
    <w:rsid w:val="003D53CE"/>
    <w:rsid w:val="003D53D2"/>
    <w:rsid w:val="003D54A6"/>
    <w:rsid w:val="003D54C2"/>
    <w:rsid w:val="003D559E"/>
    <w:rsid w:val="003D5749"/>
    <w:rsid w:val="003D5927"/>
    <w:rsid w:val="003D5A24"/>
    <w:rsid w:val="003D5A84"/>
    <w:rsid w:val="003D5B63"/>
    <w:rsid w:val="003D5D10"/>
    <w:rsid w:val="003D5D5F"/>
    <w:rsid w:val="003D5D64"/>
    <w:rsid w:val="003D5E2C"/>
    <w:rsid w:val="003D5FC0"/>
    <w:rsid w:val="003D5FCE"/>
    <w:rsid w:val="003D6009"/>
    <w:rsid w:val="003D6024"/>
    <w:rsid w:val="003D606E"/>
    <w:rsid w:val="003D6148"/>
    <w:rsid w:val="003D6261"/>
    <w:rsid w:val="003D6304"/>
    <w:rsid w:val="003D6335"/>
    <w:rsid w:val="003D6372"/>
    <w:rsid w:val="003D63F9"/>
    <w:rsid w:val="003D6423"/>
    <w:rsid w:val="003D6478"/>
    <w:rsid w:val="003D6529"/>
    <w:rsid w:val="003D6556"/>
    <w:rsid w:val="003D663A"/>
    <w:rsid w:val="003D6726"/>
    <w:rsid w:val="003D6733"/>
    <w:rsid w:val="003D67C1"/>
    <w:rsid w:val="003D67E5"/>
    <w:rsid w:val="003D6842"/>
    <w:rsid w:val="003D6979"/>
    <w:rsid w:val="003D69B1"/>
    <w:rsid w:val="003D69FE"/>
    <w:rsid w:val="003D6A13"/>
    <w:rsid w:val="003D6C82"/>
    <w:rsid w:val="003D6DD7"/>
    <w:rsid w:val="003D7066"/>
    <w:rsid w:val="003D707F"/>
    <w:rsid w:val="003D7146"/>
    <w:rsid w:val="003D71BD"/>
    <w:rsid w:val="003D72AC"/>
    <w:rsid w:val="003D72E5"/>
    <w:rsid w:val="003D75B7"/>
    <w:rsid w:val="003D76A2"/>
    <w:rsid w:val="003D76F4"/>
    <w:rsid w:val="003D7834"/>
    <w:rsid w:val="003D7900"/>
    <w:rsid w:val="003D79EC"/>
    <w:rsid w:val="003D7A77"/>
    <w:rsid w:val="003D7B54"/>
    <w:rsid w:val="003D7C20"/>
    <w:rsid w:val="003D7CEB"/>
    <w:rsid w:val="003D7D27"/>
    <w:rsid w:val="003D7DDA"/>
    <w:rsid w:val="003D7FAD"/>
    <w:rsid w:val="003E0131"/>
    <w:rsid w:val="003E015D"/>
    <w:rsid w:val="003E019F"/>
    <w:rsid w:val="003E02BF"/>
    <w:rsid w:val="003E02F1"/>
    <w:rsid w:val="003E0399"/>
    <w:rsid w:val="003E052C"/>
    <w:rsid w:val="003E0629"/>
    <w:rsid w:val="003E0645"/>
    <w:rsid w:val="003E085A"/>
    <w:rsid w:val="003E087E"/>
    <w:rsid w:val="003E08E9"/>
    <w:rsid w:val="003E092A"/>
    <w:rsid w:val="003E0D23"/>
    <w:rsid w:val="003E0DAB"/>
    <w:rsid w:val="003E0E19"/>
    <w:rsid w:val="003E1020"/>
    <w:rsid w:val="003E11E3"/>
    <w:rsid w:val="003E1317"/>
    <w:rsid w:val="003E1377"/>
    <w:rsid w:val="003E14BD"/>
    <w:rsid w:val="003E1736"/>
    <w:rsid w:val="003E17E1"/>
    <w:rsid w:val="003E188F"/>
    <w:rsid w:val="003E1A78"/>
    <w:rsid w:val="003E1B5A"/>
    <w:rsid w:val="003E1D44"/>
    <w:rsid w:val="003E207E"/>
    <w:rsid w:val="003E209C"/>
    <w:rsid w:val="003E209E"/>
    <w:rsid w:val="003E2104"/>
    <w:rsid w:val="003E21E1"/>
    <w:rsid w:val="003E227D"/>
    <w:rsid w:val="003E22AB"/>
    <w:rsid w:val="003E22EF"/>
    <w:rsid w:val="003E24BB"/>
    <w:rsid w:val="003E250E"/>
    <w:rsid w:val="003E2851"/>
    <w:rsid w:val="003E28AB"/>
    <w:rsid w:val="003E295D"/>
    <w:rsid w:val="003E298E"/>
    <w:rsid w:val="003E29B4"/>
    <w:rsid w:val="003E2BBB"/>
    <w:rsid w:val="003E2CFF"/>
    <w:rsid w:val="003E2EFA"/>
    <w:rsid w:val="003E2F04"/>
    <w:rsid w:val="003E2F84"/>
    <w:rsid w:val="003E2F93"/>
    <w:rsid w:val="003E2FBA"/>
    <w:rsid w:val="003E2FC5"/>
    <w:rsid w:val="003E3125"/>
    <w:rsid w:val="003E325D"/>
    <w:rsid w:val="003E329A"/>
    <w:rsid w:val="003E32C7"/>
    <w:rsid w:val="003E32D7"/>
    <w:rsid w:val="003E3494"/>
    <w:rsid w:val="003E35D0"/>
    <w:rsid w:val="003E3635"/>
    <w:rsid w:val="003E378D"/>
    <w:rsid w:val="003E39B9"/>
    <w:rsid w:val="003E3C6C"/>
    <w:rsid w:val="003E3DC2"/>
    <w:rsid w:val="003E3ECB"/>
    <w:rsid w:val="003E3F57"/>
    <w:rsid w:val="003E3FF7"/>
    <w:rsid w:val="003E4051"/>
    <w:rsid w:val="003E40AE"/>
    <w:rsid w:val="003E416A"/>
    <w:rsid w:val="003E4246"/>
    <w:rsid w:val="003E427D"/>
    <w:rsid w:val="003E429F"/>
    <w:rsid w:val="003E4436"/>
    <w:rsid w:val="003E44E5"/>
    <w:rsid w:val="003E4534"/>
    <w:rsid w:val="003E45FB"/>
    <w:rsid w:val="003E4610"/>
    <w:rsid w:val="003E4813"/>
    <w:rsid w:val="003E49C2"/>
    <w:rsid w:val="003E4B60"/>
    <w:rsid w:val="003E4B72"/>
    <w:rsid w:val="003E4B89"/>
    <w:rsid w:val="003E4B8C"/>
    <w:rsid w:val="003E4D3D"/>
    <w:rsid w:val="003E4D4A"/>
    <w:rsid w:val="003E4E99"/>
    <w:rsid w:val="003E4EC9"/>
    <w:rsid w:val="003E4F20"/>
    <w:rsid w:val="003E4F70"/>
    <w:rsid w:val="003E4FFF"/>
    <w:rsid w:val="003E51EB"/>
    <w:rsid w:val="003E522F"/>
    <w:rsid w:val="003E5390"/>
    <w:rsid w:val="003E5418"/>
    <w:rsid w:val="003E556C"/>
    <w:rsid w:val="003E556E"/>
    <w:rsid w:val="003E55E3"/>
    <w:rsid w:val="003E5827"/>
    <w:rsid w:val="003E58C6"/>
    <w:rsid w:val="003E58FC"/>
    <w:rsid w:val="003E5A1B"/>
    <w:rsid w:val="003E5A6D"/>
    <w:rsid w:val="003E5B5E"/>
    <w:rsid w:val="003E5C70"/>
    <w:rsid w:val="003E5DD5"/>
    <w:rsid w:val="003E5E9D"/>
    <w:rsid w:val="003E5F93"/>
    <w:rsid w:val="003E6135"/>
    <w:rsid w:val="003E61BA"/>
    <w:rsid w:val="003E6531"/>
    <w:rsid w:val="003E6730"/>
    <w:rsid w:val="003E6753"/>
    <w:rsid w:val="003E679F"/>
    <w:rsid w:val="003E685B"/>
    <w:rsid w:val="003E686A"/>
    <w:rsid w:val="003E6887"/>
    <w:rsid w:val="003E68D6"/>
    <w:rsid w:val="003E69D6"/>
    <w:rsid w:val="003E6AA3"/>
    <w:rsid w:val="003E6B1D"/>
    <w:rsid w:val="003E6DF0"/>
    <w:rsid w:val="003E6E13"/>
    <w:rsid w:val="003E7189"/>
    <w:rsid w:val="003E71AE"/>
    <w:rsid w:val="003E7264"/>
    <w:rsid w:val="003E7295"/>
    <w:rsid w:val="003E73CD"/>
    <w:rsid w:val="003E754B"/>
    <w:rsid w:val="003E7578"/>
    <w:rsid w:val="003E77D4"/>
    <w:rsid w:val="003E7842"/>
    <w:rsid w:val="003E7926"/>
    <w:rsid w:val="003E7ABE"/>
    <w:rsid w:val="003E7BE7"/>
    <w:rsid w:val="003E7BEC"/>
    <w:rsid w:val="003E7C49"/>
    <w:rsid w:val="003E7D2B"/>
    <w:rsid w:val="003E7D54"/>
    <w:rsid w:val="003E7DF8"/>
    <w:rsid w:val="003E7EB9"/>
    <w:rsid w:val="003E7F5C"/>
    <w:rsid w:val="003E7FDA"/>
    <w:rsid w:val="003F00A7"/>
    <w:rsid w:val="003F00E6"/>
    <w:rsid w:val="003F03BA"/>
    <w:rsid w:val="003F047F"/>
    <w:rsid w:val="003F0536"/>
    <w:rsid w:val="003F06DF"/>
    <w:rsid w:val="003F07C4"/>
    <w:rsid w:val="003F07CD"/>
    <w:rsid w:val="003F095A"/>
    <w:rsid w:val="003F0A14"/>
    <w:rsid w:val="003F0BC6"/>
    <w:rsid w:val="003F0C03"/>
    <w:rsid w:val="003F0C49"/>
    <w:rsid w:val="003F0CD9"/>
    <w:rsid w:val="003F0D33"/>
    <w:rsid w:val="003F0DCA"/>
    <w:rsid w:val="003F0E23"/>
    <w:rsid w:val="003F0EEB"/>
    <w:rsid w:val="003F0F1E"/>
    <w:rsid w:val="003F0FE3"/>
    <w:rsid w:val="003F114C"/>
    <w:rsid w:val="003F1166"/>
    <w:rsid w:val="003F11DA"/>
    <w:rsid w:val="003F1206"/>
    <w:rsid w:val="003F1239"/>
    <w:rsid w:val="003F13D2"/>
    <w:rsid w:val="003F168B"/>
    <w:rsid w:val="003F17D9"/>
    <w:rsid w:val="003F1855"/>
    <w:rsid w:val="003F1866"/>
    <w:rsid w:val="003F18B0"/>
    <w:rsid w:val="003F1958"/>
    <w:rsid w:val="003F1A82"/>
    <w:rsid w:val="003F1A89"/>
    <w:rsid w:val="003F1CF5"/>
    <w:rsid w:val="003F1E07"/>
    <w:rsid w:val="003F1E7C"/>
    <w:rsid w:val="003F20F8"/>
    <w:rsid w:val="003F22DF"/>
    <w:rsid w:val="003F22F9"/>
    <w:rsid w:val="003F230C"/>
    <w:rsid w:val="003F232C"/>
    <w:rsid w:val="003F237E"/>
    <w:rsid w:val="003F2411"/>
    <w:rsid w:val="003F25B1"/>
    <w:rsid w:val="003F289D"/>
    <w:rsid w:val="003F28FF"/>
    <w:rsid w:val="003F2965"/>
    <w:rsid w:val="003F2A9C"/>
    <w:rsid w:val="003F2ACC"/>
    <w:rsid w:val="003F2CCF"/>
    <w:rsid w:val="003F2CE7"/>
    <w:rsid w:val="003F2E51"/>
    <w:rsid w:val="003F2E8B"/>
    <w:rsid w:val="003F2EC5"/>
    <w:rsid w:val="003F2F02"/>
    <w:rsid w:val="003F2F62"/>
    <w:rsid w:val="003F2FA0"/>
    <w:rsid w:val="003F3035"/>
    <w:rsid w:val="003F30B0"/>
    <w:rsid w:val="003F3216"/>
    <w:rsid w:val="003F32F2"/>
    <w:rsid w:val="003F3545"/>
    <w:rsid w:val="003F3591"/>
    <w:rsid w:val="003F36DC"/>
    <w:rsid w:val="003F3742"/>
    <w:rsid w:val="003F37B3"/>
    <w:rsid w:val="003F37F3"/>
    <w:rsid w:val="003F393A"/>
    <w:rsid w:val="003F39B4"/>
    <w:rsid w:val="003F3A73"/>
    <w:rsid w:val="003F3A76"/>
    <w:rsid w:val="003F3AF2"/>
    <w:rsid w:val="003F3B20"/>
    <w:rsid w:val="003F3B32"/>
    <w:rsid w:val="003F3C05"/>
    <w:rsid w:val="003F3C15"/>
    <w:rsid w:val="003F3DC8"/>
    <w:rsid w:val="003F3ED0"/>
    <w:rsid w:val="003F3EE8"/>
    <w:rsid w:val="003F3FAD"/>
    <w:rsid w:val="003F409E"/>
    <w:rsid w:val="003F40DF"/>
    <w:rsid w:val="003F4138"/>
    <w:rsid w:val="003F4174"/>
    <w:rsid w:val="003F4187"/>
    <w:rsid w:val="003F43C8"/>
    <w:rsid w:val="003F443A"/>
    <w:rsid w:val="003F44DB"/>
    <w:rsid w:val="003F4557"/>
    <w:rsid w:val="003F4951"/>
    <w:rsid w:val="003F49A7"/>
    <w:rsid w:val="003F49E6"/>
    <w:rsid w:val="003F4A31"/>
    <w:rsid w:val="003F4A4C"/>
    <w:rsid w:val="003F4A9D"/>
    <w:rsid w:val="003F4AFB"/>
    <w:rsid w:val="003F4BD6"/>
    <w:rsid w:val="003F4E0C"/>
    <w:rsid w:val="003F4E36"/>
    <w:rsid w:val="003F4E4B"/>
    <w:rsid w:val="003F4EF4"/>
    <w:rsid w:val="003F4F5C"/>
    <w:rsid w:val="003F4FC4"/>
    <w:rsid w:val="003F50CD"/>
    <w:rsid w:val="003F514C"/>
    <w:rsid w:val="003F52C5"/>
    <w:rsid w:val="003F5508"/>
    <w:rsid w:val="003F5529"/>
    <w:rsid w:val="003F555F"/>
    <w:rsid w:val="003F55E0"/>
    <w:rsid w:val="003F56C4"/>
    <w:rsid w:val="003F5833"/>
    <w:rsid w:val="003F588E"/>
    <w:rsid w:val="003F58F8"/>
    <w:rsid w:val="003F5CE7"/>
    <w:rsid w:val="003F5DB3"/>
    <w:rsid w:val="003F5DC4"/>
    <w:rsid w:val="003F5DC7"/>
    <w:rsid w:val="003F5E42"/>
    <w:rsid w:val="003F5EDA"/>
    <w:rsid w:val="003F5F91"/>
    <w:rsid w:val="003F5FFD"/>
    <w:rsid w:val="003F6053"/>
    <w:rsid w:val="003F6055"/>
    <w:rsid w:val="003F6116"/>
    <w:rsid w:val="003F616E"/>
    <w:rsid w:val="003F61A3"/>
    <w:rsid w:val="003F61CA"/>
    <w:rsid w:val="003F6284"/>
    <w:rsid w:val="003F62DF"/>
    <w:rsid w:val="003F658D"/>
    <w:rsid w:val="003F65F5"/>
    <w:rsid w:val="003F6623"/>
    <w:rsid w:val="003F6666"/>
    <w:rsid w:val="003F6679"/>
    <w:rsid w:val="003F66BD"/>
    <w:rsid w:val="003F677D"/>
    <w:rsid w:val="003F67FE"/>
    <w:rsid w:val="003F68CD"/>
    <w:rsid w:val="003F69EB"/>
    <w:rsid w:val="003F6BB9"/>
    <w:rsid w:val="003F6D54"/>
    <w:rsid w:val="003F6D55"/>
    <w:rsid w:val="003F6EA2"/>
    <w:rsid w:val="003F6EA6"/>
    <w:rsid w:val="003F717D"/>
    <w:rsid w:val="003F732B"/>
    <w:rsid w:val="003F751E"/>
    <w:rsid w:val="003F7723"/>
    <w:rsid w:val="003F7778"/>
    <w:rsid w:val="003F78DE"/>
    <w:rsid w:val="003F7A32"/>
    <w:rsid w:val="003F7A4E"/>
    <w:rsid w:val="003F7AA2"/>
    <w:rsid w:val="003F7AFF"/>
    <w:rsid w:val="003F7C12"/>
    <w:rsid w:val="003F7E37"/>
    <w:rsid w:val="003F7F0E"/>
    <w:rsid w:val="003F7F64"/>
    <w:rsid w:val="0040016B"/>
    <w:rsid w:val="0040020F"/>
    <w:rsid w:val="00400216"/>
    <w:rsid w:val="004002A9"/>
    <w:rsid w:val="004004B5"/>
    <w:rsid w:val="00400590"/>
    <w:rsid w:val="004005B9"/>
    <w:rsid w:val="004006B8"/>
    <w:rsid w:val="004006BC"/>
    <w:rsid w:val="004006C0"/>
    <w:rsid w:val="004008BC"/>
    <w:rsid w:val="004008D4"/>
    <w:rsid w:val="0040096D"/>
    <w:rsid w:val="00400A12"/>
    <w:rsid w:val="00400AB2"/>
    <w:rsid w:val="00400AD7"/>
    <w:rsid w:val="00400B4F"/>
    <w:rsid w:val="00400D19"/>
    <w:rsid w:val="00400DDE"/>
    <w:rsid w:val="00400E39"/>
    <w:rsid w:val="00400EB6"/>
    <w:rsid w:val="00400EBA"/>
    <w:rsid w:val="0040116C"/>
    <w:rsid w:val="00401249"/>
    <w:rsid w:val="0040134B"/>
    <w:rsid w:val="00401371"/>
    <w:rsid w:val="00401433"/>
    <w:rsid w:val="00401505"/>
    <w:rsid w:val="00401566"/>
    <w:rsid w:val="004016EA"/>
    <w:rsid w:val="004017F3"/>
    <w:rsid w:val="0040184C"/>
    <w:rsid w:val="00401884"/>
    <w:rsid w:val="00401916"/>
    <w:rsid w:val="00401A04"/>
    <w:rsid w:val="00401DFB"/>
    <w:rsid w:val="00401E2A"/>
    <w:rsid w:val="00401F1D"/>
    <w:rsid w:val="00401F77"/>
    <w:rsid w:val="00402000"/>
    <w:rsid w:val="00402125"/>
    <w:rsid w:val="004021FA"/>
    <w:rsid w:val="00402480"/>
    <w:rsid w:val="00402602"/>
    <w:rsid w:val="00402734"/>
    <w:rsid w:val="00402808"/>
    <w:rsid w:val="00402945"/>
    <w:rsid w:val="00402A4E"/>
    <w:rsid w:val="00402AEF"/>
    <w:rsid w:val="00402D0D"/>
    <w:rsid w:val="00402F33"/>
    <w:rsid w:val="00403005"/>
    <w:rsid w:val="0040304F"/>
    <w:rsid w:val="004030DE"/>
    <w:rsid w:val="004033BC"/>
    <w:rsid w:val="0040340B"/>
    <w:rsid w:val="0040349B"/>
    <w:rsid w:val="004035B8"/>
    <w:rsid w:val="004037FD"/>
    <w:rsid w:val="00403801"/>
    <w:rsid w:val="004038D3"/>
    <w:rsid w:val="00403A2A"/>
    <w:rsid w:val="00403A65"/>
    <w:rsid w:val="00403B66"/>
    <w:rsid w:val="00403B8B"/>
    <w:rsid w:val="00403BBD"/>
    <w:rsid w:val="00403CE9"/>
    <w:rsid w:val="00403DDD"/>
    <w:rsid w:val="00403DF4"/>
    <w:rsid w:val="00403E1B"/>
    <w:rsid w:val="00403FA4"/>
    <w:rsid w:val="00404097"/>
    <w:rsid w:val="004040CA"/>
    <w:rsid w:val="00404122"/>
    <w:rsid w:val="00404286"/>
    <w:rsid w:val="004042BD"/>
    <w:rsid w:val="004042C2"/>
    <w:rsid w:val="00404402"/>
    <w:rsid w:val="004044C7"/>
    <w:rsid w:val="004044F7"/>
    <w:rsid w:val="004045B0"/>
    <w:rsid w:val="0040462E"/>
    <w:rsid w:val="0040468A"/>
    <w:rsid w:val="00404724"/>
    <w:rsid w:val="004047B3"/>
    <w:rsid w:val="004048E4"/>
    <w:rsid w:val="004048F5"/>
    <w:rsid w:val="00404963"/>
    <w:rsid w:val="00404993"/>
    <w:rsid w:val="00404A82"/>
    <w:rsid w:val="00404AC3"/>
    <w:rsid w:val="00404B2A"/>
    <w:rsid w:val="00404B37"/>
    <w:rsid w:val="00404B97"/>
    <w:rsid w:val="00404C02"/>
    <w:rsid w:val="00404C2A"/>
    <w:rsid w:val="00404C30"/>
    <w:rsid w:val="00404C40"/>
    <w:rsid w:val="00404C7B"/>
    <w:rsid w:val="00404CCB"/>
    <w:rsid w:val="00404CEC"/>
    <w:rsid w:val="00404D21"/>
    <w:rsid w:val="0040501D"/>
    <w:rsid w:val="00405020"/>
    <w:rsid w:val="00405123"/>
    <w:rsid w:val="00405224"/>
    <w:rsid w:val="00405286"/>
    <w:rsid w:val="00405386"/>
    <w:rsid w:val="00405418"/>
    <w:rsid w:val="004054A0"/>
    <w:rsid w:val="004054A1"/>
    <w:rsid w:val="004054B4"/>
    <w:rsid w:val="004054BA"/>
    <w:rsid w:val="004055A8"/>
    <w:rsid w:val="00405725"/>
    <w:rsid w:val="00405811"/>
    <w:rsid w:val="0040590B"/>
    <w:rsid w:val="0040592B"/>
    <w:rsid w:val="0040592E"/>
    <w:rsid w:val="00405A47"/>
    <w:rsid w:val="00405A69"/>
    <w:rsid w:val="00405ABE"/>
    <w:rsid w:val="00405AC4"/>
    <w:rsid w:val="00405AEF"/>
    <w:rsid w:val="00405B25"/>
    <w:rsid w:val="00405F82"/>
    <w:rsid w:val="0040621B"/>
    <w:rsid w:val="00406230"/>
    <w:rsid w:val="0040639B"/>
    <w:rsid w:val="00406410"/>
    <w:rsid w:val="004064E1"/>
    <w:rsid w:val="004064F9"/>
    <w:rsid w:val="00406805"/>
    <w:rsid w:val="00406889"/>
    <w:rsid w:val="004068AC"/>
    <w:rsid w:val="00406989"/>
    <w:rsid w:val="00406A2D"/>
    <w:rsid w:val="00406B53"/>
    <w:rsid w:val="00406C62"/>
    <w:rsid w:val="00406C8D"/>
    <w:rsid w:val="00406C9C"/>
    <w:rsid w:val="00406CAF"/>
    <w:rsid w:val="00406CDA"/>
    <w:rsid w:val="00406DDC"/>
    <w:rsid w:val="00406E6E"/>
    <w:rsid w:val="00406E97"/>
    <w:rsid w:val="00406F32"/>
    <w:rsid w:val="00406F78"/>
    <w:rsid w:val="00407113"/>
    <w:rsid w:val="00407115"/>
    <w:rsid w:val="00407125"/>
    <w:rsid w:val="00407146"/>
    <w:rsid w:val="00407177"/>
    <w:rsid w:val="004071AB"/>
    <w:rsid w:val="004071EE"/>
    <w:rsid w:val="00407347"/>
    <w:rsid w:val="00407354"/>
    <w:rsid w:val="00407512"/>
    <w:rsid w:val="004075B5"/>
    <w:rsid w:val="004075D0"/>
    <w:rsid w:val="00407620"/>
    <w:rsid w:val="0040767E"/>
    <w:rsid w:val="0040777C"/>
    <w:rsid w:val="004077EA"/>
    <w:rsid w:val="00407889"/>
    <w:rsid w:val="004079E5"/>
    <w:rsid w:val="00407B6C"/>
    <w:rsid w:val="00407BC0"/>
    <w:rsid w:val="00407BCB"/>
    <w:rsid w:val="00407CA4"/>
    <w:rsid w:val="00407E36"/>
    <w:rsid w:val="00407E52"/>
    <w:rsid w:val="00407E93"/>
    <w:rsid w:val="00407EA2"/>
    <w:rsid w:val="00407F29"/>
    <w:rsid w:val="00410065"/>
    <w:rsid w:val="00410198"/>
    <w:rsid w:val="00410227"/>
    <w:rsid w:val="004102CB"/>
    <w:rsid w:val="004102E4"/>
    <w:rsid w:val="0041031A"/>
    <w:rsid w:val="00410321"/>
    <w:rsid w:val="00410329"/>
    <w:rsid w:val="0041039B"/>
    <w:rsid w:val="0041054C"/>
    <w:rsid w:val="004105EF"/>
    <w:rsid w:val="004107A6"/>
    <w:rsid w:val="004108D6"/>
    <w:rsid w:val="004109D2"/>
    <w:rsid w:val="00410A85"/>
    <w:rsid w:val="00410BDE"/>
    <w:rsid w:val="00410C23"/>
    <w:rsid w:val="00410CC5"/>
    <w:rsid w:val="00410E38"/>
    <w:rsid w:val="004111AB"/>
    <w:rsid w:val="004111DD"/>
    <w:rsid w:val="00411313"/>
    <w:rsid w:val="00411434"/>
    <w:rsid w:val="00411540"/>
    <w:rsid w:val="004115EF"/>
    <w:rsid w:val="00411781"/>
    <w:rsid w:val="00411A63"/>
    <w:rsid w:val="00411C13"/>
    <w:rsid w:val="00411E10"/>
    <w:rsid w:val="00411E3A"/>
    <w:rsid w:val="00411F61"/>
    <w:rsid w:val="00411FC1"/>
    <w:rsid w:val="00412134"/>
    <w:rsid w:val="0041216E"/>
    <w:rsid w:val="004121CD"/>
    <w:rsid w:val="00412269"/>
    <w:rsid w:val="00412275"/>
    <w:rsid w:val="00412289"/>
    <w:rsid w:val="004122BB"/>
    <w:rsid w:val="00412481"/>
    <w:rsid w:val="004126DD"/>
    <w:rsid w:val="004126DF"/>
    <w:rsid w:val="004127B5"/>
    <w:rsid w:val="004127BC"/>
    <w:rsid w:val="004128C8"/>
    <w:rsid w:val="00412927"/>
    <w:rsid w:val="004129D7"/>
    <w:rsid w:val="00412A98"/>
    <w:rsid w:val="00412AE3"/>
    <w:rsid w:val="00412AE4"/>
    <w:rsid w:val="00412B7D"/>
    <w:rsid w:val="00412F69"/>
    <w:rsid w:val="0041320D"/>
    <w:rsid w:val="004134F0"/>
    <w:rsid w:val="004135CC"/>
    <w:rsid w:val="004138BB"/>
    <w:rsid w:val="0041398D"/>
    <w:rsid w:val="00413A38"/>
    <w:rsid w:val="00413AE5"/>
    <w:rsid w:val="00413C87"/>
    <w:rsid w:val="00413DA0"/>
    <w:rsid w:val="00413F55"/>
    <w:rsid w:val="004140F1"/>
    <w:rsid w:val="00414402"/>
    <w:rsid w:val="00414565"/>
    <w:rsid w:val="00414631"/>
    <w:rsid w:val="004146D2"/>
    <w:rsid w:val="004146F5"/>
    <w:rsid w:val="00414765"/>
    <w:rsid w:val="004147CC"/>
    <w:rsid w:val="00414834"/>
    <w:rsid w:val="00414870"/>
    <w:rsid w:val="00414988"/>
    <w:rsid w:val="00414A73"/>
    <w:rsid w:val="00414B20"/>
    <w:rsid w:val="00414B58"/>
    <w:rsid w:val="00414B64"/>
    <w:rsid w:val="00414B77"/>
    <w:rsid w:val="00414E61"/>
    <w:rsid w:val="00415031"/>
    <w:rsid w:val="0041504F"/>
    <w:rsid w:val="0041508C"/>
    <w:rsid w:val="004150DF"/>
    <w:rsid w:val="004151D4"/>
    <w:rsid w:val="00415227"/>
    <w:rsid w:val="00415453"/>
    <w:rsid w:val="00415484"/>
    <w:rsid w:val="004154AC"/>
    <w:rsid w:val="004155A1"/>
    <w:rsid w:val="00415660"/>
    <w:rsid w:val="00415891"/>
    <w:rsid w:val="00415969"/>
    <w:rsid w:val="00415A56"/>
    <w:rsid w:val="00415A89"/>
    <w:rsid w:val="00415C02"/>
    <w:rsid w:val="00415CF4"/>
    <w:rsid w:val="00415D29"/>
    <w:rsid w:val="00415EDE"/>
    <w:rsid w:val="00415EE1"/>
    <w:rsid w:val="00415FD4"/>
    <w:rsid w:val="004160C1"/>
    <w:rsid w:val="00416139"/>
    <w:rsid w:val="00416141"/>
    <w:rsid w:val="004161F2"/>
    <w:rsid w:val="00416205"/>
    <w:rsid w:val="0041660D"/>
    <w:rsid w:val="0041677D"/>
    <w:rsid w:val="004167B1"/>
    <w:rsid w:val="004168BA"/>
    <w:rsid w:val="004168BB"/>
    <w:rsid w:val="004168DE"/>
    <w:rsid w:val="00416B63"/>
    <w:rsid w:val="00416E1A"/>
    <w:rsid w:val="00416E6C"/>
    <w:rsid w:val="00416F29"/>
    <w:rsid w:val="00416F4C"/>
    <w:rsid w:val="00416F6A"/>
    <w:rsid w:val="00416FCC"/>
    <w:rsid w:val="00416FEB"/>
    <w:rsid w:val="00417249"/>
    <w:rsid w:val="0041726C"/>
    <w:rsid w:val="00417275"/>
    <w:rsid w:val="004172F4"/>
    <w:rsid w:val="00417358"/>
    <w:rsid w:val="0041742F"/>
    <w:rsid w:val="00417457"/>
    <w:rsid w:val="0041745B"/>
    <w:rsid w:val="004174F8"/>
    <w:rsid w:val="00417531"/>
    <w:rsid w:val="00417655"/>
    <w:rsid w:val="004176E2"/>
    <w:rsid w:val="0041771C"/>
    <w:rsid w:val="004178EF"/>
    <w:rsid w:val="00417918"/>
    <w:rsid w:val="00417A17"/>
    <w:rsid w:val="00417AD0"/>
    <w:rsid w:val="00417B2B"/>
    <w:rsid w:val="00417B37"/>
    <w:rsid w:val="00417B5F"/>
    <w:rsid w:val="00417CC2"/>
    <w:rsid w:val="00417D8B"/>
    <w:rsid w:val="00417DAF"/>
    <w:rsid w:val="00417EC1"/>
    <w:rsid w:val="00420025"/>
    <w:rsid w:val="004200D0"/>
    <w:rsid w:val="0042017B"/>
    <w:rsid w:val="00420237"/>
    <w:rsid w:val="00420281"/>
    <w:rsid w:val="00420349"/>
    <w:rsid w:val="0042037B"/>
    <w:rsid w:val="004203A6"/>
    <w:rsid w:val="004203E8"/>
    <w:rsid w:val="00420424"/>
    <w:rsid w:val="0042046C"/>
    <w:rsid w:val="00420545"/>
    <w:rsid w:val="004205A7"/>
    <w:rsid w:val="004205E5"/>
    <w:rsid w:val="004205FC"/>
    <w:rsid w:val="00420630"/>
    <w:rsid w:val="004206AA"/>
    <w:rsid w:val="004206C0"/>
    <w:rsid w:val="0042079E"/>
    <w:rsid w:val="004207D5"/>
    <w:rsid w:val="004207ED"/>
    <w:rsid w:val="0042081A"/>
    <w:rsid w:val="00420B12"/>
    <w:rsid w:val="00420C3F"/>
    <w:rsid w:val="00420C69"/>
    <w:rsid w:val="00420CA8"/>
    <w:rsid w:val="00420D0D"/>
    <w:rsid w:val="00420D73"/>
    <w:rsid w:val="00420DDF"/>
    <w:rsid w:val="00420E27"/>
    <w:rsid w:val="00420E94"/>
    <w:rsid w:val="00420ECF"/>
    <w:rsid w:val="00420FE1"/>
    <w:rsid w:val="004210FD"/>
    <w:rsid w:val="004211D9"/>
    <w:rsid w:val="0042123A"/>
    <w:rsid w:val="00421244"/>
    <w:rsid w:val="00421391"/>
    <w:rsid w:val="00421439"/>
    <w:rsid w:val="00421468"/>
    <w:rsid w:val="004215A7"/>
    <w:rsid w:val="0042161B"/>
    <w:rsid w:val="00421757"/>
    <w:rsid w:val="00421772"/>
    <w:rsid w:val="004217F2"/>
    <w:rsid w:val="00421BC2"/>
    <w:rsid w:val="00421E73"/>
    <w:rsid w:val="004221B6"/>
    <w:rsid w:val="004221D3"/>
    <w:rsid w:val="004221DC"/>
    <w:rsid w:val="00422379"/>
    <w:rsid w:val="004223A1"/>
    <w:rsid w:val="0042241C"/>
    <w:rsid w:val="0042243F"/>
    <w:rsid w:val="0042252B"/>
    <w:rsid w:val="004225E6"/>
    <w:rsid w:val="00422610"/>
    <w:rsid w:val="0042270B"/>
    <w:rsid w:val="004227D2"/>
    <w:rsid w:val="0042280F"/>
    <w:rsid w:val="00422954"/>
    <w:rsid w:val="0042296D"/>
    <w:rsid w:val="004229CC"/>
    <w:rsid w:val="00422B09"/>
    <w:rsid w:val="00422C22"/>
    <w:rsid w:val="00422CC4"/>
    <w:rsid w:val="00422E34"/>
    <w:rsid w:val="00422F3A"/>
    <w:rsid w:val="00422F85"/>
    <w:rsid w:val="00422FF0"/>
    <w:rsid w:val="004230FC"/>
    <w:rsid w:val="004233E7"/>
    <w:rsid w:val="004233F8"/>
    <w:rsid w:val="00423543"/>
    <w:rsid w:val="0042355D"/>
    <w:rsid w:val="004235AB"/>
    <w:rsid w:val="004235D8"/>
    <w:rsid w:val="00423656"/>
    <w:rsid w:val="00423874"/>
    <w:rsid w:val="004238AB"/>
    <w:rsid w:val="004238BA"/>
    <w:rsid w:val="004238CF"/>
    <w:rsid w:val="004238DA"/>
    <w:rsid w:val="004239EE"/>
    <w:rsid w:val="00423C01"/>
    <w:rsid w:val="00423C9E"/>
    <w:rsid w:val="00423DAE"/>
    <w:rsid w:val="00423E06"/>
    <w:rsid w:val="00423E24"/>
    <w:rsid w:val="00423F07"/>
    <w:rsid w:val="00423F52"/>
    <w:rsid w:val="004240C8"/>
    <w:rsid w:val="004241E4"/>
    <w:rsid w:val="004242AE"/>
    <w:rsid w:val="00424321"/>
    <w:rsid w:val="00424342"/>
    <w:rsid w:val="0042436B"/>
    <w:rsid w:val="0042453D"/>
    <w:rsid w:val="004248CE"/>
    <w:rsid w:val="00424986"/>
    <w:rsid w:val="00424A38"/>
    <w:rsid w:val="00424B91"/>
    <w:rsid w:val="00424BCA"/>
    <w:rsid w:val="00424D63"/>
    <w:rsid w:val="0042500F"/>
    <w:rsid w:val="00425133"/>
    <w:rsid w:val="00425280"/>
    <w:rsid w:val="004252AB"/>
    <w:rsid w:val="004252EB"/>
    <w:rsid w:val="00425303"/>
    <w:rsid w:val="0042567E"/>
    <w:rsid w:val="004256E1"/>
    <w:rsid w:val="004256E2"/>
    <w:rsid w:val="0042575F"/>
    <w:rsid w:val="004257F5"/>
    <w:rsid w:val="00425ACA"/>
    <w:rsid w:val="00425AE7"/>
    <w:rsid w:val="00425C1D"/>
    <w:rsid w:val="00425D6E"/>
    <w:rsid w:val="00425F5B"/>
    <w:rsid w:val="004261B1"/>
    <w:rsid w:val="0042639E"/>
    <w:rsid w:val="004263C3"/>
    <w:rsid w:val="0042648E"/>
    <w:rsid w:val="004264DC"/>
    <w:rsid w:val="004264E0"/>
    <w:rsid w:val="004265E4"/>
    <w:rsid w:val="00426604"/>
    <w:rsid w:val="00426624"/>
    <w:rsid w:val="00426644"/>
    <w:rsid w:val="0042664B"/>
    <w:rsid w:val="00426682"/>
    <w:rsid w:val="004266B0"/>
    <w:rsid w:val="00426A2F"/>
    <w:rsid w:val="00426A5E"/>
    <w:rsid w:val="00426ADB"/>
    <w:rsid w:val="00426BE7"/>
    <w:rsid w:val="00426C33"/>
    <w:rsid w:val="00426CAF"/>
    <w:rsid w:val="00426EEA"/>
    <w:rsid w:val="004270EA"/>
    <w:rsid w:val="00427142"/>
    <w:rsid w:val="0042722E"/>
    <w:rsid w:val="00427251"/>
    <w:rsid w:val="00427347"/>
    <w:rsid w:val="0042765D"/>
    <w:rsid w:val="0042768C"/>
    <w:rsid w:val="00427817"/>
    <w:rsid w:val="004279A5"/>
    <w:rsid w:val="00427ADE"/>
    <w:rsid w:val="00427B49"/>
    <w:rsid w:val="00427BD2"/>
    <w:rsid w:val="00427BF7"/>
    <w:rsid w:val="00427C18"/>
    <w:rsid w:val="00427CD0"/>
    <w:rsid w:val="00427D2D"/>
    <w:rsid w:val="00427D31"/>
    <w:rsid w:val="00427FB9"/>
    <w:rsid w:val="00430086"/>
    <w:rsid w:val="004301A4"/>
    <w:rsid w:val="004301DA"/>
    <w:rsid w:val="00430331"/>
    <w:rsid w:val="0043051A"/>
    <w:rsid w:val="0043059F"/>
    <w:rsid w:val="004305C1"/>
    <w:rsid w:val="004305CA"/>
    <w:rsid w:val="004306E6"/>
    <w:rsid w:val="004307AA"/>
    <w:rsid w:val="00430912"/>
    <w:rsid w:val="004309D1"/>
    <w:rsid w:val="004309DA"/>
    <w:rsid w:val="00430A1F"/>
    <w:rsid w:val="00430A20"/>
    <w:rsid w:val="00430AC0"/>
    <w:rsid w:val="00430B28"/>
    <w:rsid w:val="00430BB9"/>
    <w:rsid w:val="00430BCC"/>
    <w:rsid w:val="00430BD4"/>
    <w:rsid w:val="00430C38"/>
    <w:rsid w:val="00430D43"/>
    <w:rsid w:val="00430D88"/>
    <w:rsid w:val="00430E61"/>
    <w:rsid w:val="00431162"/>
    <w:rsid w:val="00431182"/>
    <w:rsid w:val="00431269"/>
    <w:rsid w:val="004312E9"/>
    <w:rsid w:val="00431301"/>
    <w:rsid w:val="0043130A"/>
    <w:rsid w:val="004314EB"/>
    <w:rsid w:val="00431667"/>
    <w:rsid w:val="00431672"/>
    <w:rsid w:val="00431729"/>
    <w:rsid w:val="00431794"/>
    <w:rsid w:val="00431974"/>
    <w:rsid w:val="00431B14"/>
    <w:rsid w:val="00431BA5"/>
    <w:rsid w:val="00431C3F"/>
    <w:rsid w:val="00431C43"/>
    <w:rsid w:val="00431D84"/>
    <w:rsid w:val="00431F80"/>
    <w:rsid w:val="004320ED"/>
    <w:rsid w:val="004321CC"/>
    <w:rsid w:val="00432216"/>
    <w:rsid w:val="00432254"/>
    <w:rsid w:val="00432268"/>
    <w:rsid w:val="004322A6"/>
    <w:rsid w:val="004323EB"/>
    <w:rsid w:val="004324E8"/>
    <w:rsid w:val="0043254E"/>
    <w:rsid w:val="00432563"/>
    <w:rsid w:val="004325A4"/>
    <w:rsid w:val="00432620"/>
    <w:rsid w:val="004326C9"/>
    <w:rsid w:val="00432749"/>
    <w:rsid w:val="004327EB"/>
    <w:rsid w:val="00432831"/>
    <w:rsid w:val="00432B69"/>
    <w:rsid w:val="00432BF6"/>
    <w:rsid w:val="00432C2C"/>
    <w:rsid w:val="00432D4B"/>
    <w:rsid w:val="00432E3F"/>
    <w:rsid w:val="00432E42"/>
    <w:rsid w:val="00432F07"/>
    <w:rsid w:val="00432F12"/>
    <w:rsid w:val="00433025"/>
    <w:rsid w:val="00433026"/>
    <w:rsid w:val="00433117"/>
    <w:rsid w:val="0043343D"/>
    <w:rsid w:val="0043353E"/>
    <w:rsid w:val="00433680"/>
    <w:rsid w:val="0043379F"/>
    <w:rsid w:val="00433AC0"/>
    <w:rsid w:val="00433CF4"/>
    <w:rsid w:val="00433CF9"/>
    <w:rsid w:val="00433D15"/>
    <w:rsid w:val="00433DB8"/>
    <w:rsid w:val="00434065"/>
    <w:rsid w:val="00434160"/>
    <w:rsid w:val="00434202"/>
    <w:rsid w:val="004342F2"/>
    <w:rsid w:val="0043432F"/>
    <w:rsid w:val="004343B1"/>
    <w:rsid w:val="0043441D"/>
    <w:rsid w:val="00434454"/>
    <w:rsid w:val="0043445B"/>
    <w:rsid w:val="00434498"/>
    <w:rsid w:val="0043455E"/>
    <w:rsid w:val="004345D2"/>
    <w:rsid w:val="0043461D"/>
    <w:rsid w:val="00434642"/>
    <w:rsid w:val="00434696"/>
    <w:rsid w:val="00434713"/>
    <w:rsid w:val="0043477B"/>
    <w:rsid w:val="004348F1"/>
    <w:rsid w:val="0043494E"/>
    <w:rsid w:val="004349F8"/>
    <w:rsid w:val="00434A42"/>
    <w:rsid w:val="00434A7C"/>
    <w:rsid w:val="00434AE0"/>
    <w:rsid w:val="00434BA9"/>
    <w:rsid w:val="00434EC7"/>
    <w:rsid w:val="00434F5B"/>
    <w:rsid w:val="00434F65"/>
    <w:rsid w:val="00434FCE"/>
    <w:rsid w:val="0043501B"/>
    <w:rsid w:val="00435097"/>
    <w:rsid w:val="00435276"/>
    <w:rsid w:val="00435360"/>
    <w:rsid w:val="004354B9"/>
    <w:rsid w:val="004355BB"/>
    <w:rsid w:val="004355EC"/>
    <w:rsid w:val="0043571B"/>
    <w:rsid w:val="004357DA"/>
    <w:rsid w:val="00435813"/>
    <w:rsid w:val="00435830"/>
    <w:rsid w:val="004359FD"/>
    <w:rsid w:val="00435A38"/>
    <w:rsid w:val="00435AD6"/>
    <w:rsid w:val="00435B55"/>
    <w:rsid w:val="00435BA6"/>
    <w:rsid w:val="00435C32"/>
    <w:rsid w:val="00435DB5"/>
    <w:rsid w:val="00435F6D"/>
    <w:rsid w:val="00435F98"/>
    <w:rsid w:val="00435FA7"/>
    <w:rsid w:val="00435FF4"/>
    <w:rsid w:val="0043607C"/>
    <w:rsid w:val="0043610C"/>
    <w:rsid w:val="00436210"/>
    <w:rsid w:val="00436324"/>
    <w:rsid w:val="004363B1"/>
    <w:rsid w:val="004363CA"/>
    <w:rsid w:val="00436402"/>
    <w:rsid w:val="0043648B"/>
    <w:rsid w:val="004364A7"/>
    <w:rsid w:val="0043652B"/>
    <w:rsid w:val="00436567"/>
    <w:rsid w:val="00436679"/>
    <w:rsid w:val="004366D0"/>
    <w:rsid w:val="00436747"/>
    <w:rsid w:val="00436BD6"/>
    <w:rsid w:val="00436C84"/>
    <w:rsid w:val="00436D0F"/>
    <w:rsid w:val="00436DC9"/>
    <w:rsid w:val="00436DF2"/>
    <w:rsid w:val="00436E5A"/>
    <w:rsid w:val="00436E86"/>
    <w:rsid w:val="00437007"/>
    <w:rsid w:val="00437074"/>
    <w:rsid w:val="0043708D"/>
    <w:rsid w:val="004370BB"/>
    <w:rsid w:val="0043713F"/>
    <w:rsid w:val="00437143"/>
    <w:rsid w:val="00437217"/>
    <w:rsid w:val="004372DF"/>
    <w:rsid w:val="00437446"/>
    <w:rsid w:val="0043759D"/>
    <w:rsid w:val="00437883"/>
    <w:rsid w:val="00437A5B"/>
    <w:rsid w:val="00437AC3"/>
    <w:rsid w:val="00437B6F"/>
    <w:rsid w:val="00437BC0"/>
    <w:rsid w:val="00437D34"/>
    <w:rsid w:val="00437E66"/>
    <w:rsid w:val="00437EDF"/>
    <w:rsid w:val="00437F6D"/>
    <w:rsid w:val="00437FCD"/>
    <w:rsid w:val="0044000B"/>
    <w:rsid w:val="00440176"/>
    <w:rsid w:val="00440276"/>
    <w:rsid w:val="004404F5"/>
    <w:rsid w:val="0044069D"/>
    <w:rsid w:val="004406CF"/>
    <w:rsid w:val="00440702"/>
    <w:rsid w:val="0044074D"/>
    <w:rsid w:val="0044079C"/>
    <w:rsid w:val="004407B4"/>
    <w:rsid w:val="00440957"/>
    <w:rsid w:val="00440C20"/>
    <w:rsid w:val="00440C60"/>
    <w:rsid w:val="00440D22"/>
    <w:rsid w:val="00440D51"/>
    <w:rsid w:val="00440E30"/>
    <w:rsid w:val="00440E9E"/>
    <w:rsid w:val="004410A2"/>
    <w:rsid w:val="004410E1"/>
    <w:rsid w:val="004412F4"/>
    <w:rsid w:val="0044134F"/>
    <w:rsid w:val="004413AE"/>
    <w:rsid w:val="0044143C"/>
    <w:rsid w:val="004414B9"/>
    <w:rsid w:val="004414BA"/>
    <w:rsid w:val="00441581"/>
    <w:rsid w:val="0044161B"/>
    <w:rsid w:val="00441728"/>
    <w:rsid w:val="004417C2"/>
    <w:rsid w:val="00441844"/>
    <w:rsid w:val="00441A86"/>
    <w:rsid w:val="00441B1E"/>
    <w:rsid w:val="00441BA4"/>
    <w:rsid w:val="00441C00"/>
    <w:rsid w:val="00441C05"/>
    <w:rsid w:val="00441C5F"/>
    <w:rsid w:val="00441C64"/>
    <w:rsid w:val="00441CD0"/>
    <w:rsid w:val="00441D62"/>
    <w:rsid w:val="00441E95"/>
    <w:rsid w:val="00441F54"/>
    <w:rsid w:val="00441FEB"/>
    <w:rsid w:val="00442051"/>
    <w:rsid w:val="00442127"/>
    <w:rsid w:val="004421B1"/>
    <w:rsid w:val="004422A3"/>
    <w:rsid w:val="004422F1"/>
    <w:rsid w:val="00442340"/>
    <w:rsid w:val="004424C2"/>
    <w:rsid w:val="00442734"/>
    <w:rsid w:val="00442753"/>
    <w:rsid w:val="00442765"/>
    <w:rsid w:val="004427B9"/>
    <w:rsid w:val="00442869"/>
    <w:rsid w:val="0044296C"/>
    <w:rsid w:val="004429F9"/>
    <w:rsid w:val="00442A55"/>
    <w:rsid w:val="00442A93"/>
    <w:rsid w:val="00442AFC"/>
    <w:rsid w:val="00442B77"/>
    <w:rsid w:val="00442C73"/>
    <w:rsid w:val="00442D21"/>
    <w:rsid w:val="00442D7F"/>
    <w:rsid w:val="00442DCC"/>
    <w:rsid w:val="00442DDF"/>
    <w:rsid w:val="00443147"/>
    <w:rsid w:val="00443155"/>
    <w:rsid w:val="0044323C"/>
    <w:rsid w:val="00443253"/>
    <w:rsid w:val="0044332D"/>
    <w:rsid w:val="00443458"/>
    <w:rsid w:val="0044352E"/>
    <w:rsid w:val="00443550"/>
    <w:rsid w:val="0044358D"/>
    <w:rsid w:val="0044359B"/>
    <w:rsid w:val="0044366E"/>
    <w:rsid w:val="004436DE"/>
    <w:rsid w:val="004436F0"/>
    <w:rsid w:val="004436F6"/>
    <w:rsid w:val="004438EA"/>
    <w:rsid w:val="00443909"/>
    <w:rsid w:val="004439BA"/>
    <w:rsid w:val="00443A35"/>
    <w:rsid w:val="00443AC6"/>
    <w:rsid w:val="00443BA9"/>
    <w:rsid w:val="00443C9E"/>
    <w:rsid w:val="00443CE5"/>
    <w:rsid w:val="00443E51"/>
    <w:rsid w:val="00443E52"/>
    <w:rsid w:val="00443EFE"/>
    <w:rsid w:val="00443F71"/>
    <w:rsid w:val="0044403F"/>
    <w:rsid w:val="00444083"/>
    <w:rsid w:val="004441AA"/>
    <w:rsid w:val="0044426F"/>
    <w:rsid w:val="004442F3"/>
    <w:rsid w:val="0044430C"/>
    <w:rsid w:val="00444397"/>
    <w:rsid w:val="004443C9"/>
    <w:rsid w:val="004444AE"/>
    <w:rsid w:val="004444DC"/>
    <w:rsid w:val="00444529"/>
    <w:rsid w:val="00444647"/>
    <w:rsid w:val="0044465C"/>
    <w:rsid w:val="004446CD"/>
    <w:rsid w:val="004447B1"/>
    <w:rsid w:val="004448F1"/>
    <w:rsid w:val="004448F4"/>
    <w:rsid w:val="004449F4"/>
    <w:rsid w:val="00444A33"/>
    <w:rsid w:val="00444AF0"/>
    <w:rsid w:val="00444B57"/>
    <w:rsid w:val="00444DD9"/>
    <w:rsid w:val="00444E3B"/>
    <w:rsid w:val="00444FA7"/>
    <w:rsid w:val="00445023"/>
    <w:rsid w:val="0044510A"/>
    <w:rsid w:val="004451B2"/>
    <w:rsid w:val="0044524D"/>
    <w:rsid w:val="004453F0"/>
    <w:rsid w:val="00445485"/>
    <w:rsid w:val="0044572C"/>
    <w:rsid w:val="0044575C"/>
    <w:rsid w:val="00445777"/>
    <w:rsid w:val="0044586D"/>
    <w:rsid w:val="00445A2B"/>
    <w:rsid w:val="00445A50"/>
    <w:rsid w:val="00445A9C"/>
    <w:rsid w:val="00445AEC"/>
    <w:rsid w:val="00445B81"/>
    <w:rsid w:val="00445C0C"/>
    <w:rsid w:val="00445C1A"/>
    <w:rsid w:val="00445C86"/>
    <w:rsid w:val="00445CF6"/>
    <w:rsid w:val="00445CF9"/>
    <w:rsid w:val="00445D20"/>
    <w:rsid w:val="00445D36"/>
    <w:rsid w:val="00445E43"/>
    <w:rsid w:val="00445F3F"/>
    <w:rsid w:val="0044608A"/>
    <w:rsid w:val="00446140"/>
    <w:rsid w:val="00446161"/>
    <w:rsid w:val="00446238"/>
    <w:rsid w:val="0044631B"/>
    <w:rsid w:val="00446544"/>
    <w:rsid w:val="0044658E"/>
    <w:rsid w:val="00446594"/>
    <w:rsid w:val="004465A7"/>
    <w:rsid w:val="0044663A"/>
    <w:rsid w:val="004466AE"/>
    <w:rsid w:val="0044674C"/>
    <w:rsid w:val="004467A7"/>
    <w:rsid w:val="004467DC"/>
    <w:rsid w:val="00446878"/>
    <w:rsid w:val="00446AB1"/>
    <w:rsid w:val="00446B0F"/>
    <w:rsid w:val="00446BF2"/>
    <w:rsid w:val="00446C72"/>
    <w:rsid w:val="00446DAB"/>
    <w:rsid w:val="00446E61"/>
    <w:rsid w:val="00446E91"/>
    <w:rsid w:val="00446FE2"/>
    <w:rsid w:val="00447017"/>
    <w:rsid w:val="00447050"/>
    <w:rsid w:val="004470E6"/>
    <w:rsid w:val="0044717B"/>
    <w:rsid w:val="004471AC"/>
    <w:rsid w:val="004471F1"/>
    <w:rsid w:val="00447287"/>
    <w:rsid w:val="004472E9"/>
    <w:rsid w:val="00447332"/>
    <w:rsid w:val="00447526"/>
    <w:rsid w:val="0044755F"/>
    <w:rsid w:val="004476AC"/>
    <w:rsid w:val="004476AE"/>
    <w:rsid w:val="00447739"/>
    <w:rsid w:val="004478BC"/>
    <w:rsid w:val="0044791E"/>
    <w:rsid w:val="0044798E"/>
    <w:rsid w:val="004479C9"/>
    <w:rsid w:val="00447B59"/>
    <w:rsid w:val="00447B66"/>
    <w:rsid w:val="00447B6F"/>
    <w:rsid w:val="00447BA2"/>
    <w:rsid w:val="00447C4B"/>
    <w:rsid w:val="00447E17"/>
    <w:rsid w:val="00447E4A"/>
    <w:rsid w:val="00447F13"/>
    <w:rsid w:val="00447F23"/>
    <w:rsid w:val="00447FBA"/>
    <w:rsid w:val="0045000D"/>
    <w:rsid w:val="00450154"/>
    <w:rsid w:val="00450253"/>
    <w:rsid w:val="00450256"/>
    <w:rsid w:val="00450266"/>
    <w:rsid w:val="004502FB"/>
    <w:rsid w:val="00450331"/>
    <w:rsid w:val="0045043E"/>
    <w:rsid w:val="0045046E"/>
    <w:rsid w:val="00450478"/>
    <w:rsid w:val="0045049F"/>
    <w:rsid w:val="004504B0"/>
    <w:rsid w:val="004506B2"/>
    <w:rsid w:val="0045076E"/>
    <w:rsid w:val="004507C8"/>
    <w:rsid w:val="004507D1"/>
    <w:rsid w:val="00450880"/>
    <w:rsid w:val="004508E2"/>
    <w:rsid w:val="00450960"/>
    <w:rsid w:val="00450962"/>
    <w:rsid w:val="004509A7"/>
    <w:rsid w:val="00450A56"/>
    <w:rsid w:val="00450A62"/>
    <w:rsid w:val="00450BD9"/>
    <w:rsid w:val="00450BE4"/>
    <w:rsid w:val="00450C50"/>
    <w:rsid w:val="00450E45"/>
    <w:rsid w:val="00451014"/>
    <w:rsid w:val="0045109B"/>
    <w:rsid w:val="004510FE"/>
    <w:rsid w:val="00451111"/>
    <w:rsid w:val="0045111E"/>
    <w:rsid w:val="0045116C"/>
    <w:rsid w:val="004511AE"/>
    <w:rsid w:val="0045128A"/>
    <w:rsid w:val="0045136C"/>
    <w:rsid w:val="00451458"/>
    <w:rsid w:val="0045156F"/>
    <w:rsid w:val="004515BE"/>
    <w:rsid w:val="00451613"/>
    <w:rsid w:val="00451743"/>
    <w:rsid w:val="0045187A"/>
    <w:rsid w:val="004519BB"/>
    <w:rsid w:val="00451A24"/>
    <w:rsid w:val="00451A2E"/>
    <w:rsid w:val="00451B15"/>
    <w:rsid w:val="00451B45"/>
    <w:rsid w:val="00451BBF"/>
    <w:rsid w:val="00451C37"/>
    <w:rsid w:val="00451C8E"/>
    <w:rsid w:val="00451FCD"/>
    <w:rsid w:val="004520CF"/>
    <w:rsid w:val="004520DD"/>
    <w:rsid w:val="004521B2"/>
    <w:rsid w:val="0045221B"/>
    <w:rsid w:val="004522B0"/>
    <w:rsid w:val="0045234B"/>
    <w:rsid w:val="00452549"/>
    <w:rsid w:val="004525B8"/>
    <w:rsid w:val="0045272C"/>
    <w:rsid w:val="00452878"/>
    <w:rsid w:val="0045290F"/>
    <w:rsid w:val="00452918"/>
    <w:rsid w:val="0045299D"/>
    <w:rsid w:val="00452B23"/>
    <w:rsid w:val="00452CBB"/>
    <w:rsid w:val="00452D24"/>
    <w:rsid w:val="00452E5B"/>
    <w:rsid w:val="00452E82"/>
    <w:rsid w:val="00452E85"/>
    <w:rsid w:val="004530A8"/>
    <w:rsid w:val="0045312B"/>
    <w:rsid w:val="00453174"/>
    <w:rsid w:val="00453418"/>
    <w:rsid w:val="004534D6"/>
    <w:rsid w:val="0045351F"/>
    <w:rsid w:val="004535C6"/>
    <w:rsid w:val="00453727"/>
    <w:rsid w:val="00453969"/>
    <w:rsid w:val="0045397C"/>
    <w:rsid w:val="004539C2"/>
    <w:rsid w:val="00453A95"/>
    <w:rsid w:val="00453ACA"/>
    <w:rsid w:val="00453BB5"/>
    <w:rsid w:val="00453BC9"/>
    <w:rsid w:val="00453C66"/>
    <w:rsid w:val="00453C97"/>
    <w:rsid w:val="00453CD5"/>
    <w:rsid w:val="00453E2F"/>
    <w:rsid w:val="00453EED"/>
    <w:rsid w:val="00453FA9"/>
    <w:rsid w:val="004540AF"/>
    <w:rsid w:val="004540EE"/>
    <w:rsid w:val="004542CC"/>
    <w:rsid w:val="004542F6"/>
    <w:rsid w:val="004545F3"/>
    <w:rsid w:val="00454672"/>
    <w:rsid w:val="004546A0"/>
    <w:rsid w:val="004546E9"/>
    <w:rsid w:val="004547D3"/>
    <w:rsid w:val="00454885"/>
    <w:rsid w:val="0045492B"/>
    <w:rsid w:val="00454937"/>
    <w:rsid w:val="004549FC"/>
    <w:rsid w:val="00454B77"/>
    <w:rsid w:val="00454B8A"/>
    <w:rsid w:val="00454CE4"/>
    <w:rsid w:val="00454EBD"/>
    <w:rsid w:val="00454F4E"/>
    <w:rsid w:val="004550A7"/>
    <w:rsid w:val="0045510A"/>
    <w:rsid w:val="004551D7"/>
    <w:rsid w:val="0045539C"/>
    <w:rsid w:val="0045567B"/>
    <w:rsid w:val="004557DE"/>
    <w:rsid w:val="0045594E"/>
    <w:rsid w:val="004559EC"/>
    <w:rsid w:val="00455A28"/>
    <w:rsid w:val="00455DCE"/>
    <w:rsid w:val="00455ED8"/>
    <w:rsid w:val="00455F0E"/>
    <w:rsid w:val="00455FDC"/>
    <w:rsid w:val="004560A4"/>
    <w:rsid w:val="00456107"/>
    <w:rsid w:val="00456205"/>
    <w:rsid w:val="004562AD"/>
    <w:rsid w:val="00456415"/>
    <w:rsid w:val="00456507"/>
    <w:rsid w:val="0045667B"/>
    <w:rsid w:val="00456791"/>
    <w:rsid w:val="004567EC"/>
    <w:rsid w:val="00456A19"/>
    <w:rsid w:val="00456AB8"/>
    <w:rsid w:val="00456ACC"/>
    <w:rsid w:val="00456B49"/>
    <w:rsid w:val="00456BA2"/>
    <w:rsid w:val="00456E8F"/>
    <w:rsid w:val="0045702E"/>
    <w:rsid w:val="00457036"/>
    <w:rsid w:val="004570CC"/>
    <w:rsid w:val="0045724D"/>
    <w:rsid w:val="00457366"/>
    <w:rsid w:val="0045736E"/>
    <w:rsid w:val="0045757E"/>
    <w:rsid w:val="004575B3"/>
    <w:rsid w:val="004575EA"/>
    <w:rsid w:val="0045761A"/>
    <w:rsid w:val="00457638"/>
    <w:rsid w:val="0045766D"/>
    <w:rsid w:val="00457683"/>
    <w:rsid w:val="004577DB"/>
    <w:rsid w:val="004577FC"/>
    <w:rsid w:val="004578D5"/>
    <w:rsid w:val="00457973"/>
    <w:rsid w:val="004579A3"/>
    <w:rsid w:val="004579EE"/>
    <w:rsid w:val="00457A19"/>
    <w:rsid w:val="00457A24"/>
    <w:rsid w:val="00457B7B"/>
    <w:rsid w:val="00457C9A"/>
    <w:rsid w:val="00457D3A"/>
    <w:rsid w:val="00457D4C"/>
    <w:rsid w:val="00457D83"/>
    <w:rsid w:val="00457DBD"/>
    <w:rsid w:val="004600CD"/>
    <w:rsid w:val="0046010B"/>
    <w:rsid w:val="00460132"/>
    <w:rsid w:val="0046026E"/>
    <w:rsid w:val="0046027E"/>
    <w:rsid w:val="00460281"/>
    <w:rsid w:val="004602EA"/>
    <w:rsid w:val="00460578"/>
    <w:rsid w:val="004605B4"/>
    <w:rsid w:val="00460713"/>
    <w:rsid w:val="00460726"/>
    <w:rsid w:val="00460855"/>
    <w:rsid w:val="00460863"/>
    <w:rsid w:val="004608AB"/>
    <w:rsid w:val="00460905"/>
    <w:rsid w:val="0046098A"/>
    <w:rsid w:val="00460AA6"/>
    <w:rsid w:val="00460AE7"/>
    <w:rsid w:val="00460B37"/>
    <w:rsid w:val="00460BD4"/>
    <w:rsid w:val="00460CB6"/>
    <w:rsid w:val="00460D77"/>
    <w:rsid w:val="00460EB5"/>
    <w:rsid w:val="00460FBC"/>
    <w:rsid w:val="004610A7"/>
    <w:rsid w:val="004611FA"/>
    <w:rsid w:val="00461208"/>
    <w:rsid w:val="00461296"/>
    <w:rsid w:val="004612A2"/>
    <w:rsid w:val="00461512"/>
    <w:rsid w:val="00461587"/>
    <w:rsid w:val="00461686"/>
    <w:rsid w:val="00461806"/>
    <w:rsid w:val="00461811"/>
    <w:rsid w:val="0046183C"/>
    <w:rsid w:val="0046185E"/>
    <w:rsid w:val="004618AB"/>
    <w:rsid w:val="00461930"/>
    <w:rsid w:val="004619C8"/>
    <w:rsid w:val="004619E9"/>
    <w:rsid w:val="00461B0E"/>
    <w:rsid w:val="00461B15"/>
    <w:rsid w:val="00461D0E"/>
    <w:rsid w:val="00461EAB"/>
    <w:rsid w:val="00461F68"/>
    <w:rsid w:val="0046231D"/>
    <w:rsid w:val="00462350"/>
    <w:rsid w:val="0046238F"/>
    <w:rsid w:val="004623C5"/>
    <w:rsid w:val="00462536"/>
    <w:rsid w:val="0046253D"/>
    <w:rsid w:val="00462581"/>
    <w:rsid w:val="00462650"/>
    <w:rsid w:val="00462928"/>
    <w:rsid w:val="00462C6A"/>
    <w:rsid w:val="00462E34"/>
    <w:rsid w:val="00462E79"/>
    <w:rsid w:val="00462EA3"/>
    <w:rsid w:val="00462EED"/>
    <w:rsid w:val="00462EFB"/>
    <w:rsid w:val="00462FEE"/>
    <w:rsid w:val="004631CB"/>
    <w:rsid w:val="00463205"/>
    <w:rsid w:val="00463291"/>
    <w:rsid w:val="004632AA"/>
    <w:rsid w:val="004632BC"/>
    <w:rsid w:val="004633B1"/>
    <w:rsid w:val="004634E1"/>
    <w:rsid w:val="00463646"/>
    <w:rsid w:val="00463664"/>
    <w:rsid w:val="0046373D"/>
    <w:rsid w:val="00463834"/>
    <w:rsid w:val="004639CD"/>
    <w:rsid w:val="00463BA9"/>
    <w:rsid w:val="004640C6"/>
    <w:rsid w:val="00464181"/>
    <w:rsid w:val="004641E7"/>
    <w:rsid w:val="004642E8"/>
    <w:rsid w:val="00464428"/>
    <w:rsid w:val="00464429"/>
    <w:rsid w:val="00464430"/>
    <w:rsid w:val="004646B2"/>
    <w:rsid w:val="00464759"/>
    <w:rsid w:val="004647EA"/>
    <w:rsid w:val="004647FC"/>
    <w:rsid w:val="004648F7"/>
    <w:rsid w:val="00464D34"/>
    <w:rsid w:val="00464E08"/>
    <w:rsid w:val="00464F09"/>
    <w:rsid w:val="00465011"/>
    <w:rsid w:val="00465115"/>
    <w:rsid w:val="0046515C"/>
    <w:rsid w:val="004651AE"/>
    <w:rsid w:val="004651C3"/>
    <w:rsid w:val="004652C4"/>
    <w:rsid w:val="00465401"/>
    <w:rsid w:val="00465584"/>
    <w:rsid w:val="004655F0"/>
    <w:rsid w:val="004656BC"/>
    <w:rsid w:val="004658C7"/>
    <w:rsid w:val="00465934"/>
    <w:rsid w:val="0046596E"/>
    <w:rsid w:val="00465B2E"/>
    <w:rsid w:val="00465B44"/>
    <w:rsid w:val="00465B87"/>
    <w:rsid w:val="00465C66"/>
    <w:rsid w:val="00465D27"/>
    <w:rsid w:val="00465EA7"/>
    <w:rsid w:val="00465FE1"/>
    <w:rsid w:val="004660A9"/>
    <w:rsid w:val="004660EB"/>
    <w:rsid w:val="00466132"/>
    <w:rsid w:val="004662C5"/>
    <w:rsid w:val="0046667C"/>
    <w:rsid w:val="004666E6"/>
    <w:rsid w:val="004669E7"/>
    <w:rsid w:val="00466A06"/>
    <w:rsid w:val="00466B97"/>
    <w:rsid w:val="00466BAC"/>
    <w:rsid w:val="00466BDC"/>
    <w:rsid w:val="00466D39"/>
    <w:rsid w:val="00466EAE"/>
    <w:rsid w:val="00466EEE"/>
    <w:rsid w:val="00466F85"/>
    <w:rsid w:val="00466FEB"/>
    <w:rsid w:val="00466FEC"/>
    <w:rsid w:val="0046710A"/>
    <w:rsid w:val="00467136"/>
    <w:rsid w:val="00467198"/>
    <w:rsid w:val="004672E1"/>
    <w:rsid w:val="0046751B"/>
    <w:rsid w:val="004675DE"/>
    <w:rsid w:val="00467700"/>
    <w:rsid w:val="00467835"/>
    <w:rsid w:val="00467AA9"/>
    <w:rsid w:val="00467AD1"/>
    <w:rsid w:val="00467BE0"/>
    <w:rsid w:val="00467CBF"/>
    <w:rsid w:val="00467EAA"/>
    <w:rsid w:val="00467EFF"/>
    <w:rsid w:val="0047000A"/>
    <w:rsid w:val="00470021"/>
    <w:rsid w:val="00470094"/>
    <w:rsid w:val="004701C1"/>
    <w:rsid w:val="004701E4"/>
    <w:rsid w:val="00470374"/>
    <w:rsid w:val="00470485"/>
    <w:rsid w:val="004704AB"/>
    <w:rsid w:val="0047069F"/>
    <w:rsid w:val="004706DB"/>
    <w:rsid w:val="0047080D"/>
    <w:rsid w:val="00470924"/>
    <w:rsid w:val="0047094F"/>
    <w:rsid w:val="00470967"/>
    <w:rsid w:val="0047097F"/>
    <w:rsid w:val="00470AE5"/>
    <w:rsid w:val="00470C0A"/>
    <w:rsid w:val="00470C22"/>
    <w:rsid w:val="00470CDC"/>
    <w:rsid w:val="00470CE2"/>
    <w:rsid w:val="00470D50"/>
    <w:rsid w:val="00470EE3"/>
    <w:rsid w:val="00470F9B"/>
    <w:rsid w:val="00470FFE"/>
    <w:rsid w:val="0047117B"/>
    <w:rsid w:val="0047132F"/>
    <w:rsid w:val="00471331"/>
    <w:rsid w:val="0047136D"/>
    <w:rsid w:val="004713A8"/>
    <w:rsid w:val="004713CE"/>
    <w:rsid w:val="004714E5"/>
    <w:rsid w:val="004716E1"/>
    <w:rsid w:val="004716E3"/>
    <w:rsid w:val="00471737"/>
    <w:rsid w:val="00471739"/>
    <w:rsid w:val="00471783"/>
    <w:rsid w:val="00471A39"/>
    <w:rsid w:val="00471AB7"/>
    <w:rsid w:val="00471AFE"/>
    <w:rsid w:val="00471B13"/>
    <w:rsid w:val="00471B36"/>
    <w:rsid w:val="00471D96"/>
    <w:rsid w:val="00471E03"/>
    <w:rsid w:val="00471EC0"/>
    <w:rsid w:val="00471FC8"/>
    <w:rsid w:val="004720DD"/>
    <w:rsid w:val="0047222A"/>
    <w:rsid w:val="00472520"/>
    <w:rsid w:val="00472596"/>
    <w:rsid w:val="004725F4"/>
    <w:rsid w:val="00472641"/>
    <w:rsid w:val="00472665"/>
    <w:rsid w:val="00472863"/>
    <w:rsid w:val="004728DB"/>
    <w:rsid w:val="00472962"/>
    <w:rsid w:val="00472A6D"/>
    <w:rsid w:val="00472AD3"/>
    <w:rsid w:val="00472B57"/>
    <w:rsid w:val="00472B63"/>
    <w:rsid w:val="00472C56"/>
    <w:rsid w:val="00472C93"/>
    <w:rsid w:val="00472C98"/>
    <w:rsid w:val="00472D9C"/>
    <w:rsid w:val="00472DED"/>
    <w:rsid w:val="00472E08"/>
    <w:rsid w:val="00472E2A"/>
    <w:rsid w:val="00472E9C"/>
    <w:rsid w:val="00472FBC"/>
    <w:rsid w:val="00473199"/>
    <w:rsid w:val="00473464"/>
    <w:rsid w:val="00473553"/>
    <w:rsid w:val="00473613"/>
    <w:rsid w:val="004736B8"/>
    <w:rsid w:val="004736EA"/>
    <w:rsid w:val="00473721"/>
    <w:rsid w:val="004737A0"/>
    <w:rsid w:val="00473875"/>
    <w:rsid w:val="0047387D"/>
    <w:rsid w:val="004739F7"/>
    <w:rsid w:val="00473A4E"/>
    <w:rsid w:val="00473AB4"/>
    <w:rsid w:val="00473B80"/>
    <w:rsid w:val="00473B90"/>
    <w:rsid w:val="00473B97"/>
    <w:rsid w:val="00473CC4"/>
    <w:rsid w:val="00473D79"/>
    <w:rsid w:val="00473FE9"/>
    <w:rsid w:val="004741B8"/>
    <w:rsid w:val="00474220"/>
    <w:rsid w:val="00474272"/>
    <w:rsid w:val="00474283"/>
    <w:rsid w:val="004742FB"/>
    <w:rsid w:val="0047433A"/>
    <w:rsid w:val="00474420"/>
    <w:rsid w:val="00474421"/>
    <w:rsid w:val="004745C0"/>
    <w:rsid w:val="004746AE"/>
    <w:rsid w:val="004747B4"/>
    <w:rsid w:val="0047483D"/>
    <w:rsid w:val="004748FA"/>
    <w:rsid w:val="00474944"/>
    <w:rsid w:val="00474A2C"/>
    <w:rsid w:val="00474A8D"/>
    <w:rsid w:val="00474ABC"/>
    <w:rsid w:val="00474ACB"/>
    <w:rsid w:val="00474C4F"/>
    <w:rsid w:val="00474D28"/>
    <w:rsid w:val="00474DDE"/>
    <w:rsid w:val="00474E49"/>
    <w:rsid w:val="00474FBC"/>
    <w:rsid w:val="00474FEC"/>
    <w:rsid w:val="00475097"/>
    <w:rsid w:val="004750FF"/>
    <w:rsid w:val="00475180"/>
    <w:rsid w:val="004751F2"/>
    <w:rsid w:val="00475216"/>
    <w:rsid w:val="00475312"/>
    <w:rsid w:val="0047544E"/>
    <w:rsid w:val="004754EE"/>
    <w:rsid w:val="0047556B"/>
    <w:rsid w:val="00475636"/>
    <w:rsid w:val="00475839"/>
    <w:rsid w:val="00475A12"/>
    <w:rsid w:val="00475C67"/>
    <w:rsid w:val="00475F02"/>
    <w:rsid w:val="00475F83"/>
    <w:rsid w:val="00475FAC"/>
    <w:rsid w:val="00476071"/>
    <w:rsid w:val="00476147"/>
    <w:rsid w:val="0047615E"/>
    <w:rsid w:val="00476192"/>
    <w:rsid w:val="0047636E"/>
    <w:rsid w:val="0047641D"/>
    <w:rsid w:val="004764FC"/>
    <w:rsid w:val="004765E2"/>
    <w:rsid w:val="0047668C"/>
    <w:rsid w:val="00476739"/>
    <w:rsid w:val="004767DE"/>
    <w:rsid w:val="0047683C"/>
    <w:rsid w:val="004769A1"/>
    <w:rsid w:val="004769D3"/>
    <w:rsid w:val="00476D63"/>
    <w:rsid w:val="00476D6D"/>
    <w:rsid w:val="00477002"/>
    <w:rsid w:val="0047712B"/>
    <w:rsid w:val="004771F3"/>
    <w:rsid w:val="0047732B"/>
    <w:rsid w:val="0047739A"/>
    <w:rsid w:val="004773E5"/>
    <w:rsid w:val="00477426"/>
    <w:rsid w:val="00477556"/>
    <w:rsid w:val="0047786E"/>
    <w:rsid w:val="00477884"/>
    <w:rsid w:val="004778AF"/>
    <w:rsid w:val="004778DB"/>
    <w:rsid w:val="004778F2"/>
    <w:rsid w:val="004779AA"/>
    <w:rsid w:val="004779C9"/>
    <w:rsid w:val="004779D1"/>
    <w:rsid w:val="004779DD"/>
    <w:rsid w:val="00477B61"/>
    <w:rsid w:val="00477B62"/>
    <w:rsid w:val="00477C4F"/>
    <w:rsid w:val="00477C6F"/>
    <w:rsid w:val="00477CA1"/>
    <w:rsid w:val="00477DA3"/>
    <w:rsid w:val="00477F01"/>
    <w:rsid w:val="00480140"/>
    <w:rsid w:val="004801BA"/>
    <w:rsid w:val="00480236"/>
    <w:rsid w:val="004802F0"/>
    <w:rsid w:val="004802FF"/>
    <w:rsid w:val="00480492"/>
    <w:rsid w:val="00480536"/>
    <w:rsid w:val="0048053F"/>
    <w:rsid w:val="004805DC"/>
    <w:rsid w:val="00480660"/>
    <w:rsid w:val="004806F1"/>
    <w:rsid w:val="00480A31"/>
    <w:rsid w:val="00480A3A"/>
    <w:rsid w:val="00480B98"/>
    <w:rsid w:val="00480BC8"/>
    <w:rsid w:val="00480C44"/>
    <w:rsid w:val="00480DAE"/>
    <w:rsid w:val="00480DCB"/>
    <w:rsid w:val="00480E1B"/>
    <w:rsid w:val="00480E4C"/>
    <w:rsid w:val="00480E54"/>
    <w:rsid w:val="00480F9E"/>
    <w:rsid w:val="00481076"/>
    <w:rsid w:val="004810CA"/>
    <w:rsid w:val="004810D7"/>
    <w:rsid w:val="00481131"/>
    <w:rsid w:val="0048115B"/>
    <w:rsid w:val="004811E5"/>
    <w:rsid w:val="00481296"/>
    <w:rsid w:val="004812A0"/>
    <w:rsid w:val="00481325"/>
    <w:rsid w:val="0048143A"/>
    <w:rsid w:val="0048146B"/>
    <w:rsid w:val="00481534"/>
    <w:rsid w:val="00481545"/>
    <w:rsid w:val="00481752"/>
    <w:rsid w:val="00481832"/>
    <w:rsid w:val="004819A7"/>
    <w:rsid w:val="00481B47"/>
    <w:rsid w:val="00481BD7"/>
    <w:rsid w:val="00481C26"/>
    <w:rsid w:val="00481C82"/>
    <w:rsid w:val="00481D8C"/>
    <w:rsid w:val="00481DC8"/>
    <w:rsid w:val="00481EEC"/>
    <w:rsid w:val="0048208A"/>
    <w:rsid w:val="00482113"/>
    <w:rsid w:val="00482127"/>
    <w:rsid w:val="004823FA"/>
    <w:rsid w:val="004825F3"/>
    <w:rsid w:val="004826B5"/>
    <w:rsid w:val="004827DA"/>
    <w:rsid w:val="0048288B"/>
    <w:rsid w:val="00482976"/>
    <w:rsid w:val="00482A6E"/>
    <w:rsid w:val="00482A8F"/>
    <w:rsid w:val="00482AF1"/>
    <w:rsid w:val="00482B8E"/>
    <w:rsid w:val="00482C5E"/>
    <w:rsid w:val="00482F39"/>
    <w:rsid w:val="00482F61"/>
    <w:rsid w:val="00483001"/>
    <w:rsid w:val="0048305C"/>
    <w:rsid w:val="004830AB"/>
    <w:rsid w:val="0048310F"/>
    <w:rsid w:val="0048315F"/>
    <w:rsid w:val="004831C7"/>
    <w:rsid w:val="0048332B"/>
    <w:rsid w:val="00483543"/>
    <w:rsid w:val="00483590"/>
    <w:rsid w:val="004835D2"/>
    <w:rsid w:val="00483634"/>
    <w:rsid w:val="00483746"/>
    <w:rsid w:val="004837B5"/>
    <w:rsid w:val="00483849"/>
    <w:rsid w:val="004838F5"/>
    <w:rsid w:val="004839F6"/>
    <w:rsid w:val="00483A33"/>
    <w:rsid w:val="00483CCF"/>
    <w:rsid w:val="00483CE3"/>
    <w:rsid w:val="00483F46"/>
    <w:rsid w:val="00483F61"/>
    <w:rsid w:val="00483FCA"/>
    <w:rsid w:val="0048410E"/>
    <w:rsid w:val="004843D0"/>
    <w:rsid w:val="00484461"/>
    <w:rsid w:val="00484581"/>
    <w:rsid w:val="0048481F"/>
    <w:rsid w:val="004848F5"/>
    <w:rsid w:val="004849CD"/>
    <w:rsid w:val="00484B38"/>
    <w:rsid w:val="00484C75"/>
    <w:rsid w:val="00484DF3"/>
    <w:rsid w:val="00484F33"/>
    <w:rsid w:val="00484F7D"/>
    <w:rsid w:val="00484F9F"/>
    <w:rsid w:val="00485025"/>
    <w:rsid w:val="004851E2"/>
    <w:rsid w:val="004851E3"/>
    <w:rsid w:val="00485276"/>
    <w:rsid w:val="0048528E"/>
    <w:rsid w:val="0048534E"/>
    <w:rsid w:val="00485465"/>
    <w:rsid w:val="004857DF"/>
    <w:rsid w:val="004857E0"/>
    <w:rsid w:val="0048580C"/>
    <w:rsid w:val="00485862"/>
    <w:rsid w:val="004859A8"/>
    <w:rsid w:val="00485A4E"/>
    <w:rsid w:val="00485A5C"/>
    <w:rsid w:val="00485A71"/>
    <w:rsid w:val="00485AC2"/>
    <w:rsid w:val="00485BDA"/>
    <w:rsid w:val="00485C49"/>
    <w:rsid w:val="00485C8B"/>
    <w:rsid w:val="00485CE6"/>
    <w:rsid w:val="00485DB6"/>
    <w:rsid w:val="00485F87"/>
    <w:rsid w:val="00486185"/>
    <w:rsid w:val="0048626A"/>
    <w:rsid w:val="0048629B"/>
    <w:rsid w:val="0048664F"/>
    <w:rsid w:val="00486694"/>
    <w:rsid w:val="0048678F"/>
    <w:rsid w:val="004869AC"/>
    <w:rsid w:val="004869F4"/>
    <w:rsid w:val="00486B88"/>
    <w:rsid w:val="00486C9C"/>
    <w:rsid w:val="00486E2A"/>
    <w:rsid w:val="00486E9D"/>
    <w:rsid w:val="00486FAC"/>
    <w:rsid w:val="00486FCB"/>
    <w:rsid w:val="004873A6"/>
    <w:rsid w:val="00487453"/>
    <w:rsid w:val="0048746A"/>
    <w:rsid w:val="004874A5"/>
    <w:rsid w:val="004875C5"/>
    <w:rsid w:val="004876CF"/>
    <w:rsid w:val="004876F8"/>
    <w:rsid w:val="004878A2"/>
    <w:rsid w:val="00487A23"/>
    <w:rsid w:val="00487A44"/>
    <w:rsid w:val="00487A51"/>
    <w:rsid w:val="00487ADF"/>
    <w:rsid w:val="00487BE9"/>
    <w:rsid w:val="00487E19"/>
    <w:rsid w:val="00487E2D"/>
    <w:rsid w:val="00487E64"/>
    <w:rsid w:val="00487E7B"/>
    <w:rsid w:val="00487EB7"/>
    <w:rsid w:val="0049000C"/>
    <w:rsid w:val="004900CA"/>
    <w:rsid w:val="004900D2"/>
    <w:rsid w:val="00490156"/>
    <w:rsid w:val="00490165"/>
    <w:rsid w:val="004901C6"/>
    <w:rsid w:val="00490232"/>
    <w:rsid w:val="004903A4"/>
    <w:rsid w:val="004903EE"/>
    <w:rsid w:val="00490424"/>
    <w:rsid w:val="004904AE"/>
    <w:rsid w:val="00490504"/>
    <w:rsid w:val="00490518"/>
    <w:rsid w:val="004905DD"/>
    <w:rsid w:val="0049062D"/>
    <w:rsid w:val="004906FC"/>
    <w:rsid w:val="00490999"/>
    <w:rsid w:val="004909D8"/>
    <w:rsid w:val="004909ED"/>
    <w:rsid w:val="00490A04"/>
    <w:rsid w:val="00490A0D"/>
    <w:rsid w:val="00490A53"/>
    <w:rsid w:val="00490B0A"/>
    <w:rsid w:val="00490B52"/>
    <w:rsid w:val="00490BD0"/>
    <w:rsid w:val="00490E3A"/>
    <w:rsid w:val="00490E69"/>
    <w:rsid w:val="00490EF6"/>
    <w:rsid w:val="00491002"/>
    <w:rsid w:val="0049105F"/>
    <w:rsid w:val="0049116A"/>
    <w:rsid w:val="004911BF"/>
    <w:rsid w:val="004911EA"/>
    <w:rsid w:val="0049140E"/>
    <w:rsid w:val="0049148E"/>
    <w:rsid w:val="004915CA"/>
    <w:rsid w:val="004916AD"/>
    <w:rsid w:val="004916E0"/>
    <w:rsid w:val="0049179D"/>
    <w:rsid w:val="004917D8"/>
    <w:rsid w:val="00491BA2"/>
    <w:rsid w:val="00491CF1"/>
    <w:rsid w:val="00491D34"/>
    <w:rsid w:val="00491D4B"/>
    <w:rsid w:val="00491D6D"/>
    <w:rsid w:val="00491E02"/>
    <w:rsid w:val="00491EE8"/>
    <w:rsid w:val="00491F02"/>
    <w:rsid w:val="0049214C"/>
    <w:rsid w:val="00492229"/>
    <w:rsid w:val="0049224D"/>
    <w:rsid w:val="004922D9"/>
    <w:rsid w:val="004923E3"/>
    <w:rsid w:val="00492481"/>
    <w:rsid w:val="004924C8"/>
    <w:rsid w:val="004925C6"/>
    <w:rsid w:val="004925E5"/>
    <w:rsid w:val="004925F1"/>
    <w:rsid w:val="0049263D"/>
    <w:rsid w:val="004926FF"/>
    <w:rsid w:val="00492736"/>
    <w:rsid w:val="00492740"/>
    <w:rsid w:val="00492878"/>
    <w:rsid w:val="0049288E"/>
    <w:rsid w:val="00492963"/>
    <w:rsid w:val="00492C8C"/>
    <w:rsid w:val="00492ED7"/>
    <w:rsid w:val="0049303B"/>
    <w:rsid w:val="00493158"/>
    <w:rsid w:val="0049322B"/>
    <w:rsid w:val="00493289"/>
    <w:rsid w:val="00493323"/>
    <w:rsid w:val="0049334D"/>
    <w:rsid w:val="0049339C"/>
    <w:rsid w:val="004935CB"/>
    <w:rsid w:val="004935EA"/>
    <w:rsid w:val="004936D2"/>
    <w:rsid w:val="0049371C"/>
    <w:rsid w:val="00493767"/>
    <w:rsid w:val="004939CD"/>
    <w:rsid w:val="004939FB"/>
    <w:rsid w:val="00493A40"/>
    <w:rsid w:val="00493A61"/>
    <w:rsid w:val="00493B6B"/>
    <w:rsid w:val="00493DF7"/>
    <w:rsid w:val="00493F53"/>
    <w:rsid w:val="004941E4"/>
    <w:rsid w:val="0049423B"/>
    <w:rsid w:val="00494394"/>
    <w:rsid w:val="00494414"/>
    <w:rsid w:val="00494432"/>
    <w:rsid w:val="0049449E"/>
    <w:rsid w:val="004946AD"/>
    <w:rsid w:val="004946F7"/>
    <w:rsid w:val="004947AE"/>
    <w:rsid w:val="004947E1"/>
    <w:rsid w:val="00494890"/>
    <w:rsid w:val="00494950"/>
    <w:rsid w:val="00494B59"/>
    <w:rsid w:val="00494D83"/>
    <w:rsid w:val="00494FC4"/>
    <w:rsid w:val="00495030"/>
    <w:rsid w:val="004950D9"/>
    <w:rsid w:val="004950F5"/>
    <w:rsid w:val="004951EF"/>
    <w:rsid w:val="004951FF"/>
    <w:rsid w:val="004952FD"/>
    <w:rsid w:val="00495403"/>
    <w:rsid w:val="0049550B"/>
    <w:rsid w:val="00495514"/>
    <w:rsid w:val="0049554B"/>
    <w:rsid w:val="00495564"/>
    <w:rsid w:val="00495579"/>
    <w:rsid w:val="004956E0"/>
    <w:rsid w:val="004956FC"/>
    <w:rsid w:val="0049573C"/>
    <w:rsid w:val="0049580C"/>
    <w:rsid w:val="004958C2"/>
    <w:rsid w:val="00495A18"/>
    <w:rsid w:val="00495CB2"/>
    <w:rsid w:val="00495E03"/>
    <w:rsid w:val="00495E85"/>
    <w:rsid w:val="00495F53"/>
    <w:rsid w:val="00495FDF"/>
    <w:rsid w:val="00495FE9"/>
    <w:rsid w:val="004960A5"/>
    <w:rsid w:val="004962F0"/>
    <w:rsid w:val="0049666C"/>
    <w:rsid w:val="00496699"/>
    <w:rsid w:val="004966E3"/>
    <w:rsid w:val="00496746"/>
    <w:rsid w:val="004968E8"/>
    <w:rsid w:val="0049695C"/>
    <w:rsid w:val="004969F3"/>
    <w:rsid w:val="00496AB0"/>
    <w:rsid w:val="00496B7E"/>
    <w:rsid w:val="00496B9F"/>
    <w:rsid w:val="00496D51"/>
    <w:rsid w:val="00496DB7"/>
    <w:rsid w:val="0049703F"/>
    <w:rsid w:val="004971A9"/>
    <w:rsid w:val="00497464"/>
    <w:rsid w:val="0049747A"/>
    <w:rsid w:val="004974AC"/>
    <w:rsid w:val="004974DF"/>
    <w:rsid w:val="00497530"/>
    <w:rsid w:val="004975F9"/>
    <w:rsid w:val="004976C9"/>
    <w:rsid w:val="00497797"/>
    <w:rsid w:val="004977FD"/>
    <w:rsid w:val="00497994"/>
    <w:rsid w:val="00497A60"/>
    <w:rsid w:val="00497AAE"/>
    <w:rsid w:val="00497D3E"/>
    <w:rsid w:val="00497E65"/>
    <w:rsid w:val="00497EA7"/>
    <w:rsid w:val="004A0053"/>
    <w:rsid w:val="004A00FC"/>
    <w:rsid w:val="004A0478"/>
    <w:rsid w:val="004A051E"/>
    <w:rsid w:val="004A06E5"/>
    <w:rsid w:val="004A0777"/>
    <w:rsid w:val="004A07D1"/>
    <w:rsid w:val="004A089A"/>
    <w:rsid w:val="004A0ACE"/>
    <w:rsid w:val="004A0B16"/>
    <w:rsid w:val="004A0C11"/>
    <w:rsid w:val="004A0D46"/>
    <w:rsid w:val="004A0DA5"/>
    <w:rsid w:val="004A0DC0"/>
    <w:rsid w:val="004A0E1A"/>
    <w:rsid w:val="004A0F91"/>
    <w:rsid w:val="004A0FAC"/>
    <w:rsid w:val="004A10ED"/>
    <w:rsid w:val="004A1153"/>
    <w:rsid w:val="004A1214"/>
    <w:rsid w:val="004A127B"/>
    <w:rsid w:val="004A12A3"/>
    <w:rsid w:val="004A1310"/>
    <w:rsid w:val="004A1323"/>
    <w:rsid w:val="004A1369"/>
    <w:rsid w:val="004A13AA"/>
    <w:rsid w:val="004A13CE"/>
    <w:rsid w:val="004A1599"/>
    <w:rsid w:val="004A162C"/>
    <w:rsid w:val="004A1635"/>
    <w:rsid w:val="004A166D"/>
    <w:rsid w:val="004A16E7"/>
    <w:rsid w:val="004A182C"/>
    <w:rsid w:val="004A19E6"/>
    <w:rsid w:val="004A1A05"/>
    <w:rsid w:val="004A1A30"/>
    <w:rsid w:val="004A1C4E"/>
    <w:rsid w:val="004A1D2D"/>
    <w:rsid w:val="004A1E8C"/>
    <w:rsid w:val="004A1EF9"/>
    <w:rsid w:val="004A1F7E"/>
    <w:rsid w:val="004A1FAB"/>
    <w:rsid w:val="004A1FBA"/>
    <w:rsid w:val="004A200A"/>
    <w:rsid w:val="004A2011"/>
    <w:rsid w:val="004A20B7"/>
    <w:rsid w:val="004A2388"/>
    <w:rsid w:val="004A2425"/>
    <w:rsid w:val="004A2585"/>
    <w:rsid w:val="004A268B"/>
    <w:rsid w:val="004A269D"/>
    <w:rsid w:val="004A2758"/>
    <w:rsid w:val="004A27EB"/>
    <w:rsid w:val="004A2804"/>
    <w:rsid w:val="004A2922"/>
    <w:rsid w:val="004A2A1D"/>
    <w:rsid w:val="004A2A6B"/>
    <w:rsid w:val="004A2A96"/>
    <w:rsid w:val="004A2B9E"/>
    <w:rsid w:val="004A2BAA"/>
    <w:rsid w:val="004A2C33"/>
    <w:rsid w:val="004A2C60"/>
    <w:rsid w:val="004A2CA9"/>
    <w:rsid w:val="004A2E38"/>
    <w:rsid w:val="004A2EB7"/>
    <w:rsid w:val="004A2F06"/>
    <w:rsid w:val="004A2F5A"/>
    <w:rsid w:val="004A2F5C"/>
    <w:rsid w:val="004A2FDC"/>
    <w:rsid w:val="004A3080"/>
    <w:rsid w:val="004A311C"/>
    <w:rsid w:val="004A318F"/>
    <w:rsid w:val="004A3208"/>
    <w:rsid w:val="004A3386"/>
    <w:rsid w:val="004A339E"/>
    <w:rsid w:val="004A34BE"/>
    <w:rsid w:val="004A3566"/>
    <w:rsid w:val="004A35EE"/>
    <w:rsid w:val="004A3727"/>
    <w:rsid w:val="004A396E"/>
    <w:rsid w:val="004A39F3"/>
    <w:rsid w:val="004A3A70"/>
    <w:rsid w:val="004A3C99"/>
    <w:rsid w:val="004A3D20"/>
    <w:rsid w:val="004A3E4E"/>
    <w:rsid w:val="004A3E74"/>
    <w:rsid w:val="004A3E99"/>
    <w:rsid w:val="004A3EF9"/>
    <w:rsid w:val="004A3F5D"/>
    <w:rsid w:val="004A3FF5"/>
    <w:rsid w:val="004A41B1"/>
    <w:rsid w:val="004A4234"/>
    <w:rsid w:val="004A4258"/>
    <w:rsid w:val="004A4369"/>
    <w:rsid w:val="004A4396"/>
    <w:rsid w:val="004A443E"/>
    <w:rsid w:val="004A44E3"/>
    <w:rsid w:val="004A476C"/>
    <w:rsid w:val="004A485F"/>
    <w:rsid w:val="004A4921"/>
    <w:rsid w:val="004A4999"/>
    <w:rsid w:val="004A4AE3"/>
    <w:rsid w:val="004A4B24"/>
    <w:rsid w:val="004A4B26"/>
    <w:rsid w:val="004A4B55"/>
    <w:rsid w:val="004A4C40"/>
    <w:rsid w:val="004A4D1A"/>
    <w:rsid w:val="004A4D94"/>
    <w:rsid w:val="004A4DED"/>
    <w:rsid w:val="004A4EB6"/>
    <w:rsid w:val="004A4F1D"/>
    <w:rsid w:val="004A4FD1"/>
    <w:rsid w:val="004A509C"/>
    <w:rsid w:val="004A51E7"/>
    <w:rsid w:val="004A51F3"/>
    <w:rsid w:val="004A5221"/>
    <w:rsid w:val="004A5301"/>
    <w:rsid w:val="004A5338"/>
    <w:rsid w:val="004A546C"/>
    <w:rsid w:val="004A54E8"/>
    <w:rsid w:val="004A561C"/>
    <w:rsid w:val="004A570D"/>
    <w:rsid w:val="004A582B"/>
    <w:rsid w:val="004A5871"/>
    <w:rsid w:val="004A58DC"/>
    <w:rsid w:val="004A595E"/>
    <w:rsid w:val="004A5A56"/>
    <w:rsid w:val="004A5C17"/>
    <w:rsid w:val="004A5CF0"/>
    <w:rsid w:val="004A5CF7"/>
    <w:rsid w:val="004A5D5E"/>
    <w:rsid w:val="004A5DB0"/>
    <w:rsid w:val="004A5DC2"/>
    <w:rsid w:val="004A5E11"/>
    <w:rsid w:val="004A5F8A"/>
    <w:rsid w:val="004A600A"/>
    <w:rsid w:val="004A605F"/>
    <w:rsid w:val="004A6123"/>
    <w:rsid w:val="004A62E1"/>
    <w:rsid w:val="004A636D"/>
    <w:rsid w:val="004A6374"/>
    <w:rsid w:val="004A63E7"/>
    <w:rsid w:val="004A6583"/>
    <w:rsid w:val="004A65F3"/>
    <w:rsid w:val="004A6641"/>
    <w:rsid w:val="004A6664"/>
    <w:rsid w:val="004A670A"/>
    <w:rsid w:val="004A671F"/>
    <w:rsid w:val="004A67FD"/>
    <w:rsid w:val="004A6950"/>
    <w:rsid w:val="004A6AD7"/>
    <w:rsid w:val="004A6C27"/>
    <w:rsid w:val="004A6CEA"/>
    <w:rsid w:val="004A6DDE"/>
    <w:rsid w:val="004A6E05"/>
    <w:rsid w:val="004A6EBF"/>
    <w:rsid w:val="004A6EE0"/>
    <w:rsid w:val="004A6F20"/>
    <w:rsid w:val="004A6F4A"/>
    <w:rsid w:val="004A71EE"/>
    <w:rsid w:val="004A72EC"/>
    <w:rsid w:val="004A7372"/>
    <w:rsid w:val="004A76A7"/>
    <w:rsid w:val="004A7844"/>
    <w:rsid w:val="004A787B"/>
    <w:rsid w:val="004A794C"/>
    <w:rsid w:val="004A79A7"/>
    <w:rsid w:val="004A7A87"/>
    <w:rsid w:val="004A7AC8"/>
    <w:rsid w:val="004A7B47"/>
    <w:rsid w:val="004A7DEC"/>
    <w:rsid w:val="004B00D9"/>
    <w:rsid w:val="004B0429"/>
    <w:rsid w:val="004B049A"/>
    <w:rsid w:val="004B04B2"/>
    <w:rsid w:val="004B0507"/>
    <w:rsid w:val="004B0562"/>
    <w:rsid w:val="004B0609"/>
    <w:rsid w:val="004B0843"/>
    <w:rsid w:val="004B0863"/>
    <w:rsid w:val="004B0A2E"/>
    <w:rsid w:val="004B0A80"/>
    <w:rsid w:val="004B0B7D"/>
    <w:rsid w:val="004B0CF7"/>
    <w:rsid w:val="004B0DDD"/>
    <w:rsid w:val="004B0DDE"/>
    <w:rsid w:val="004B0E51"/>
    <w:rsid w:val="004B0FF2"/>
    <w:rsid w:val="004B1076"/>
    <w:rsid w:val="004B10BC"/>
    <w:rsid w:val="004B1107"/>
    <w:rsid w:val="004B11A6"/>
    <w:rsid w:val="004B12F7"/>
    <w:rsid w:val="004B1492"/>
    <w:rsid w:val="004B156B"/>
    <w:rsid w:val="004B15E9"/>
    <w:rsid w:val="004B1643"/>
    <w:rsid w:val="004B16D5"/>
    <w:rsid w:val="004B17B2"/>
    <w:rsid w:val="004B17F1"/>
    <w:rsid w:val="004B18E3"/>
    <w:rsid w:val="004B19E5"/>
    <w:rsid w:val="004B1BD5"/>
    <w:rsid w:val="004B219C"/>
    <w:rsid w:val="004B2265"/>
    <w:rsid w:val="004B24CC"/>
    <w:rsid w:val="004B25EA"/>
    <w:rsid w:val="004B29D7"/>
    <w:rsid w:val="004B2A99"/>
    <w:rsid w:val="004B2ADC"/>
    <w:rsid w:val="004B2B05"/>
    <w:rsid w:val="004B2B7D"/>
    <w:rsid w:val="004B2C29"/>
    <w:rsid w:val="004B2C6C"/>
    <w:rsid w:val="004B2DC4"/>
    <w:rsid w:val="004B2F5D"/>
    <w:rsid w:val="004B2F84"/>
    <w:rsid w:val="004B301A"/>
    <w:rsid w:val="004B31CC"/>
    <w:rsid w:val="004B34D8"/>
    <w:rsid w:val="004B36C6"/>
    <w:rsid w:val="004B3826"/>
    <w:rsid w:val="004B38D3"/>
    <w:rsid w:val="004B3921"/>
    <w:rsid w:val="004B39A0"/>
    <w:rsid w:val="004B39E5"/>
    <w:rsid w:val="004B39F8"/>
    <w:rsid w:val="004B3A92"/>
    <w:rsid w:val="004B3AC9"/>
    <w:rsid w:val="004B3C1C"/>
    <w:rsid w:val="004B3E3E"/>
    <w:rsid w:val="004B3ED5"/>
    <w:rsid w:val="004B4008"/>
    <w:rsid w:val="004B405D"/>
    <w:rsid w:val="004B40A6"/>
    <w:rsid w:val="004B41AF"/>
    <w:rsid w:val="004B4292"/>
    <w:rsid w:val="004B43A7"/>
    <w:rsid w:val="004B43C4"/>
    <w:rsid w:val="004B4401"/>
    <w:rsid w:val="004B440C"/>
    <w:rsid w:val="004B442B"/>
    <w:rsid w:val="004B48F8"/>
    <w:rsid w:val="004B4A45"/>
    <w:rsid w:val="004B4BF2"/>
    <w:rsid w:val="004B4C7C"/>
    <w:rsid w:val="004B506A"/>
    <w:rsid w:val="004B5146"/>
    <w:rsid w:val="004B5179"/>
    <w:rsid w:val="004B5191"/>
    <w:rsid w:val="004B51D3"/>
    <w:rsid w:val="004B53AD"/>
    <w:rsid w:val="004B5711"/>
    <w:rsid w:val="004B572D"/>
    <w:rsid w:val="004B574B"/>
    <w:rsid w:val="004B580E"/>
    <w:rsid w:val="004B5978"/>
    <w:rsid w:val="004B59EE"/>
    <w:rsid w:val="004B5A71"/>
    <w:rsid w:val="004B5AD8"/>
    <w:rsid w:val="004B5B2D"/>
    <w:rsid w:val="004B5BF6"/>
    <w:rsid w:val="004B5C7A"/>
    <w:rsid w:val="004B5D09"/>
    <w:rsid w:val="004B5D36"/>
    <w:rsid w:val="004B5DDD"/>
    <w:rsid w:val="004B5E17"/>
    <w:rsid w:val="004B5E41"/>
    <w:rsid w:val="004B5EC9"/>
    <w:rsid w:val="004B5F12"/>
    <w:rsid w:val="004B60A3"/>
    <w:rsid w:val="004B60FA"/>
    <w:rsid w:val="004B621F"/>
    <w:rsid w:val="004B63B6"/>
    <w:rsid w:val="004B64BD"/>
    <w:rsid w:val="004B655F"/>
    <w:rsid w:val="004B65A7"/>
    <w:rsid w:val="004B667A"/>
    <w:rsid w:val="004B669F"/>
    <w:rsid w:val="004B6785"/>
    <w:rsid w:val="004B67C4"/>
    <w:rsid w:val="004B695F"/>
    <w:rsid w:val="004B6A9E"/>
    <w:rsid w:val="004B6DEF"/>
    <w:rsid w:val="004B6DFC"/>
    <w:rsid w:val="004B6E8D"/>
    <w:rsid w:val="004B6F2F"/>
    <w:rsid w:val="004B7010"/>
    <w:rsid w:val="004B703A"/>
    <w:rsid w:val="004B71C1"/>
    <w:rsid w:val="004B7287"/>
    <w:rsid w:val="004B7478"/>
    <w:rsid w:val="004B776B"/>
    <w:rsid w:val="004B777A"/>
    <w:rsid w:val="004B77D3"/>
    <w:rsid w:val="004B7857"/>
    <w:rsid w:val="004B7938"/>
    <w:rsid w:val="004B7A18"/>
    <w:rsid w:val="004B7A48"/>
    <w:rsid w:val="004B7ABE"/>
    <w:rsid w:val="004B7C9D"/>
    <w:rsid w:val="004B7D35"/>
    <w:rsid w:val="004B7D7A"/>
    <w:rsid w:val="004B7E0C"/>
    <w:rsid w:val="004C0196"/>
    <w:rsid w:val="004C0256"/>
    <w:rsid w:val="004C0294"/>
    <w:rsid w:val="004C02B6"/>
    <w:rsid w:val="004C0376"/>
    <w:rsid w:val="004C03A5"/>
    <w:rsid w:val="004C0492"/>
    <w:rsid w:val="004C04D7"/>
    <w:rsid w:val="004C052D"/>
    <w:rsid w:val="004C0583"/>
    <w:rsid w:val="004C05A1"/>
    <w:rsid w:val="004C0715"/>
    <w:rsid w:val="004C0BA8"/>
    <w:rsid w:val="004C0BBD"/>
    <w:rsid w:val="004C0D4D"/>
    <w:rsid w:val="004C0D7A"/>
    <w:rsid w:val="004C0E61"/>
    <w:rsid w:val="004C0EF4"/>
    <w:rsid w:val="004C0F2B"/>
    <w:rsid w:val="004C0F79"/>
    <w:rsid w:val="004C107B"/>
    <w:rsid w:val="004C1137"/>
    <w:rsid w:val="004C1196"/>
    <w:rsid w:val="004C11DE"/>
    <w:rsid w:val="004C11F1"/>
    <w:rsid w:val="004C12CD"/>
    <w:rsid w:val="004C1300"/>
    <w:rsid w:val="004C13E8"/>
    <w:rsid w:val="004C14A9"/>
    <w:rsid w:val="004C14AE"/>
    <w:rsid w:val="004C14B0"/>
    <w:rsid w:val="004C14FB"/>
    <w:rsid w:val="004C1657"/>
    <w:rsid w:val="004C16A3"/>
    <w:rsid w:val="004C16A7"/>
    <w:rsid w:val="004C1839"/>
    <w:rsid w:val="004C1A06"/>
    <w:rsid w:val="004C1C55"/>
    <w:rsid w:val="004C1CA2"/>
    <w:rsid w:val="004C1F0B"/>
    <w:rsid w:val="004C1F20"/>
    <w:rsid w:val="004C2020"/>
    <w:rsid w:val="004C2136"/>
    <w:rsid w:val="004C21FA"/>
    <w:rsid w:val="004C222B"/>
    <w:rsid w:val="004C224F"/>
    <w:rsid w:val="004C233A"/>
    <w:rsid w:val="004C2362"/>
    <w:rsid w:val="004C2454"/>
    <w:rsid w:val="004C2580"/>
    <w:rsid w:val="004C2599"/>
    <w:rsid w:val="004C269C"/>
    <w:rsid w:val="004C26AA"/>
    <w:rsid w:val="004C271D"/>
    <w:rsid w:val="004C27E7"/>
    <w:rsid w:val="004C2935"/>
    <w:rsid w:val="004C29DB"/>
    <w:rsid w:val="004C2AC2"/>
    <w:rsid w:val="004C2E4C"/>
    <w:rsid w:val="004C2EAF"/>
    <w:rsid w:val="004C2EB2"/>
    <w:rsid w:val="004C2F4B"/>
    <w:rsid w:val="004C3002"/>
    <w:rsid w:val="004C308B"/>
    <w:rsid w:val="004C3094"/>
    <w:rsid w:val="004C313C"/>
    <w:rsid w:val="004C3149"/>
    <w:rsid w:val="004C316F"/>
    <w:rsid w:val="004C31FD"/>
    <w:rsid w:val="004C3391"/>
    <w:rsid w:val="004C3577"/>
    <w:rsid w:val="004C35F5"/>
    <w:rsid w:val="004C365A"/>
    <w:rsid w:val="004C367A"/>
    <w:rsid w:val="004C368A"/>
    <w:rsid w:val="004C36D6"/>
    <w:rsid w:val="004C3AA1"/>
    <w:rsid w:val="004C3B64"/>
    <w:rsid w:val="004C3B9F"/>
    <w:rsid w:val="004C3DD9"/>
    <w:rsid w:val="004C3DEC"/>
    <w:rsid w:val="004C3F60"/>
    <w:rsid w:val="004C4081"/>
    <w:rsid w:val="004C40C2"/>
    <w:rsid w:val="004C41EF"/>
    <w:rsid w:val="004C4240"/>
    <w:rsid w:val="004C4257"/>
    <w:rsid w:val="004C44C1"/>
    <w:rsid w:val="004C4763"/>
    <w:rsid w:val="004C483B"/>
    <w:rsid w:val="004C48BB"/>
    <w:rsid w:val="004C4ABF"/>
    <w:rsid w:val="004C4B0C"/>
    <w:rsid w:val="004C4B89"/>
    <w:rsid w:val="004C4BBB"/>
    <w:rsid w:val="004C4D3E"/>
    <w:rsid w:val="004C4FDD"/>
    <w:rsid w:val="004C50DA"/>
    <w:rsid w:val="004C5110"/>
    <w:rsid w:val="004C51F8"/>
    <w:rsid w:val="004C52AD"/>
    <w:rsid w:val="004C5397"/>
    <w:rsid w:val="004C5404"/>
    <w:rsid w:val="004C55FB"/>
    <w:rsid w:val="004C5772"/>
    <w:rsid w:val="004C5B12"/>
    <w:rsid w:val="004C5B39"/>
    <w:rsid w:val="004C5B75"/>
    <w:rsid w:val="004C5C23"/>
    <w:rsid w:val="004C5C73"/>
    <w:rsid w:val="004C5D67"/>
    <w:rsid w:val="004C5E2E"/>
    <w:rsid w:val="004C5F2E"/>
    <w:rsid w:val="004C5FEA"/>
    <w:rsid w:val="004C6039"/>
    <w:rsid w:val="004C6085"/>
    <w:rsid w:val="004C636C"/>
    <w:rsid w:val="004C639F"/>
    <w:rsid w:val="004C6554"/>
    <w:rsid w:val="004C65ED"/>
    <w:rsid w:val="004C6606"/>
    <w:rsid w:val="004C66C6"/>
    <w:rsid w:val="004C6714"/>
    <w:rsid w:val="004C697F"/>
    <w:rsid w:val="004C69B8"/>
    <w:rsid w:val="004C69F8"/>
    <w:rsid w:val="004C6A5F"/>
    <w:rsid w:val="004C6B09"/>
    <w:rsid w:val="004C6B87"/>
    <w:rsid w:val="004C6C82"/>
    <w:rsid w:val="004C6C8C"/>
    <w:rsid w:val="004C6C9E"/>
    <w:rsid w:val="004C6DB0"/>
    <w:rsid w:val="004C6E33"/>
    <w:rsid w:val="004C6ECC"/>
    <w:rsid w:val="004C6F07"/>
    <w:rsid w:val="004C6F77"/>
    <w:rsid w:val="004C712C"/>
    <w:rsid w:val="004C7229"/>
    <w:rsid w:val="004C72D7"/>
    <w:rsid w:val="004C73D2"/>
    <w:rsid w:val="004C7422"/>
    <w:rsid w:val="004C7483"/>
    <w:rsid w:val="004C75B1"/>
    <w:rsid w:val="004C761D"/>
    <w:rsid w:val="004C76CA"/>
    <w:rsid w:val="004C779F"/>
    <w:rsid w:val="004C77B4"/>
    <w:rsid w:val="004C79A6"/>
    <w:rsid w:val="004C7A93"/>
    <w:rsid w:val="004C7C45"/>
    <w:rsid w:val="004C7C91"/>
    <w:rsid w:val="004C7CE3"/>
    <w:rsid w:val="004C7D33"/>
    <w:rsid w:val="004C7D62"/>
    <w:rsid w:val="004C7D8D"/>
    <w:rsid w:val="004C7DF2"/>
    <w:rsid w:val="004C7EC8"/>
    <w:rsid w:val="004D003E"/>
    <w:rsid w:val="004D0183"/>
    <w:rsid w:val="004D01B1"/>
    <w:rsid w:val="004D021D"/>
    <w:rsid w:val="004D04E5"/>
    <w:rsid w:val="004D04FC"/>
    <w:rsid w:val="004D0545"/>
    <w:rsid w:val="004D061F"/>
    <w:rsid w:val="004D06A0"/>
    <w:rsid w:val="004D0717"/>
    <w:rsid w:val="004D0A37"/>
    <w:rsid w:val="004D0AFA"/>
    <w:rsid w:val="004D0B43"/>
    <w:rsid w:val="004D0C2D"/>
    <w:rsid w:val="004D0C2F"/>
    <w:rsid w:val="004D0CCD"/>
    <w:rsid w:val="004D0CEC"/>
    <w:rsid w:val="004D0D3F"/>
    <w:rsid w:val="004D0DE7"/>
    <w:rsid w:val="004D0E54"/>
    <w:rsid w:val="004D0E5C"/>
    <w:rsid w:val="004D0F36"/>
    <w:rsid w:val="004D0F84"/>
    <w:rsid w:val="004D1001"/>
    <w:rsid w:val="004D13ED"/>
    <w:rsid w:val="004D1451"/>
    <w:rsid w:val="004D145C"/>
    <w:rsid w:val="004D1526"/>
    <w:rsid w:val="004D152A"/>
    <w:rsid w:val="004D16A9"/>
    <w:rsid w:val="004D1797"/>
    <w:rsid w:val="004D17B6"/>
    <w:rsid w:val="004D1837"/>
    <w:rsid w:val="004D1991"/>
    <w:rsid w:val="004D19B0"/>
    <w:rsid w:val="004D1A85"/>
    <w:rsid w:val="004D1B16"/>
    <w:rsid w:val="004D1B31"/>
    <w:rsid w:val="004D1C51"/>
    <w:rsid w:val="004D1C87"/>
    <w:rsid w:val="004D1CAD"/>
    <w:rsid w:val="004D1CB9"/>
    <w:rsid w:val="004D1CED"/>
    <w:rsid w:val="004D1D5B"/>
    <w:rsid w:val="004D1E1B"/>
    <w:rsid w:val="004D1ECE"/>
    <w:rsid w:val="004D1ED1"/>
    <w:rsid w:val="004D1F5E"/>
    <w:rsid w:val="004D1FE7"/>
    <w:rsid w:val="004D2008"/>
    <w:rsid w:val="004D2045"/>
    <w:rsid w:val="004D2427"/>
    <w:rsid w:val="004D25D7"/>
    <w:rsid w:val="004D27F3"/>
    <w:rsid w:val="004D2810"/>
    <w:rsid w:val="004D2A2F"/>
    <w:rsid w:val="004D2AB2"/>
    <w:rsid w:val="004D2BEE"/>
    <w:rsid w:val="004D2C3C"/>
    <w:rsid w:val="004D2CEC"/>
    <w:rsid w:val="004D2D19"/>
    <w:rsid w:val="004D2DD5"/>
    <w:rsid w:val="004D2E58"/>
    <w:rsid w:val="004D2E83"/>
    <w:rsid w:val="004D2FAC"/>
    <w:rsid w:val="004D2FBE"/>
    <w:rsid w:val="004D2FDC"/>
    <w:rsid w:val="004D302F"/>
    <w:rsid w:val="004D316B"/>
    <w:rsid w:val="004D3216"/>
    <w:rsid w:val="004D3531"/>
    <w:rsid w:val="004D35F7"/>
    <w:rsid w:val="004D3701"/>
    <w:rsid w:val="004D372B"/>
    <w:rsid w:val="004D3739"/>
    <w:rsid w:val="004D3742"/>
    <w:rsid w:val="004D3837"/>
    <w:rsid w:val="004D3847"/>
    <w:rsid w:val="004D384B"/>
    <w:rsid w:val="004D3875"/>
    <w:rsid w:val="004D39D8"/>
    <w:rsid w:val="004D3ABD"/>
    <w:rsid w:val="004D3AF4"/>
    <w:rsid w:val="004D3BB4"/>
    <w:rsid w:val="004D3C71"/>
    <w:rsid w:val="004D3C86"/>
    <w:rsid w:val="004D3EA6"/>
    <w:rsid w:val="004D4040"/>
    <w:rsid w:val="004D410B"/>
    <w:rsid w:val="004D41BB"/>
    <w:rsid w:val="004D4454"/>
    <w:rsid w:val="004D463C"/>
    <w:rsid w:val="004D4751"/>
    <w:rsid w:val="004D4767"/>
    <w:rsid w:val="004D47BD"/>
    <w:rsid w:val="004D48CB"/>
    <w:rsid w:val="004D4913"/>
    <w:rsid w:val="004D4B5A"/>
    <w:rsid w:val="004D4B83"/>
    <w:rsid w:val="004D4C83"/>
    <w:rsid w:val="004D4CDF"/>
    <w:rsid w:val="004D4E23"/>
    <w:rsid w:val="004D4E76"/>
    <w:rsid w:val="004D4F5D"/>
    <w:rsid w:val="004D5047"/>
    <w:rsid w:val="004D50F4"/>
    <w:rsid w:val="004D5150"/>
    <w:rsid w:val="004D51EE"/>
    <w:rsid w:val="004D53BA"/>
    <w:rsid w:val="004D53D1"/>
    <w:rsid w:val="004D53DB"/>
    <w:rsid w:val="004D53E7"/>
    <w:rsid w:val="004D543A"/>
    <w:rsid w:val="004D545C"/>
    <w:rsid w:val="004D560A"/>
    <w:rsid w:val="004D5772"/>
    <w:rsid w:val="004D57A0"/>
    <w:rsid w:val="004D57DD"/>
    <w:rsid w:val="004D57F1"/>
    <w:rsid w:val="004D5852"/>
    <w:rsid w:val="004D5925"/>
    <w:rsid w:val="004D5A80"/>
    <w:rsid w:val="004D5B28"/>
    <w:rsid w:val="004D5B74"/>
    <w:rsid w:val="004D5C54"/>
    <w:rsid w:val="004D5C72"/>
    <w:rsid w:val="004D5F3D"/>
    <w:rsid w:val="004D5F5A"/>
    <w:rsid w:val="004D602D"/>
    <w:rsid w:val="004D6089"/>
    <w:rsid w:val="004D609C"/>
    <w:rsid w:val="004D60C7"/>
    <w:rsid w:val="004D61CC"/>
    <w:rsid w:val="004D6217"/>
    <w:rsid w:val="004D6378"/>
    <w:rsid w:val="004D63B2"/>
    <w:rsid w:val="004D6524"/>
    <w:rsid w:val="004D654D"/>
    <w:rsid w:val="004D65AD"/>
    <w:rsid w:val="004D65C1"/>
    <w:rsid w:val="004D668B"/>
    <w:rsid w:val="004D670E"/>
    <w:rsid w:val="004D6711"/>
    <w:rsid w:val="004D67B7"/>
    <w:rsid w:val="004D68A7"/>
    <w:rsid w:val="004D68B6"/>
    <w:rsid w:val="004D6965"/>
    <w:rsid w:val="004D69F1"/>
    <w:rsid w:val="004D6ABF"/>
    <w:rsid w:val="004D6B4C"/>
    <w:rsid w:val="004D6B6A"/>
    <w:rsid w:val="004D6C9A"/>
    <w:rsid w:val="004D6CDE"/>
    <w:rsid w:val="004D6D24"/>
    <w:rsid w:val="004D6D7C"/>
    <w:rsid w:val="004D6E65"/>
    <w:rsid w:val="004D6EAF"/>
    <w:rsid w:val="004D6F60"/>
    <w:rsid w:val="004D6FA3"/>
    <w:rsid w:val="004D70B1"/>
    <w:rsid w:val="004D71D5"/>
    <w:rsid w:val="004D737A"/>
    <w:rsid w:val="004D7397"/>
    <w:rsid w:val="004D7508"/>
    <w:rsid w:val="004D756F"/>
    <w:rsid w:val="004D7652"/>
    <w:rsid w:val="004D7749"/>
    <w:rsid w:val="004D78C7"/>
    <w:rsid w:val="004D7A4F"/>
    <w:rsid w:val="004D7B81"/>
    <w:rsid w:val="004D7C9D"/>
    <w:rsid w:val="004D7D0C"/>
    <w:rsid w:val="004E00D9"/>
    <w:rsid w:val="004E01B0"/>
    <w:rsid w:val="004E01BB"/>
    <w:rsid w:val="004E01DA"/>
    <w:rsid w:val="004E0370"/>
    <w:rsid w:val="004E0434"/>
    <w:rsid w:val="004E0478"/>
    <w:rsid w:val="004E0594"/>
    <w:rsid w:val="004E0648"/>
    <w:rsid w:val="004E0675"/>
    <w:rsid w:val="004E070F"/>
    <w:rsid w:val="004E0749"/>
    <w:rsid w:val="004E07BA"/>
    <w:rsid w:val="004E07DE"/>
    <w:rsid w:val="004E07FB"/>
    <w:rsid w:val="004E07FC"/>
    <w:rsid w:val="004E0942"/>
    <w:rsid w:val="004E0958"/>
    <w:rsid w:val="004E0997"/>
    <w:rsid w:val="004E0AE2"/>
    <w:rsid w:val="004E0C63"/>
    <w:rsid w:val="004E0C81"/>
    <w:rsid w:val="004E0D95"/>
    <w:rsid w:val="004E0D9E"/>
    <w:rsid w:val="004E0E19"/>
    <w:rsid w:val="004E0E73"/>
    <w:rsid w:val="004E0EE9"/>
    <w:rsid w:val="004E0FA0"/>
    <w:rsid w:val="004E103A"/>
    <w:rsid w:val="004E1074"/>
    <w:rsid w:val="004E11FE"/>
    <w:rsid w:val="004E1481"/>
    <w:rsid w:val="004E1491"/>
    <w:rsid w:val="004E1556"/>
    <w:rsid w:val="004E1588"/>
    <w:rsid w:val="004E15B7"/>
    <w:rsid w:val="004E163C"/>
    <w:rsid w:val="004E16FB"/>
    <w:rsid w:val="004E170F"/>
    <w:rsid w:val="004E19D9"/>
    <w:rsid w:val="004E1A77"/>
    <w:rsid w:val="004E1ADF"/>
    <w:rsid w:val="004E1AFE"/>
    <w:rsid w:val="004E1B45"/>
    <w:rsid w:val="004E1F60"/>
    <w:rsid w:val="004E204B"/>
    <w:rsid w:val="004E209E"/>
    <w:rsid w:val="004E2359"/>
    <w:rsid w:val="004E23F6"/>
    <w:rsid w:val="004E2400"/>
    <w:rsid w:val="004E2457"/>
    <w:rsid w:val="004E2598"/>
    <w:rsid w:val="004E25DC"/>
    <w:rsid w:val="004E25F2"/>
    <w:rsid w:val="004E26E9"/>
    <w:rsid w:val="004E27A8"/>
    <w:rsid w:val="004E29D1"/>
    <w:rsid w:val="004E29E6"/>
    <w:rsid w:val="004E2AAF"/>
    <w:rsid w:val="004E2AF7"/>
    <w:rsid w:val="004E2D7A"/>
    <w:rsid w:val="004E2D86"/>
    <w:rsid w:val="004E2E10"/>
    <w:rsid w:val="004E2F42"/>
    <w:rsid w:val="004E3063"/>
    <w:rsid w:val="004E3066"/>
    <w:rsid w:val="004E3125"/>
    <w:rsid w:val="004E3159"/>
    <w:rsid w:val="004E322C"/>
    <w:rsid w:val="004E33FD"/>
    <w:rsid w:val="004E3408"/>
    <w:rsid w:val="004E35B1"/>
    <w:rsid w:val="004E35C9"/>
    <w:rsid w:val="004E3604"/>
    <w:rsid w:val="004E36AD"/>
    <w:rsid w:val="004E36CA"/>
    <w:rsid w:val="004E3882"/>
    <w:rsid w:val="004E3B3A"/>
    <w:rsid w:val="004E3B95"/>
    <w:rsid w:val="004E3BBE"/>
    <w:rsid w:val="004E3C40"/>
    <w:rsid w:val="004E3C51"/>
    <w:rsid w:val="004E3DF4"/>
    <w:rsid w:val="004E3DF7"/>
    <w:rsid w:val="004E3E4F"/>
    <w:rsid w:val="004E3EC7"/>
    <w:rsid w:val="004E3FC5"/>
    <w:rsid w:val="004E40B6"/>
    <w:rsid w:val="004E4124"/>
    <w:rsid w:val="004E424C"/>
    <w:rsid w:val="004E426A"/>
    <w:rsid w:val="004E438D"/>
    <w:rsid w:val="004E439C"/>
    <w:rsid w:val="004E43BD"/>
    <w:rsid w:val="004E4409"/>
    <w:rsid w:val="004E44B5"/>
    <w:rsid w:val="004E4537"/>
    <w:rsid w:val="004E45A5"/>
    <w:rsid w:val="004E45D6"/>
    <w:rsid w:val="004E476B"/>
    <w:rsid w:val="004E4A49"/>
    <w:rsid w:val="004E4A80"/>
    <w:rsid w:val="004E4A90"/>
    <w:rsid w:val="004E4B52"/>
    <w:rsid w:val="004E4CF7"/>
    <w:rsid w:val="004E4D0E"/>
    <w:rsid w:val="004E4DE6"/>
    <w:rsid w:val="004E4E1C"/>
    <w:rsid w:val="004E4E28"/>
    <w:rsid w:val="004E4F2F"/>
    <w:rsid w:val="004E4FD6"/>
    <w:rsid w:val="004E5074"/>
    <w:rsid w:val="004E51F1"/>
    <w:rsid w:val="004E5229"/>
    <w:rsid w:val="004E52CA"/>
    <w:rsid w:val="004E5311"/>
    <w:rsid w:val="004E53A8"/>
    <w:rsid w:val="004E55FF"/>
    <w:rsid w:val="004E5987"/>
    <w:rsid w:val="004E5A18"/>
    <w:rsid w:val="004E5A80"/>
    <w:rsid w:val="004E5B26"/>
    <w:rsid w:val="004E5BE2"/>
    <w:rsid w:val="004E5C56"/>
    <w:rsid w:val="004E5C78"/>
    <w:rsid w:val="004E5DAA"/>
    <w:rsid w:val="004E5DBD"/>
    <w:rsid w:val="004E5E49"/>
    <w:rsid w:val="004E6080"/>
    <w:rsid w:val="004E6169"/>
    <w:rsid w:val="004E617B"/>
    <w:rsid w:val="004E6195"/>
    <w:rsid w:val="004E6224"/>
    <w:rsid w:val="004E6255"/>
    <w:rsid w:val="004E63C3"/>
    <w:rsid w:val="004E6418"/>
    <w:rsid w:val="004E6422"/>
    <w:rsid w:val="004E642D"/>
    <w:rsid w:val="004E6486"/>
    <w:rsid w:val="004E66D3"/>
    <w:rsid w:val="004E678E"/>
    <w:rsid w:val="004E67AF"/>
    <w:rsid w:val="004E67CC"/>
    <w:rsid w:val="004E688B"/>
    <w:rsid w:val="004E68B1"/>
    <w:rsid w:val="004E6A06"/>
    <w:rsid w:val="004E6A1E"/>
    <w:rsid w:val="004E6A21"/>
    <w:rsid w:val="004E6AC6"/>
    <w:rsid w:val="004E6B7D"/>
    <w:rsid w:val="004E6BDE"/>
    <w:rsid w:val="004E6EF2"/>
    <w:rsid w:val="004E6F27"/>
    <w:rsid w:val="004E708B"/>
    <w:rsid w:val="004E7221"/>
    <w:rsid w:val="004E7228"/>
    <w:rsid w:val="004E727E"/>
    <w:rsid w:val="004E7421"/>
    <w:rsid w:val="004E742A"/>
    <w:rsid w:val="004E76AC"/>
    <w:rsid w:val="004E76EA"/>
    <w:rsid w:val="004E778E"/>
    <w:rsid w:val="004E78A0"/>
    <w:rsid w:val="004E78D3"/>
    <w:rsid w:val="004E7B24"/>
    <w:rsid w:val="004E7C0C"/>
    <w:rsid w:val="004E7CD9"/>
    <w:rsid w:val="004E7EF1"/>
    <w:rsid w:val="004E7F7B"/>
    <w:rsid w:val="004E7F9F"/>
    <w:rsid w:val="004F001A"/>
    <w:rsid w:val="004F01C5"/>
    <w:rsid w:val="004F048D"/>
    <w:rsid w:val="004F0503"/>
    <w:rsid w:val="004F069C"/>
    <w:rsid w:val="004F06F0"/>
    <w:rsid w:val="004F0717"/>
    <w:rsid w:val="004F0763"/>
    <w:rsid w:val="004F0790"/>
    <w:rsid w:val="004F07D4"/>
    <w:rsid w:val="004F07F5"/>
    <w:rsid w:val="004F083D"/>
    <w:rsid w:val="004F091E"/>
    <w:rsid w:val="004F093C"/>
    <w:rsid w:val="004F0A92"/>
    <w:rsid w:val="004F0BB2"/>
    <w:rsid w:val="004F0E5D"/>
    <w:rsid w:val="004F0F41"/>
    <w:rsid w:val="004F0F98"/>
    <w:rsid w:val="004F10C3"/>
    <w:rsid w:val="004F1349"/>
    <w:rsid w:val="004F13AD"/>
    <w:rsid w:val="004F13DE"/>
    <w:rsid w:val="004F14F2"/>
    <w:rsid w:val="004F15C1"/>
    <w:rsid w:val="004F1600"/>
    <w:rsid w:val="004F16A3"/>
    <w:rsid w:val="004F16E1"/>
    <w:rsid w:val="004F16F9"/>
    <w:rsid w:val="004F170C"/>
    <w:rsid w:val="004F1737"/>
    <w:rsid w:val="004F1785"/>
    <w:rsid w:val="004F17AC"/>
    <w:rsid w:val="004F1814"/>
    <w:rsid w:val="004F196C"/>
    <w:rsid w:val="004F19A8"/>
    <w:rsid w:val="004F1A84"/>
    <w:rsid w:val="004F1B61"/>
    <w:rsid w:val="004F1BDF"/>
    <w:rsid w:val="004F1FB9"/>
    <w:rsid w:val="004F20D3"/>
    <w:rsid w:val="004F2167"/>
    <w:rsid w:val="004F218D"/>
    <w:rsid w:val="004F2469"/>
    <w:rsid w:val="004F25B4"/>
    <w:rsid w:val="004F2680"/>
    <w:rsid w:val="004F26E4"/>
    <w:rsid w:val="004F28C1"/>
    <w:rsid w:val="004F2A48"/>
    <w:rsid w:val="004F2B2A"/>
    <w:rsid w:val="004F2E3C"/>
    <w:rsid w:val="004F2EE2"/>
    <w:rsid w:val="004F30BB"/>
    <w:rsid w:val="004F3101"/>
    <w:rsid w:val="004F3108"/>
    <w:rsid w:val="004F314B"/>
    <w:rsid w:val="004F31BC"/>
    <w:rsid w:val="004F32F4"/>
    <w:rsid w:val="004F3331"/>
    <w:rsid w:val="004F33C6"/>
    <w:rsid w:val="004F34F6"/>
    <w:rsid w:val="004F35A4"/>
    <w:rsid w:val="004F36D7"/>
    <w:rsid w:val="004F3758"/>
    <w:rsid w:val="004F3765"/>
    <w:rsid w:val="004F3917"/>
    <w:rsid w:val="004F3A95"/>
    <w:rsid w:val="004F3AE3"/>
    <w:rsid w:val="004F3B4F"/>
    <w:rsid w:val="004F3C34"/>
    <w:rsid w:val="004F3D75"/>
    <w:rsid w:val="004F3DA8"/>
    <w:rsid w:val="004F3E01"/>
    <w:rsid w:val="004F3F14"/>
    <w:rsid w:val="004F40E4"/>
    <w:rsid w:val="004F4113"/>
    <w:rsid w:val="004F41EE"/>
    <w:rsid w:val="004F4224"/>
    <w:rsid w:val="004F4346"/>
    <w:rsid w:val="004F43CF"/>
    <w:rsid w:val="004F43D9"/>
    <w:rsid w:val="004F453E"/>
    <w:rsid w:val="004F4713"/>
    <w:rsid w:val="004F4891"/>
    <w:rsid w:val="004F4B3D"/>
    <w:rsid w:val="004F4D23"/>
    <w:rsid w:val="004F4E22"/>
    <w:rsid w:val="004F502D"/>
    <w:rsid w:val="004F5063"/>
    <w:rsid w:val="004F524E"/>
    <w:rsid w:val="004F559A"/>
    <w:rsid w:val="004F560C"/>
    <w:rsid w:val="004F5772"/>
    <w:rsid w:val="004F58A2"/>
    <w:rsid w:val="004F5ABB"/>
    <w:rsid w:val="004F5BE5"/>
    <w:rsid w:val="004F5C1E"/>
    <w:rsid w:val="004F5C4D"/>
    <w:rsid w:val="004F5CFF"/>
    <w:rsid w:val="004F5E21"/>
    <w:rsid w:val="004F5E22"/>
    <w:rsid w:val="004F5E49"/>
    <w:rsid w:val="004F5FA2"/>
    <w:rsid w:val="004F60E3"/>
    <w:rsid w:val="004F61DA"/>
    <w:rsid w:val="004F6280"/>
    <w:rsid w:val="004F6284"/>
    <w:rsid w:val="004F6724"/>
    <w:rsid w:val="004F67A5"/>
    <w:rsid w:val="004F6819"/>
    <w:rsid w:val="004F6829"/>
    <w:rsid w:val="004F6AFB"/>
    <w:rsid w:val="004F6C24"/>
    <w:rsid w:val="004F6E0E"/>
    <w:rsid w:val="004F6E4B"/>
    <w:rsid w:val="004F6E59"/>
    <w:rsid w:val="004F714F"/>
    <w:rsid w:val="004F7210"/>
    <w:rsid w:val="004F721F"/>
    <w:rsid w:val="004F7244"/>
    <w:rsid w:val="004F73CB"/>
    <w:rsid w:val="004F7418"/>
    <w:rsid w:val="004F7522"/>
    <w:rsid w:val="004F7553"/>
    <w:rsid w:val="004F77E4"/>
    <w:rsid w:val="004F77F1"/>
    <w:rsid w:val="004F78EC"/>
    <w:rsid w:val="004F791A"/>
    <w:rsid w:val="004F793C"/>
    <w:rsid w:val="004F79DF"/>
    <w:rsid w:val="004F7C31"/>
    <w:rsid w:val="004F7F21"/>
    <w:rsid w:val="004F7F94"/>
    <w:rsid w:val="00500101"/>
    <w:rsid w:val="00500132"/>
    <w:rsid w:val="005001EE"/>
    <w:rsid w:val="005003D4"/>
    <w:rsid w:val="005003E1"/>
    <w:rsid w:val="00500404"/>
    <w:rsid w:val="0050048B"/>
    <w:rsid w:val="005004E3"/>
    <w:rsid w:val="00500593"/>
    <w:rsid w:val="0050071D"/>
    <w:rsid w:val="00500739"/>
    <w:rsid w:val="00500846"/>
    <w:rsid w:val="00500865"/>
    <w:rsid w:val="005008FB"/>
    <w:rsid w:val="0050098F"/>
    <w:rsid w:val="00500B08"/>
    <w:rsid w:val="00500C7B"/>
    <w:rsid w:val="00500E46"/>
    <w:rsid w:val="00500EAD"/>
    <w:rsid w:val="00500EBD"/>
    <w:rsid w:val="00500F2D"/>
    <w:rsid w:val="00500F34"/>
    <w:rsid w:val="00501131"/>
    <w:rsid w:val="005012D1"/>
    <w:rsid w:val="005012ED"/>
    <w:rsid w:val="0050159A"/>
    <w:rsid w:val="00501602"/>
    <w:rsid w:val="0050164F"/>
    <w:rsid w:val="00501658"/>
    <w:rsid w:val="0050166C"/>
    <w:rsid w:val="005017B9"/>
    <w:rsid w:val="00501827"/>
    <w:rsid w:val="0050190F"/>
    <w:rsid w:val="00501B78"/>
    <w:rsid w:val="00501BED"/>
    <w:rsid w:val="00501C78"/>
    <w:rsid w:val="00501D36"/>
    <w:rsid w:val="00501E0A"/>
    <w:rsid w:val="00502079"/>
    <w:rsid w:val="0050217E"/>
    <w:rsid w:val="00502185"/>
    <w:rsid w:val="005021EF"/>
    <w:rsid w:val="00502222"/>
    <w:rsid w:val="005023D9"/>
    <w:rsid w:val="0050244C"/>
    <w:rsid w:val="005024F2"/>
    <w:rsid w:val="005025AF"/>
    <w:rsid w:val="00502617"/>
    <w:rsid w:val="00502716"/>
    <w:rsid w:val="005027C6"/>
    <w:rsid w:val="005028AF"/>
    <w:rsid w:val="005029F0"/>
    <w:rsid w:val="00502A7C"/>
    <w:rsid w:val="00502B2E"/>
    <w:rsid w:val="00502C22"/>
    <w:rsid w:val="00502E35"/>
    <w:rsid w:val="00502FAE"/>
    <w:rsid w:val="0050302F"/>
    <w:rsid w:val="00503056"/>
    <w:rsid w:val="0050324C"/>
    <w:rsid w:val="0050325E"/>
    <w:rsid w:val="005032BE"/>
    <w:rsid w:val="005033A2"/>
    <w:rsid w:val="005034D4"/>
    <w:rsid w:val="0050350A"/>
    <w:rsid w:val="0050357A"/>
    <w:rsid w:val="0050376B"/>
    <w:rsid w:val="005037FC"/>
    <w:rsid w:val="00503848"/>
    <w:rsid w:val="0050392A"/>
    <w:rsid w:val="00503958"/>
    <w:rsid w:val="00503A1F"/>
    <w:rsid w:val="00503B06"/>
    <w:rsid w:val="00503B0C"/>
    <w:rsid w:val="00503B64"/>
    <w:rsid w:val="00503DD9"/>
    <w:rsid w:val="00503E4D"/>
    <w:rsid w:val="00503E74"/>
    <w:rsid w:val="00503F1B"/>
    <w:rsid w:val="00504027"/>
    <w:rsid w:val="005040C6"/>
    <w:rsid w:val="005041FF"/>
    <w:rsid w:val="00504209"/>
    <w:rsid w:val="00504211"/>
    <w:rsid w:val="0050434E"/>
    <w:rsid w:val="005043B6"/>
    <w:rsid w:val="005044E0"/>
    <w:rsid w:val="005044FB"/>
    <w:rsid w:val="0050457A"/>
    <w:rsid w:val="005045CE"/>
    <w:rsid w:val="005045F7"/>
    <w:rsid w:val="00504662"/>
    <w:rsid w:val="0050478C"/>
    <w:rsid w:val="0050494A"/>
    <w:rsid w:val="0050498F"/>
    <w:rsid w:val="00504A07"/>
    <w:rsid w:val="00504C8B"/>
    <w:rsid w:val="00504D39"/>
    <w:rsid w:val="00504EF4"/>
    <w:rsid w:val="00504F1E"/>
    <w:rsid w:val="00504F77"/>
    <w:rsid w:val="00504F8E"/>
    <w:rsid w:val="00505002"/>
    <w:rsid w:val="0050507F"/>
    <w:rsid w:val="005050AD"/>
    <w:rsid w:val="00505287"/>
    <w:rsid w:val="00505472"/>
    <w:rsid w:val="005057BF"/>
    <w:rsid w:val="005057C3"/>
    <w:rsid w:val="00505997"/>
    <w:rsid w:val="00505A24"/>
    <w:rsid w:val="00505BD0"/>
    <w:rsid w:val="00505BDA"/>
    <w:rsid w:val="00505CEE"/>
    <w:rsid w:val="00505D70"/>
    <w:rsid w:val="00505E24"/>
    <w:rsid w:val="00505E8C"/>
    <w:rsid w:val="00505E8F"/>
    <w:rsid w:val="00505FC7"/>
    <w:rsid w:val="0050608C"/>
    <w:rsid w:val="005060FE"/>
    <w:rsid w:val="005061B2"/>
    <w:rsid w:val="00506289"/>
    <w:rsid w:val="005062C3"/>
    <w:rsid w:val="00506357"/>
    <w:rsid w:val="00506402"/>
    <w:rsid w:val="005065B6"/>
    <w:rsid w:val="00506629"/>
    <w:rsid w:val="00506676"/>
    <w:rsid w:val="00506830"/>
    <w:rsid w:val="0050688F"/>
    <w:rsid w:val="0050691E"/>
    <w:rsid w:val="00506992"/>
    <w:rsid w:val="005069D8"/>
    <w:rsid w:val="00506B0D"/>
    <w:rsid w:val="00506B2F"/>
    <w:rsid w:val="00506D89"/>
    <w:rsid w:val="00506DAE"/>
    <w:rsid w:val="00506E28"/>
    <w:rsid w:val="00506E8C"/>
    <w:rsid w:val="00506F28"/>
    <w:rsid w:val="00506F60"/>
    <w:rsid w:val="00506F7E"/>
    <w:rsid w:val="0050702C"/>
    <w:rsid w:val="005071B8"/>
    <w:rsid w:val="005071C1"/>
    <w:rsid w:val="005071D5"/>
    <w:rsid w:val="005071FF"/>
    <w:rsid w:val="0050729C"/>
    <w:rsid w:val="005077D3"/>
    <w:rsid w:val="005078A5"/>
    <w:rsid w:val="00507907"/>
    <w:rsid w:val="00507ABE"/>
    <w:rsid w:val="00507B00"/>
    <w:rsid w:val="00507C11"/>
    <w:rsid w:val="00507DD2"/>
    <w:rsid w:val="00507E49"/>
    <w:rsid w:val="00507E4B"/>
    <w:rsid w:val="00507E5D"/>
    <w:rsid w:val="00507F50"/>
    <w:rsid w:val="00507FA0"/>
    <w:rsid w:val="005100A7"/>
    <w:rsid w:val="005101A0"/>
    <w:rsid w:val="00510284"/>
    <w:rsid w:val="005102D2"/>
    <w:rsid w:val="00510414"/>
    <w:rsid w:val="005104AD"/>
    <w:rsid w:val="00510546"/>
    <w:rsid w:val="005106C7"/>
    <w:rsid w:val="0051073B"/>
    <w:rsid w:val="0051083E"/>
    <w:rsid w:val="00510872"/>
    <w:rsid w:val="005109AF"/>
    <w:rsid w:val="00510C11"/>
    <w:rsid w:val="00510C57"/>
    <w:rsid w:val="00510C98"/>
    <w:rsid w:val="00510D57"/>
    <w:rsid w:val="00510E7B"/>
    <w:rsid w:val="00510F30"/>
    <w:rsid w:val="00510F66"/>
    <w:rsid w:val="00510F77"/>
    <w:rsid w:val="0051144F"/>
    <w:rsid w:val="005115E2"/>
    <w:rsid w:val="00511620"/>
    <w:rsid w:val="005116B3"/>
    <w:rsid w:val="005116DB"/>
    <w:rsid w:val="005116F2"/>
    <w:rsid w:val="0051188B"/>
    <w:rsid w:val="005119A1"/>
    <w:rsid w:val="00511ABE"/>
    <w:rsid w:val="00511AEF"/>
    <w:rsid w:val="00511B51"/>
    <w:rsid w:val="00511B7B"/>
    <w:rsid w:val="00511B7C"/>
    <w:rsid w:val="00511B94"/>
    <w:rsid w:val="00511B99"/>
    <w:rsid w:val="00511BC1"/>
    <w:rsid w:val="00511BC6"/>
    <w:rsid w:val="00511BE4"/>
    <w:rsid w:val="00511F0C"/>
    <w:rsid w:val="00511F0F"/>
    <w:rsid w:val="00511F5E"/>
    <w:rsid w:val="00511FB3"/>
    <w:rsid w:val="00512201"/>
    <w:rsid w:val="00512473"/>
    <w:rsid w:val="0051257E"/>
    <w:rsid w:val="005125FB"/>
    <w:rsid w:val="0051266D"/>
    <w:rsid w:val="0051282F"/>
    <w:rsid w:val="0051290A"/>
    <w:rsid w:val="005129A9"/>
    <w:rsid w:val="00512AE9"/>
    <w:rsid w:val="00512B34"/>
    <w:rsid w:val="00512B38"/>
    <w:rsid w:val="00512BD5"/>
    <w:rsid w:val="00512BEE"/>
    <w:rsid w:val="00512D14"/>
    <w:rsid w:val="00512D2F"/>
    <w:rsid w:val="00512D4B"/>
    <w:rsid w:val="00512D75"/>
    <w:rsid w:val="00512E22"/>
    <w:rsid w:val="00512E58"/>
    <w:rsid w:val="00512F84"/>
    <w:rsid w:val="005130CD"/>
    <w:rsid w:val="00513330"/>
    <w:rsid w:val="0051358E"/>
    <w:rsid w:val="005137C2"/>
    <w:rsid w:val="005137E9"/>
    <w:rsid w:val="00513848"/>
    <w:rsid w:val="0051385D"/>
    <w:rsid w:val="005138BB"/>
    <w:rsid w:val="00513987"/>
    <w:rsid w:val="005139D1"/>
    <w:rsid w:val="00513C30"/>
    <w:rsid w:val="00513C32"/>
    <w:rsid w:val="00513CDB"/>
    <w:rsid w:val="00513D6C"/>
    <w:rsid w:val="00513D76"/>
    <w:rsid w:val="00513DF4"/>
    <w:rsid w:val="00513E51"/>
    <w:rsid w:val="00513EE9"/>
    <w:rsid w:val="00513F52"/>
    <w:rsid w:val="00514051"/>
    <w:rsid w:val="005141C3"/>
    <w:rsid w:val="005142C0"/>
    <w:rsid w:val="005142EB"/>
    <w:rsid w:val="00514431"/>
    <w:rsid w:val="0051443C"/>
    <w:rsid w:val="005145D2"/>
    <w:rsid w:val="005145F8"/>
    <w:rsid w:val="0051478F"/>
    <w:rsid w:val="005148A3"/>
    <w:rsid w:val="00514A20"/>
    <w:rsid w:val="00514A4E"/>
    <w:rsid w:val="00514C03"/>
    <w:rsid w:val="00514F3B"/>
    <w:rsid w:val="00514F8E"/>
    <w:rsid w:val="00514FC1"/>
    <w:rsid w:val="005150AA"/>
    <w:rsid w:val="005150B8"/>
    <w:rsid w:val="005150DB"/>
    <w:rsid w:val="0051514A"/>
    <w:rsid w:val="005151A0"/>
    <w:rsid w:val="005153A7"/>
    <w:rsid w:val="005154D0"/>
    <w:rsid w:val="005154EA"/>
    <w:rsid w:val="00515527"/>
    <w:rsid w:val="005156DE"/>
    <w:rsid w:val="005157D1"/>
    <w:rsid w:val="00515849"/>
    <w:rsid w:val="00515A88"/>
    <w:rsid w:val="00515AA5"/>
    <w:rsid w:val="00515B62"/>
    <w:rsid w:val="00515C2E"/>
    <w:rsid w:val="00515C39"/>
    <w:rsid w:val="00515D23"/>
    <w:rsid w:val="00515F04"/>
    <w:rsid w:val="00515F53"/>
    <w:rsid w:val="00516037"/>
    <w:rsid w:val="00516051"/>
    <w:rsid w:val="0051620D"/>
    <w:rsid w:val="00516436"/>
    <w:rsid w:val="005164A4"/>
    <w:rsid w:val="005164C6"/>
    <w:rsid w:val="005164D1"/>
    <w:rsid w:val="0051650E"/>
    <w:rsid w:val="0051657F"/>
    <w:rsid w:val="00516682"/>
    <w:rsid w:val="00516696"/>
    <w:rsid w:val="005166B8"/>
    <w:rsid w:val="005166C0"/>
    <w:rsid w:val="005166FB"/>
    <w:rsid w:val="00516705"/>
    <w:rsid w:val="00516788"/>
    <w:rsid w:val="0051696B"/>
    <w:rsid w:val="005169F5"/>
    <w:rsid w:val="00516B66"/>
    <w:rsid w:val="00516C21"/>
    <w:rsid w:val="00516CDB"/>
    <w:rsid w:val="00516CE8"/>
    <w:rsid w:val="00516E49"/>
    <w:rsid w:val="00516E67"/>
    <w:rsid w:val="00516F1D"/>
    <w:rsid w:val="005170CA"/>
    <w:rsid w:val="00517124"/>
    <w:rsid w:val="0051714A"/>
    <w:rsid w:val="0051724B"/>
    <w:rsid w:val="005173DD"/>
    <w:rsid w:val="005173EC"/>
    <w:rsid w:val="0051744D"/>
    <w:rsid w:val="00517464"/>
    <w:rsid w:val="00517644"/>
    <w:rsid w:val="005177C2"/>
    <w:rsid w:val="00517877"/>
    <w:rsid w:val="00517C19"/>
    <w:rsid w:val="00517F52"/>
    <w:rsid w:val="0051BFBF"/>
    <w:rsid w:val="00520082"/>
    <w:rsid w:val="00520099"/>
    <w:rsid w:val="005200AF"/>
    <w:rsid w:val="00520148"/>
    <w:rsid w:val="005201AF"/>
    <w:rsid w:val="005202DD"/>
    <w:rsid w:val="005203B6"/>
    <w:rsid w:val="005204D4"/>
    <w:rsid w:val="005205A2"/>
    <w:rsid w:val="00520653"/>
    <w:rsid w:val="005206C9"/>
    <w:rsid w:val="005206F8"/>
    <w:rsid w:val="00520744"/>
    <w:rsid w:val="00520765"/>
    <w:rsid w:val="00520937"/>
    <w:rsid w:val="00520AEE"/>
    <w:rsid w:val="00520BFF"/>
    <w:rsid w:val="00520CC0"/>
    <w:rsid w:val="00520DB6"/>
    <w:rsid w:val="00520DC9"/>
    <w:rsid w:val="00520DDE"/>
    <w:rsid w:val="00520E92"/>
    <w:rsid w:val="00520F00"/>
    <w:rsid w:val="00520FE9"/>
    <w:rsid w:val="005210E7"/>
    <w:rsid w:val="0052111D"/>
    <w:rsid w:val="00521165"/>
    <w:rsid w:val="0052116E"/>
    <w:rsid w:val="005211E1"/>
    <w:rsid w:val="005212DC"/>
    <w:rsid w:val="005212EE"/>
    <w:rsid w:val="0052135A"/>
    <w:rsid w:val="005213AF"/>
    <w:rsid w:val="0052148F"/>
    <w:rsid w:val="005214E9"/>
    <w:rsid w:val="0052158D"/>
    <w:rsid w:val="00521591"/>
    <w:rsid w:val="0052159C"/>
    <w:rsid w:val="00521709"/>
    <w:rsid w:val="00521729"/>
    <w:rsid w:val="00521787"/>
    <w:rsid w:val="0052185B"/>
    <w:rsid w:val="00521919"/>
    <w:rsid w:val="00521993"/>
    <w:rsid w:val="005219F0"/>
    <w:rsid w:val="00521A37"/>
    <w:rsid w:val="00521AC4"/>
    <w:rsid w:val="00521AD9"/>
    <w:rsid w:val="00521B14"/>
    <w:rsid w:val="00521C16"/>
    <w:rsid w:val="00521C3B"/>
    <w:rsid w:val="00521D41"/>
    <w:rsid w:val="00521D96"/>
    <w:rsid w:val="00521DF0"/>
    <w:rsid w:val="00521E98"/>
    <w:rsid w:val="00522047"/>
    <w:rsid w:val="00522050"/>
    <w:rsid w:val="005220C9"/>
    <w:rsid w:val="00522195"/>
    <w:rsid w:val="00522348"/>
    <w:rsid w:val="0052236A"/>
    <w:rsid w:val="005224A0"/>
    <w:rsid w:val="00522653"/>
    <w:rsid w:val="005226CE"/>
    <w:rsid w:val="0052286C"/>
    <w:rsid w:val="00522AAE"/>
    <w:rsid w:val="00522C29"/>
    <w:rsid w:val="00522C4B"/>
    <w:rsid w:val="00522E57"/>
    <w:rsid w:val="00522F25"/>
    <w:rsid w:val="00522FD3"/>
    <w:rsid w:val="0052306D"/>
    <w:rsid w:val="00523141"/>
    <w:rsid w:val="00523465"/>
    <w:rsid w:val="0052363A"/>
    <w:rsid w:val="005236D4"/>
    <w:rsid w:val="00523706"/>
    <w:rsid w:val="00523920"/>
    <w:rsid w:val="00523951"/>
    <w:rsid w:val="00523AF9"/>
    <w:rsid w:val="00523AFF"/>
    <w:rsid w:val="00523BC7"/>
    <w:rsid w:val="00523BD2"/>
    <w:rsid w:val="00523BFF"/>
    <w:rsid w:val="00523C9B"/>
    <w:rsid w:val="00523D15"/>
    <w:rsid w:val="00523DB0"/>
    <w:rsid w:val="00523E61"/>
    <w:rsid w:val="00523E7E"/>
    <w:rsid w:val="00523EF2"/>
    <w:rsid w:val="0052410D"/>
    <w:rsid w:val="005241F1"/>
    <w:rsid w:val="005242D9"/>
    <w:rsid w:val="00524330"/>
    <w:rsid w:val="005243FE"/>
    <w:rsid w:val="00524467"/>
    <w:rsid w:val="00524632"/>
    <w:rsid w:val="00524659"/>
    <w:rsid w:val="0052469D"/>
    <w:rsid w:val="0052470B"/>
    <w:rsid w:val="00524789"/>
    <w:rsid w:val="00524873"/>
    <w:rsid w:val="00524882"/>
    <w:rsid w:val="00524917"/>
    <w:rsid w:val="00524954"/>
    <w:rsid w:val="0052496C"/>
    <w:rsid w:val="005249B9"/>
    <w:rsid w:val="005249DC"/>
    <w:rsid w:val="00524A31"/>
    <w:rsid w:val="00524B42"/>
    <w:rsid w:val="00524B71"/>
    <w:rsid w:val="00524C1B"/>
    <w:rsid w:val="00524DFA"/>
    <w:rsid w:val="00524E38"/>
    <w:rsid w:val="00524E59"/>
    <w:rsid w:val="00524EAC"/>
    <w:rsid w:val="00524EC0"/>
    <w:rsid w:val="00524EFC"/>
    <w:rsid w:val="00524F63"/>
    <w:rsid w:val="00525016"/>
    <w:rsid w:val="00525157"/>
    <w:rsid w:val="005251BA"/>
    <w:rsid w:val="0052525A"/>
    <w:rsid w:val="00525321"/>
    <w:rsid w:val="005253A9"/>
    <w:rsid w:val="005255A3"/>
    <w:rsid w:val="005257B5"/>
    <w:rsid w:val="0052590D"/>
    <w:rsid w:val="00525985"/>
    <w:rsid w:val="00525996"/>
    <w:rsid w:val="00525B0D"/>
    <w:rsid w:val="00525B17"/>
    <w:rsid w:val="00525B20"/>
    <w:rsid w:val="00525B7C"/>
    <w:rsid w:val="00525BD8"/>
    <w:rsid w:val="00525E3A"/>
    <w:rsid w:val="00525ED4"/>
    <w:rsid w:val="00525FC6"/>
    <w:rsid w:val="00526127"/>
    <w:rsid w:val="00526282"/>
    <w:rsid w:val="00526305"/>
    <w:rsid w:val="00526356"/>
    <w:rsid w:val="005264B0"/>
    <w:rsid w:val="0052661B"/>
    <w:rsid w:val="00526652"/>
    <w:rsid w:val="005267EB"/>
    <w:rsid w:val="005268B2"/>
    <w:rsid w:val="00526999"/>
    <w:rsid w:val="00526AEB"/>
    <w:rsid w:val="00526C40"/>
    <w:rsid w:val="00526CF6"/>
    <w:rsid w:val="00526DBF"/>
    <w:rsid w:val="00526DC4"/>
    <w:rsid w:val="00526E19"/>
    <w:rsid w:val="00526E2B"/>
    <w:rsid w:val="005270D8"/>
    <w:rsid w:val="0052714A"/>
    <w:rsid w:val="00527311"/>
    <w:rsid w:val="00527343"/>
    <w:rsid w:val="0052741C"/>
    <w:rsid w:val="0052757E"/>
    <w:rsid w:val="00527862"/>
    <w:rsid w:val="005278BC"/>
    <w:rsid w:val="0052793F"/>
    <w:rsid w:val="00527A0E"/>
    <w:rsid w:val="00527A62"/>
    <w:rsid w:val="00527A6E"/>
    <w:rsid w:val="00527ACB"/>
    <w:rsid w:val="00527ADE"/>
    <w:rsid w:val="00527B55"/>
    <w:rsid w:val="00527BEC"/>
    <w:rsid w:val="00527C03"/>
    <w:rsid w:val="00527CB2"/>
    <w:rsid w:val="00527CFF"/>
    <w:rsid w:val="00527D02"/>
    <w:rsid w:val="00527D9D"/>
    <w:rsid w:val="00527E03"/>
    <w:rsid w:val="00527E18"/>
    <w:rsid w:val="00527F0C"/>
    <w:rsid w:val="00527F6E"/>
    <w:rsid w:val="0053007D"/>
    <w:rsid w:val="00530120"/>
    <w:rsid w:val="00530121"/>
    <w:rsid w:val="00530216"/>
    <w:rsid w:val="00530249"/>
    <w:rsid w:val="00530434"/>
    <w:rsid w:val="005304BC"/>
    <w:rsid w:val="00530502"/>
    <w:rsid w:val="005305E2"/>
    <w:rsid w:val="00530658"/>
    <w:rsid w:val="00530900"/>
    <w:rsid w:val="00530940"/>
    <w:rsid w:val="005309AC"/>
    <w:rsid w:val="005309F1"/>
    <w:rsid w:val="00530B4B"/>
    <w:rsid w:val="00530CB4"/>
    <w:rsid w:val="00530D12"/>
    <w:rsid w:val="00530D83"/>
    <w:rsid w:val="00530E62"/>
    <w:rsid w:val="00530E86"/>
    <w:rsid w:val="00531042"/>
    <w:rsid w:val="00531200"/>
    <w:rsid w:val="00531228"/>
    <w:rsid w:val="0053153A"/>
    <w:rsid w:val="005315BC"/>
    <w:rsid w:val="00531696"/>
    <w:rsid w:val="005316B5"/>
    <w:rsid w:val="00531B84"/>
    <w:rsid w:val="00531EC7"/>
    <w:rsid w:val="00531F6A"/>
    <w:rsid w:val="00531F94"/>
    <w:rsid w:val="00531FE0"/>
    <w:rsid w:val="00532012"/>
    <w:rsid w:val="005321DA"/>
    <w:rsid w:val="005321DC"/>
    <w:rsid w:val="005322FB"/>
    <w:rsid w:val="005323C3"/>
    <w:rsid w:val="005326B8"/>
    <w:rsid w:val="005327BF"/>
    <w:rsid w:val="005327DB"/>
    <w:rsid w:val="00532A8E"/>
    <w:rsid w:val="00532B54"/>
    <w:rsid w:val="00532B77"/>
    <w:rsid w:val="00532BB5"/>
    <w:rsid w:val="00532BCE"/>
    <w:rsid w:val="00532C21"/>
    <w:rsid w:val="00532EAB"/>
    <w:rsid w:val="00532ECA"/>
    <w:rsid w:val="00532F14"/>
    <w:rsid w:val="0053315B"/>
    <w:rsid w:val="00533175"/>
    <w:rsid w:val="00533358"/>
    <w:rsid w:val="00533407"/>
    <w:rsid w:val="005334F6"/>
    <w:rsid w:val="0053350D"/>
    <w:rsid w:val="00533511"/>
    <w:rsid w:val="005335BB"/>
    <w:rsid w:val="005337DE"/>
    <w:rsid w:val="0053396C"/>
    <w:rsid w:val="00533991"/>
    <w:rsid w:val="005339CC"/>
    <w:rsid w:val="00533A5B"/>
    <w:rsid w:val="00533A93"/>
    <w:rsid w:val="00533AC4"/>
    <w:rsid w:val="00533BEB"/>
    <w:rsid w:val="00533CB3"/>
    <w:rsid w:val="00533CF6"/>
    <w:rsid w:val="00533D66"/>
    <w:rsid w:val="00533E78"/>
    <w:rsid w:val="00533EB9"/>
    <w:rsid w:val="00533F2B"/>
    <w:rsid w:val="00533F85"/>
    <w:rsid w:val="005340B5"/>
    <w:rsid w:val="005340E2"/>
    <w:rsid w:val="00534103"/>
    <w:rsid w:val="00534145"/>
    <w:rsid w:val="00534175"/>
    <w:rsid w:val="00534616"/>
    <w:rsid w:val="00534640"/>
    <w:rsid w:val="00534644"/>
    <w:rsid w:val="0053480A"/>
    <w:rsid w:val="005348B8"/>
    <w:rsid w:val="0053499E"/>
    <w:rsid w:val="005349EE"/>
    <w:rsid w:val="005349FC"/>
    <w:rsid w:val="00534A27"/>
    <w:rsid w:val="00534ADA"/>
    <w:rsid w:val="00534B22"/>
    <w:rsid w:val="00534B4F"/>
    <w:rsid w:val="00534E71"/>
    <w:rsid w:val="00534EA3"/>
    <w:rsid w:val="0053523E"/>
    <w:rsid w:val="0053529F"/>
    <w:rsid w:val="005354FB"/>
    <w:rsid w:val="00535553"/>
    <w:rsid w:val="005355FD"/>
    <w:rsid w:val="00535620"/>
    <w:rsid w:val="00535691"/>
    <w:rsid w:val="0053574D"/>
    <w:rsid w:val="00535915"/>
    <w:rsid w:val="00535921"/>
    <w:rsid w:val="00535929"/>
    <w:rsid w:val="0053593A"/>
    <w:rsid w:val="00535978"/>
    <w:rsid w:val="00535B41"/>
    <w:rsid w:val="00535BCC"/>
    <w:rsid w:val="00535F5F"/>
    <w:rsid w:val="00535F87"/>
    <w:rsid w:val="00535FF6"/>
    <w:rsid w:val="00536065"/>
    <w:rsid w:val="00536117"/>
    <w:rsid w:val="005362C6"/>
    <w:rsid w:val="005363E8"/>
    <w:rsid w:val="00536464"/>
    <w:rsid w:val="005364CD"/>
    <w:rsid w:val="005364F4"/>
    <w:rsid w:val="005364FC"/>
    <w:rsid w:val="00536501"/>
    <w:rsid w:val="0053651A"/>
    <w:rsid w:val="00536582"/>
    <w:rsid w:val="00536585"/>
    <w:rsid w:val="00536592"/>
    <w:rsid w:val="0053660A"/>
    <w:rsid w:val="00536729"/>
    <w:rsid w:val="0053674B"/>
    <w:rsid w:val="00536777"/>
    <w:rsid w:val="00536847"/>
    <w:rsid w:val="0053687D"/>
    <w:rsid w:val="00536881"/>
    <w:rsid w:val="005368F8"/>
    <w:rsid w:val="00536919"/>
    <w:rsid w:val="00536BB7"/>
    <w:rsid w:val="00536C03"/>
    <w:rsid w:val="00536C90"/>
    <w:rsid w:val="00536D2A"/>
    <w:rsid w:val="00536D84"/>
    <w:rsid w:val="00536DF3"/>
    <w:rsid w:val="00536E2C"/>
    <w:rsid w:val="00536E92"/>
    <w:rsid w:val="00536F77"/>
    <w:rsid w:val="00536FCC"/>
    <w:rsid w:val="005370BA"/>
    <w:rsid w:val="0053711F"/>
    <w:rsid w:val="005371A1"/>
    <w:rsid w:val="00537222"/>
    <w:rsid w:val="005372D4"/>
    <w:rsid w:val="00537523"/>
    <w:rsid w:val="00537594"/>
    <w:rsid w:val="005376B4"/>
    <w:rsid w:val="005376DA"/>
    <w:rsid w:val="005378AF"/>
    <w:rsid w:val="00537929"/>
    <w:rsid w:val="005379A7"/>
    <w:rsid w:val="005379CC"/>
    <w:rsid w:val="00537A27"/>
    <w:rsid w:val="00537A65"/>
    <w:rsid w:val="00537B46"/>
    <w:rsid w:val="00537B53"/>
    <w:rsid w:val="00537BD8"/>
    <w:rsid w:val="00537BEE"/>
    <w:rsid w:val="00537C4E"/>
    <w:rsid w:val="00537CB9"/>
    <w:rsid w:val="00537D1C"/>
    <w:rsid w:val="00537E06"/>
    <w:rsid w:val="00537E70"/>
    <w:rsid w:val="00537EB0"/>
    <w:rsid w:val="00537EBB"/>
    <w:rsid w:val="00537FC5"/>
    <w:rsid w:val="00540064"/>
    <w:rsid w:val="0054009A"/>
    <w:rsid w:val="005401B8"/>
    <w:rsid w:val="00540279"/>
    <w:rsid w:val="00540633"/>
    <w:rsid w:val="00540681"/>
    <w:rsid w:val="0054084A"/>
    <w:rsid w:val="0054097C"/>
    <w:rsid w:val="00540999"/>
    <w:rsid w:val="00540A60"/>
    <w:rsid w:val="00540BA0"/>
    <w:rsid w:val="00540C39"/>
    <w:rsid w:val="00540CA9"/>
    <w:rsid w:val="00540D86"/>
    <w:rsid w:val="00540E11"/>
    <w:rsid w:val="00540EC5"/>
    <w:rsid w:val="00540EC6"/>
    <w:rsid w:val="00540EDE"/>
    <w:rsid w:val="00540F1D"/>
    <w:rsid w:val="00540F58"/>
    <w:rsid w:val="00540FC1"/>
    <w:rsid w:val="00541024"/>
    <w:rsid w:val="00541136"/>
    <w:rsid w:val="00541161"/>
    <w:rsid w:val="00541222"/>
    <w:rsid w:val="005412D1"/>
    <w:rsid w:val="0054145B"/>
    <w:rsid w:val="0054180F"/>
    <w:rsid w:val="00541840"/>
    <w:rsid w:val="00541861"/>
    <w:rsid w:val="005419D6"/>
    <w:rsid w:val="005419FD"/>
    <w:rsid w:val="00541A25"/>
    <w:rsid w:val="00541CD4"/>
    <w:rsid w:val="00541D41"/>
    <w:rsid w:val="00541D59"/>
    <w:rsid w:val="00541D61"/>
    <w:rsid w:val="00541D68"/>
    <w:rsid w:val="00541E50"/>
    <w:rsid w:val="005420BA"/>
    <w:rsid w:val="005420C4"/>
    <w:rsid w:val="005421D3"/>
    <w:rsid w:val="005422E4"/>
    <w:rsid w:val="0054234D"/>
    <w:rsid w:val="00542354"/>
    <w:rsid w:val="00542381"/>
    <w:rsid w:val="005423DD"/>
    <w:rsid w:val="00542448"/>
    <w:rsid w:val="00542693"/>
    <w:rsid w:val="00542771"/>
    <w:rsid w:val="00542828"/>
    <w:rsid w:val="00542AA0"/>
    <w:rsid w:val="00542ABB"/>
    <w:rsid w:val="00542AEC"/>
    <w:rsid w:val="00542C12"/>
    <w:rsid w:val="00542C16"/>
    <w:rsid w:val="00542C68"/>
    <w:rsid w:val="00542D16"/>
    <w:rsid w:val="00542D1F"/>
    <w:rsid w:val="00542E68"/>
    <w:rsid w:val="00542FA2"/>
    <w:rsid w:val="0054303F"/>
    <w:rsid w:val="005430F9"/>
    <w:rsid w:val="005431EA"/>
    <w:rsid w:val="005433B3"/>
    <w:rsid w:val="005434B3"/>
    <w:rsid w:val="005434C7"/>
    <w:rsid w:val="005434CD"/>
    <w:rsid w:val="0054355E"/>
    <w:rsid w:val="005435D5"/>
    <w:rsid w:val="005435FA"/>
    <w:rsid w:val="0054379D"/>
    <w:rsid w:val="00543A32"/>
    <w:rsid w:val="00543BE3"/>
    <w:rsid w:val="00543D49"/>
    <w:rsid w:val="00543DFB"/>
    <w:rsid w:val="00543E22"/>
    <w:rsid w:val="00543E58"/>
    <w:rsid w:val="00543EA3"/>
    <w:rsid w:val="00543F7D"/>
    <w:rsid w:val="00543F8D"/>
    <w:rsid w:val="00543FBD"/>
    <w:rsid w:val="00543FCC"/>
    <w:rsid w:val="00544106"/>
    <w:rsid w:val="00544283"/>
    <w:rsid w:val="005442E8"/>
    <w:rsid w:val="005442F7"/>
    <w:rsid w:val="0054435F"/>
    <w:rsid w:val="005443B8"/>
    <w:rsid w:val="0054451B"/>
    <w:rsid w:val="00544578"/>
    <w:rsid w:val="00544775"/>
    <w:rsid w:val="005447CB"/>
    <w:rsid w:val="0054485B"/>
    <w:rsid w:val="0054492C"/>
    <w:rsid w:val="00544AFC"/>
    <w:rsid w:val="00544B8C"/>
    <w:rsid w:val="00544BB4"/>
    <w:rsid w:val="00544C3F"/>
    <w:rsid w:val="00544E48"/>
    <w:rsid w:val="00544ECB"/>
    <w:rsid w:val="00545003"/>
    <w:rsid w:val="005450E2"/>
    <w:rsid w:val="005450E9"/>
    <w:rsid w:val="0054513E"/>
    <w:rsid w:val="00545322"/>
    <w:rsid w:val="00545391"/>
    <w:rsid w:val="005453FB"/>
    <w:rsid w:val="0054562F"/>
    <w:rsid w:val="00545658"/>
    <w:rsid w:val="00545760"/>
    <w:rsid w:val="00545841"/>
    <w:rsid w:val="005458DA"/>
    <w:rsid w:val="005458E8"/>
    <w:rsid w:val="00545937"/>
    <w:rsid w:val="00545940"/>
    <w:rsid w:val="0054595A"/>
    <w:rsid w:val="00545A48"/>
    <w:rsid w:val="00545BB4"/>
    <w:rsid w:val="00545E26"/>
    <w:rsid w:val="00545E78"/>
    <w:rsid w:val="00545EB3"/>
    <w:rsid w:val="005460CC"/>
    <w:rsid w:val="0054613C"/>
    <w:rsid w:val="005461A4"/>
    <w:rsid w:val="005462E4"/>
    <w:rsid w:val="00546307"/>
    <w:rsid w:val="005463CC"/>
    <w:rsid w:val="0054641B"/>
    <w:rsid w:val="005464D6"/>
    <w:rsid w:val="00546526"/>
    <w:rsid w:val="00546580"/>
    <w:rsid w:val="005465BF"/>
    <w:rsid w:val="005466CF"/>
    <w:rsid w:val="00546736"/>
    <w:rsid w:val="005467D0"/>
    <w:rsid w:val="00546853"/>
    <w:rsid w:val="005468AB"/>
    <w:rsid w:val="00546974"/>
    <w:rsid w:val="00546CAE"/>
    <w:rsid w:val="00546E67"/>
    <w:rsid w:val="00546EB8"/>
    <w:rsid w:val="00546F09"/>
    <w:rsid w:val="005470AF"/>
    <w:rsid w:val="00547100"/>
    <w:rsid w:val="005471AC"/>
    <w:rsid w:val="00547289"/>
    <w:rsid w:val="0054737A"/>
    <w:rsid w:val="005475B7"/>
    <w:rsid w:val="005475CC"/>
    <w:rsid w:val="0054768B"/>
    <w:rsid w:val="005476A9"/>
    <w:rsid w:val="00547700"/>
    <w:rsid w:val="005478A8"/>
    <w:rsid w:val="00547A00"/>
    <w:rsid w:val="00547AA6"/>
    <w:rsid w:val="00547CFC"/>
    <w:rsid w:val="00547E57"/>
    <w:rsid w:val="00547FF3"/>
    <w:rsid w:val="005501AD"/>
    <w:rsid w:val="0055022F"/>
    <w:rsid w:val="00550237"/>
    <w:rsid w:val="00550274"/>
    <w:rsid w:val="0055035F"/>
    <w:rsid w:val="0055047A"/>
    <w:rsid w:val="005504B6"/>
    <w:rsid w:val="0055058E"/>
    <w:rsid w:val="0055062D"/>
    <w:rsid w:val="0055070E"/>
    <w:rsid w:val="005507F5"/>
    <w:rsid w:val="00550899"/>
    <w:rsid w:val="00550926"/>
    <w:rsid w:val="00550A92"/>
    <w:rsid w:val="00550D24"/>
    <w:rsid w:val="00550F28"/>
    <w:rsid w:val="005510C1"/>
    <w:rsid w:val="00551119"/>
    <w:rsid w:val="005511E8"/>
    <w:rsid w:val="0055128D"/>
    <w:rsid w:val="0055138A"/>
    <w:rsid w:val="005513DF"/>
    <w:rsid w:val="00551573"/>
    <w:rsid w:val="005515CD"/>
    <w:rsid w:val="00551785"/>
    <w:rsid w:val="00551930"/>
    <w:rsid w:val="005519F8"/>
    <w:rsid w:val="00551B34"/>
    <w:rsid w:val="00551B8E"/>
    <w:rsid w:val="00551BBC"/>
    <w:rsid w:val="00551BC0"/>
    <w:rsid w:val="00551D58"/>
    <w:rsid w:val="00551E45"/>
    <w:rsid w:val="00551ECB"/>
    <w:rsid w:val="00551FAC"/>
    <w:rsid w:val="00552044"/>
    <w:rsid w:val="00552126"/>
    <w:rsid w:val="00552163"/>
    <w:rsid w:val="00552347"/>
    <w:rsid w:val="005524B2"/>
    <w:rsid w:val="005524F4"/>
    <w:rsid w:val="0055251B"/>
    <w:rsid w:val="00552806"/>
    <w:rsid w:val="00552842"/>
    <w:rsid w:val="005528C0"/>
    <w:rsid w:val="00552932"/>
    <w:rsid w:val="00552BC1"/>
    <w:rsid w:val="00552DAF"/>
    <w:rsid w:val="00552E1C"/>
    <w:rsid w:val="00552E49"/>
    <w:rsid w:val="00552EB3"/>
    <w:rsid w:val="00552F8D"/>
    <w:rsid w:val="00552F9C"/>
    <w:rsid w:val="00552FB6"/>
    <w:rsid w:val="0055307A"/>
    <w:rsid w:val="005530BA"/>
    <w:rsid w:val="005531CB"/>
    <w:rsid w:val="00553236"/>
    <w:rsid w:val="0055329A"/>
    <w:rsid w:val="00553306"/>
    <w:rsid w:val="00553426"/>
    <w:rsid w:val="00553577"/>
    <w:rsid w:val="0055358A"/>
    <w:rsid w:val="0055358E"/>
    <w:rsid w:val="00553595"/>
    <w:rsid w:val="0055362F"/>
    <w:rsid w:val="005536AC"/>
    <w:rsid w:val="005539A7"/>
    <w:rsid w:val="00553A04"/>
    <w:rsid w:val="00553A5F"/>
    <w:rsid w:val="00553B38"/>
    <w:rsid w:val="00553BAC"/>
    <w:rsid w:val="00553BFC"/>
    <w:rsid w:val="00553CDE"/>
    <w:rsid w:val="00553D17"/>
    <w:rsid w:val="00553ECE"/>
    <w:rsid w:val="00553F62"/>
    <w:rsid w:val="00553F82"/>
    <w:rsid w:val="0055406C"/>
    <w:rsid w:val="0055407E"/>
    <w:rsid w:val="0055409E"/>
    <w:rsid w:val="00554173"/>
    <w:rsid w:val="0055428E"/>
    <w:rsid w:val="005542B7"/>
    <w:rsid w:val="005542ED"/>
    <w:rsid w:val="005543F3"/>
    <w:rsid w:val="00554468"/>
    <w:rsid w:val="00554478"/>
    <w:rsid w:val="00554488"/>
    <w:rsid w:val="0055450F"/>
    <w:rsid w:val="0055464C"/>
    <w:rsid w:val="00554652"/>
    <w:rsid w:val="00554675"/>
    <w:rsid w:val="00554B3D"/>
    <w:rsid w:val="00554BFA"/>
    <w:rsid w:val="00554C89"/>
    <w:rsid w:val="00554DDA"/>
    <w:rsid w:val="00554E80"/>
    <w:rsid w:val="00554EFE"/>
    <w:rsid w:val="005550E3"/>
    <w:rsid w:val="005551BB"/>
    <w:rsid w:val="0055527F"/>
    <w:rsid w:val="005552CD"/>
    <w:rsid w:val="00555358"/>
    <w:rsid w:val="005553F9"/>
    <w:rsid w:val="0055552D"/>
    <w:rsid w:val="00555614"/>
    <w:rsid w:val="00555616"/>
    <w:rsid w:val="0055564A"/>
    <w:rsid w:val="00555739"/>
    <w:rsid w:val="0055573F"/>
    <w:rsid w:val="005557FD"/>
    <w:rsid w:val="0055582F"/>
    <w:rsid w:val="00555902"/>
    <w:rsid w:val="00555967"/>
    <w:rsid w:val="00555A23"/>
    <w:rsid w:val="00555A3F"/>
    <w:rsid w:val="00555A69"/>
    <w:rsid w:val="00555B69"/>
    <w:rsid w:val="00555C85"/>
    <w:rsid w:val="00555C97"/>
    <w:rsid w:val="00555D68"/>
    <w:rsid w:val="00555DDE"/>
    <w:rsid w:val="00555DF1"/>
    <w:rsid w:val="00555FA6"/>
    <w:rsid w:val="00556189"/>
    <w:rsid w:val="005561B4"/>
    <w:rsid w:val="00556299"/>
    <w:rsid w:val="005562B7"/>
    <w:rsid w:val="005562F9"/>
    <w:rsid w:val="0055651F"/>
    <w:rsid w:val="00556572"/>
    <w:rsid w:val="005565EB"/>
    <w:rsid w:val="00556672"/>
    <w:rsid w:val="00556704"/>
    <w:rsid w:val="005567CE"/>
    <w:rsid w:val="005568DF"/>
    <w:rsid w:val="00556A87"/>
    <w:rsid w:val="00556B00"/>
    <w:rsid w:val="00556B4B"/>
    <w:rsid w:val="00556BA3"/>
    <w:rsid w:val="00556BE1"/>
    <w:rsid w:val="00556CD5"/>
    <w:rsid w:val="00556D4B"/>
    <w:rsid w:val="00556D8D"/>
    <w:rsid w:val="00556DAA"/>
    <w:rsid w:val="00556DF2"/>
    <w:rsid w:val="00556E15"/>
    <w:rsid w:val="00556E5C"/>
    <w:rsid w:val="00556F44"/>
    <w:rsid w:val="00556F9B"/>
    <w:rsid w:val="0055709E"/>
    <w:rsid w:val="005570E5"/>
    <w:rsid w:val="00557407"/>
    <w:rsid w:val="00557A8A"/>
    <w:rsid w:val="00557AD2"/>
    <w:rsid w:val="00557AEB"/>
    <w:rsid w:val="00557B07"/>
    <w:rsid w:val="00557BB2"/>
    <w:rsid w:val="00557BE0"/>
    <w:rsid w:val="00557BFC"/>
    <w:rsid w:val="00557D07"/>
    <w:rsid w:val="00557D34"/>
    <w:rsid w:val="00557DE0"/>
    <w:rsid w:val="00557E2D"/>
    <w:rsid w:val="00557F0B"/>
    <w:rsid w:val="00557F41"/>
    <w:rsid w:val="00557FEC"/>
    <w:rsid w:val="00560003"/>
    <w:rsid w:val="005600C5"/>
    <w:rsid w:val="005600C6"/>
    <w:rsid w:val="005600DD"/>
    <w:rsid w:val="00560229"/>
    <w:rsid w:val="005605D8"/>
    <w:rsid w:val="005605ED"/>
    <w:rsid w:val="005606A9"/>
    <w:rsid w:val="005608E4"/>
    <w:rsid w:val="00560952"/>
    <w:rsid w:val="00560A6B"/>
    <w:rsid w:val="00560B75"/>
    <w:rsid w:val="00560CD4"/>
    <w:rsid w:val="00560CE1"/>
    <w:rsid w:val="00560D00"/>
    <w:rsid w:val="00560D99"/>
    <w:rsid w:val="00560E23"/>
    <w:rsid w:val="00560EB8"/>
    <w:rsid w:val="00560F5C"/>
    <w:rsid w:val="0056104B"/>
    <w:rsid w:val="00561191"/>
    <w:rsid w:val="00561213"/>
    <w:rsid w:val="005613A5"/>
    <w:rsid w:val="0056158C"/>
    <w:rsid w:val="005615C2"/>
    <w:rsid w:val="00561717"/>
    <w:rsid w:val="0056174E"/>
    <w:rsid w:val="0056176F"/>
    <w:rsid w:val="0056185A"/>
    <w:rsid w:val="00561879"/>
    <w:rsid w:val="005618F5"/>
    <w:rsid w:val="00561931"/>
    <w:rsid w:val="00561AB0"/>
    <w:rsid w:val="00561D51"/>
    <w:rsid w:val="00561F33"/>
    <w:rsid w:val="0056215F"/>
    <w:rsid w:val="0056224D"/>
    <w:rsid w:val="005622D0"/>
    <w:rsid w:val="00562375"/>
    <w:rsid w:val="005624C7"/>
    <w:rsid w:val="00562570"/>
    <w:rsid w:val="00562578"/>
    <w:rsid w:val="0056276D"/>
    <w:rsid w:val="00562986"/>
    <w:rsid w:val="005629BC"/>
    <w:rsid w:val="00562B99"/>
    <w:rsid w:val="00562CA4"/>
    <w:rsid w:val="00562F1A"/>
    <w:rsid w:val="005630E4"/>
    <w:rsid w:val="00563136"/>
    <w:rsid w:val="0056315C"/>
    <w:rsid w:val="0056329A"/>
    <w:rsid w:val="005633AA"/>
    <w:rsid w:val="005633DD"/>
    <w:rsid w:val="005634BB"/>
    <w:rsid w:val="0056350C"/>
    <w:rsid w:val="00563568"/>
    <w:rsid w:val="0056368B"/>
    <w:rsid w:val="0056373F"/>
    <w:rsid w:val="0056375B"/>
    <w:rsid w:val="00563986"/>
    <w:rsid w:val="00563A4C"/>
    <w:rsid w:val="00563C2D"/>
    <w:rsid w:val="00563C67"/>
    <w:rsid w:val="00563C75"/>
    <w:rsid w:val="00563CCC"/>
    <w:rsid w:val="00563D75"/>
    <w:rsid w:val="00563DDB"/>
    <w:rsid w:val="00563E19"/>
    <w:rsid w:val="00564033"/>
    <w:rsid w:val="00564122"/>
    <w:rsid w:val="00564136"/>
    <w:rsid w:val="00564150"/>
    <w:rsid w:val="00564297"/>
    <w:rsid w:val="005643BA"/>
    <w:rsid w:val="005643BB"/>
    <w:rsid w:val="005643E3"/>
    <w:rsid w:val="005644D3"/>
    <w:rsid w:val="005644F8"/>
    <w:rsid w:val="0056456E"/>
    <w:rsid w:val="005645A5"/>
    <w:rsid w:val="00564602"/>
    <w:rsid w:val="0056467E"/>
    <w:rsid w:val="00564728"/>
    <w:rsid w:val="00564AD5"/>
    <w:rsid w:val="00564C39"/>
    <w:rsid w:val="00564CA6"/>
    <w:rsid w:val="00564CD5"/>
    <w:rsid w:val="00564D29"/>
    <w:rsid w:val="00564DBC"/>
    <w:rsid w:val="00565056"/>
    <w:rsid w:val="00565068"/>
    <w:rsid w:val="00565129"/>
    <w:rsid w:val="005651DB"/>
    <w:rsid w:val="005652F9"/>
    <w:rsid w:val="00565300"/>
    <w:rsid w:val="00565328"/>
    <w:rsid w:val="00565555"/>
    <w:rsid w:val="005656C4"/>
    <w:rsid w:val="00565725"/>
    <w:rsid w:val="0056576E"/>
    <w:rsid w:val="005657F1"/>
    <w:rsid w:val="00565823"/>
    <w:rsid w:val="005658F0"/>
    <w:rsid w:val="005659EF"/>
    <w:rsid w:val="00565A16"/>
    <w:rsid w:val="00565C4A"/>
    <w:rsid w:val="00565CA0"/>
    <w:rsid w:val="00565D2F"/>
    <w:rsid w:val="00565D75"/>
    <w:rsid w:val="00565DF8"/>
    <w:rsid w:val="00565E2E"/>
    <w:rsid w:val="0056606F"/>
    <w:rsid w:val="00566154"/>
    <w:rsid w:val="005661DC"/>
    <w:rsid w:val="00566204"/>
    <w:rsid w:val="005662F7"/>
    <w:rsid w:val="0056636B"/>
    <w:rsid w:val="005664CE"/>
    <w:rsid w:val="0056654A"/>
    <w:rsid w:val="005665E2"/>
    <w:rsid w:val="005665F8"/>
    <w:rsid w:val="005665FA"/>
    <w:rsid w:val="00566622"/>
    <w:rsid w:val="005666CE"/>
    <w:rsid w:val="00566A00"/>
    <w:rsid w:val="00566A80"/>
    <w:rsid w:val="00566CD2"/>
    <w:rsid w:val="00566CD9"/>
    <w:rsid w:val="00566CDC"/>
    <w:rsid w:val="00566DBB"/>
    <w:rsid w:val="00566E5F"/>
    <w:rsid w:val="00566E9D"/>
    <w:rsid w:val="00566EE8"/>
    <w:rsid w:val="00567006"/>
    <w:rsid w:val="00567032"/>
    <w:rsid w:val="005670C9"/>
    <w:rsid w:val="00567452"/>
    <w:rsid w:val="00567497"/>
    <w:rsid w:val="005675B4"/>
    <w:rsid w:val="0056767B"/>
    <w:rsid w:val="005676AD"/>
    <w:rsid w:val="00567726"/>
    <w:rsid w:val="005677C3"/>
    <w:rsid w:val="0056787F"/>
    <w:rsid w:val="00567995"/>
    <w:rsid w:val="00567A37"/>
    <w:rsid w:val="00567AF0"/>
    <w:rsid w:val="00567AFD"/>
    <w:rsid w:val="00567BA5"/>
    <w:rsid w:val="00567BB2"/>
    <w:rsid w:val="00567C5F"/>
    <w:rsid w:val="00567C68"/>
    <w:rsid w:val="00567C83"/>
    <w:rsid w:val="00567D29"/>
    <w:rsid w:val="00567ECB"/>
    <w:rsid w:val="00567F25"/>
    <w:rsid w:val="005701CB"/>
    <w:rsid w:val="0057039F"/>
    <w:rsid w:val="005703C2"/>
    <w:rsid w:val="0057068F"/>
    <w:rsid w:val="0057091E"/>
    <w:rsid w:val="00570951"/>
    <w:rsid w:val="00570AFD"/>
    <w:rsid w:val="00570B18"/>
    <w:rsid w:val="00570B1F"/>
    <w:rsid w:val="00570CDC"/>
    <w:rsid w:val="00570D0D"/>
    <w:rsid w:val="00570D4B"/>
    <w:rsid w:val="00570DB2"/>
    <w:rsid w:val="00570E03"/>
    <w:rsid w:val="00570EFD"/>
    <w:rsid w:val="00570FE3"/>
    <w:rsid w:val="0057100D"/>
    <w:rsid w:val="005710E8"/>
    <w:rsid w:val="005711AF"/>
    <w:rsid w:val="005712DA"/>
    <w:rsid w:val="00571307"/>
    <w:rsid w:val="0057132B"/>
    <w:rsid w:val="00571359"/>
    <w:rsid w:val="005713D4"/>
    <w:rsid w:val="00571406"/>
    <w:rsid w:val="00571438"/>
    <w:rsid w:val="00571444"/>
    <w:rsid w:val="0057149B"/>
    <w:rsid w:val="0057152E"/>
    <w:rsid w:val="005715AB"/>
    <w:rsid w:val="005716AC"/>
    <w:rsid w:val="005716BA"/>
    <w:rsid w:val="00571934"/>
    <w:rsid w:val="005719AE"/>
    <w:rsid w:val="005719E6"/>
    <w:rsid w:val="00571A0F"/>
    <w:rsid w:val="00571A3C"/>
    <w:rsid w:val="00571DD5"/>
    <w:rsid w:val="00572080"/>
    <w:rsid w:val="00572091"/>
    <w:rsid w:val="005720F7"/>
    <w:rsid w:val="005721C5"/>
    <w:rsid w:val="005721CC"/>
    <w:rsid w:val="00572295"/>
    <w:rsid w:val="005722FC"/>
    <w:rsid w:val="00572489"/>
    <w:rsid w:val="00572565"/>
    <w:rsid w:val="00572787"/>
    <w:rsid w:val="00572928"/>
    <w:rsid w:val="0057299C"/>
    <w:rsid w:val="00572AF7"/>
    <w:rsid w:val="00572AFA"/>
    <w:rsid w:val="00572BDA"/>
    <w:rsid w:val="00572E6B"/>
    <w:rsid w:val="00572E7A"/>
    <w:rsid w:val="00572EC0"/>
    <w:rsid w:val="00572F0D"/>
    <w:rsid w:val="00572FD2"/>
    <w:rsid w:val="00573278"/>
    <w:rsid w:val="005733D3"/>
    <w:rsid w:val="005733DF"/>
    <w:rsid w:val="00573410"/>
    <w:rsid w:val="005734C9"/>
    <w:rsid w:val="00573618"/>
    <w:rsid w:val="005737A2"/>
    <w:rsid w:val="005737C7"/>
    <w:rsid w:val="005738CF"/>
    <w:rsid w:val="00573911"/>
    <w:rsid w:val="00573A18"/>
    <w:rsid w:val="00573AB6"/>
    <w:rsid w:val="00573C1E"/>
    <w:rsid w:val="00573CEF"/>
    <w:rsid w:val="00573CF9"/>
    <w:rsid w:val="00573D38"/>
    <w:rsid w:val="00573DC4"/>
    <w:rsid w:val="00573EA7"/>
    <w:rsid w:val="00573F0D"/>
    <w:rsid w:val="005740EF"/>
    <w:rsid w:val="00574324"/>
    <w:rsid w:val="00574431"/>
    <w:rsid w:val="00574470"/>
    <w:rsid w:val="0057476F"/>
    <w:rsid w:val="0057478B"/>
    <w:rsid w:val="00574854"/>
    <w:rsid w:val="00574AA6"/>
    <w:rsid w:val="00574AED"/>
    <w:rsid w:val="00574AF7"/>
    <w:rsid w:val="00574B22"/>
    <w:rsid w:val="00574B44"/>
    <w:rsid w:val="00574BE1"/>
    <w:rsid w:val="00574C52"/>
    <w:rsid w:val="00574EC1"/>
    <w:rsid w:val="00574EE2"/>
    <w:rsid w:val="00574F94"/>
    <w:rsid w:val="00575095"/>
    <w:rsid w:val="00575131"/>
    <w:rsid w:val="00575250"/>
    <w:rsid w:val="005752CE"/>
    <w:rsid w:val="00575350"/>
    <w:rsid w:val="00575433"/>
    <w:rsid w:val="00575567"/>
    <w:rsid w:val="005755B7"/>
    <w:rsid w:val="005755EC"/>
    <w:rsid w:val="005756AE"/>
    <w:rsid w:val="005756D4"/>
    <w:rsid w:val="005757D3"/>
    <w:rsid w:val="00575846"/>
    <w:rsid w:val="00575A24"/>
    <w:rsid w:val="00575A68"/>
    <w:rsid w:val="00575B48"/>
    <w:rsid w:val="00575D3A"/>
    <w:rsid w:val="00575DAB"/>
    <w:rsid w:val="00575E4E"/>
    <w:rsid w:val="00575F90"/>
    <w:rsid w:val="00575FEA"/>
    <w:rsid w:val="005763A4"/>
    <w:rsid w:val="0057667F"/>
    <w:rsid w:val="0057671A"/>
    <w:rsid w:val="0057683F"/>
    <w:rsid w:val="0057687D"/>
    <w:rsid w:val="00576896"/>
    <w:rsid w:val="00576898"/>
    <w:rsid w:val="00576926"/>
    <w:rsid w:val="00576AE2"/>
    <w:rsid w:val="00576C9A"/>
    <w:rsid w:val="00576D0C"/>
    <w:rsid w:val="00576DB0"/>
    <w:rsid w:val="00576DC1"/>
    <w:rsid w:val="00576F59"/>
    <w:rsid w:val="0057703E"/>
    <w:rsid w:val="00577089"/>
    <w:rsid w:val="005770BD"/>
    <w:rsid w:val="00577194"/>
    <w:rsid w:val="00577515"/>
    <w:rsid w:val="00577521"/>
    <w:rsid w:val="00577642"/>
    <w:rsid w:val="00577677"/>
    <w:rsid w:val="005776E7"/>
    <w:rsid w:val="005777DD"/>
    <w:rsid w:val="005778C4"/>
    <w:rsid w:val="0057790D"/>
    <w:rsid w:val="00577926"/>
    <w:rsid w:val="00577A9C"/>
    <w:rsid w:val="00577AF6"/>
    <w:rsid w:val="00577B18"/>
    <w:rsid w:val="00577C0C"/>
    <w:rsid w:val="00577C5C"/>
    <w:rsid w:val="00577CAA"/>
    <w:rsid w:val="00577D3A"/>
    <w:rsid w:val="00577D85"/>
    <w:rsid w:val="00577D8B"/>
    <w:rsid w:val="00577E1B"/>
    <w:rsid w:val="00577E61"/>
    <w:rsid w:val="00577F46"/>
    <w:rsid w:val="00580179"/>
    <w:rsid w:val="005801B7"/>
    <w:rsid w:val="005801F9"/>
    <w:rsid w:val="005801FF"/>
    <w:rsid w:val="0058027A"/>
    <w:rsid w:val="0058036A"/>
    <w:rsid w:val="005803DD"/>
    <w:rsid w:val="005803E9"/>
    <w:rsid w:val="005805B8"/>
    <w:rsid w:val="00580787"/>
    <w:rsid w:val="005807DF"/>
    <w:rsid w:val="0058085B"/>
    <w:rsid w:val="00580916"/>
    <w:rsid w:val="00580932"/>
    <w:rsid w:val="00580A84"/>
    <w:rsid w:val="00580C9F"/>
    <w:rsid w:val="00580CE6"/>
    <w:rsid w:val="00580D38"/>
    <w:rsid w:val="00580DE5"/>
    <w:rsid w:val="00580E2E"/>
    <w:rsid w:val="00580FA9"/>
    <w:rsid w:val="00580FCD"/>
    <w:rsid w:val="00581085"/>
    <w:rsid w:val="005810C8"/>
    <w:rsid w:val="005810DF"/>
    <w:rsid w:val="005812BB"/>
    <w:rsid w:val="00581303"/>
    <w:rsid w:val="00581362"/>
    <w:rsid w:val="005813A2"/>
    <w:rsid w:val="005813F0"/>
    <w:rsid w:val="005815BE"/>
    <w:rsid w:val="005816AF"/>
    <w:rsid w:val="005817E3"/>
    <w:rsid w:val="00581898"/>
    <w:rsid w:val="005818D5"/>
    <w:rsid w:val="0058199D"/>
    <w:rsid w:val="005819C8"/>
    <w:rsid w:val="00581B96"/>
    <w:rsid w:val="00581BBC"/>
    <w:rsid w:val="00581C50"/>
    <w:rsid w:val="00581CFC"/>
    <w:rsid w:val="00581DB6"/>
    <w:rsid w:val="00581E4A"/>
    <w:rsid w:val="00581ED5"/>
    <w:rsid w:val="00581F58"/>
    <w:rsid w:val="00581FD3"/>
    <w:rsid w:val="0058200B"/>
    <w:rsid w:val="00582015"/>
    <w:rsid w:val="00582136"/>
    <w:rsid w:val="0058215F"/>
    <w:rsid w:val="005821CA"/>
    <w:rsid w:val="005821E2"/>
    <w:rsid w:val="00582253"/>
    <w:rsid w:val="00582315"/>
    <w:rsid w:val="005824D9"/>
    <w:rsid w:val="00582586"/>
    <w:rsid w:val="005825D4"/>
    <w:rsid w:val="005825ED"/>
    <w:rsid w:val="0058261D"/>
    <w:rsid w:val="005826AC"/>
    <w:rsid w:val="00582787"/>
    <w:rsid w:val="005827B9"/>
    <w:rsid w:val="005827C6"/>
    <w:rsid w:val="00582801"/>
    <w:rsid w:val="005828C4"/>
    <w:rsid w:val="00582985"/>
    <w:rsid w:val="00582AC8"/>
    <w:rsid w:val="00582B2B"/>
    <w:rsid w:val="00582B9E"/>
    <w:rsid w:val="00582BD6"/>
    <w:rsid w:val="00582EF2"/>
    <w:rsid w:val="00582F2D"/>
    <w:rsid w:val="00583012"/>
    <w:rsid w:val="00583024"/>
    <w:rsid w:val="0058308E"/>
    <w:rsid w:val="005830AF"/>
    <w:rsid w:val="0058313F"/>
    <w:rsid w:val="005831C1"/>
    <w:rsid w:val="005832B9"/>
    <w:rsid w:val="00583308"/>
    <w:rsid w:val="00583323"/>
    <w:rsid w:val="0058335D"/>
    <w:rsid w:val="0058341C"/>
    <w:rsid w:val="005835D4"/>
    <w:rsid w:val="005835DA"/>
    <w:rsid w:val="005836E3"/>
    <w:rsid w:val="005838D4"/>
    <w:rsid w:val="005838D6"/>
    <w:rsid w:val="00583AE5"/>
    <w:rsid w:val="00583B87"/>
    <w:rsid w:val="00583FE3"/>
    <w:rsid w:val="00584092"/>
    <w:rsid w:val="005840A8"/>
    <w:rsid w:val="005840F6"/>
    <w:rsid w:val="00584216"/>
    <w:rsid w:val="005843F9"/>
    <w:rsid w:val="0058443A"/>
    <w:rsid w:val="00584507"/>
    <w:rsid w:val="00584566"/>
    <w:rsid w:val="0058457D"/>
    <w:rsid w:val="00584588"/>
    <w:rsid w:val="00584A06"/>
    <w:rsid w:val="00584A22"/>
    <w:rsid w:val="00584B97"/>
    <w:rsid w:val="00584BFE"/>
    <w:rsid w:val="00584C52"/>
    <w:rsid w:val="00584C84"/>
    <w:rsid w:val="00584DBC"/>
    <w:rsid w:val="00584E01"/>
    <w:rsid w:val="00584EFE"/>
    <w:rsid w:val="0058509A"/>
    <w:rsid w:val="005851F9"/>
    <w:rsid w:val="00585209"/>
    <w:rsid w:val="00585266"/>
    <w:rsid w:val="005852E9"/>
    <w:rsid w:val="00585305"/>
    <w:rsid w:val="005855C9"/>
    <w:rsid w:val="0058562B"/>
    <w:rsid w:val="0058581E"/>
    <w:rsid w:val="00585839"/>
    <w:rsid w:val="00585A6D"/>
    <w:rsid w:val="00585A75"/>
    <w:rsid w:val="00585C89"/>
    <w:rsid w:val="00585D23"/>
    <w:rsid w:val="00585DBB"/>
    <w:rsid w:val="00585E23"/>
    <w:rsid w:val="005861FD"/>
    <w:rsid w:val="00586343"/>
    <w:rsid w:val="00586465"/>
    <w:rsid w:val="005864A1"/>
    <w:rsid w:val="005864CA"/>
    <w:rsid w:val="005864FA"/>
    <w:rsid w:val="00586506"/>
    <w:rsid w:val="00586571"/>
    <w:rsid w:val="0058659F"/>
    <w:rsid w:val="005866E3"/>
    <w:rsid w:val="005866F3"/>
    <w:rsid w:val="00586727"/>
    <w:rsid w:val="00586787"/>
    <w:rsid w:val="00586884"/>
    <w:rsid w:val="005868EF"/>
    <w:rsid w:val="00586954"/>
    <w:rsid w:val="005869CD"/>
    <w:rsid w:val="00586A75"/>
    <w:rsid w:val="00586AE6"/>
    <w:rsid w:val="00586BE9"/>
    <w:rsid w:val="00586C15"/>
    <w:rsid w:val="00586FAC"/>
    <w:rsid w:val="005870EB"/>
    <w:rsid w:val="005871AB"/>
    <w:rsid w:val="005871E2"/>
    <w:rsid w:val="0058724D"/>
    <w:rsid w:val="00587331"/>
    <w:rsid w:val="00587447"/>
    <w:rsid w:val="00587468"/>
    <w:rsid w:val="00587627"/>
    <w:rsid w:val="00587656"/>
    <w:rsid w:val="0058768A"/>
    <w:rsid w:val="00587985"/>
    <w:rsid w:val="00587B3B"/>
    <w:rsid w:val="00587C85"/>
    <w:rsid w:val="00587E1F"/>
    <w:rsid w:val="00587E7F"/>
    <w:rsid w:val="00590068"/>
    <w:rsid w:val="0059017B"/>
    <w:rsid w:val="005901B9"/>
    <w:rsid w:val="005901D1"/>
    <w:rsid w:val="00590254"/>
    <w:rsid w:val="005902D2"/>
    <w:rsid w:val="00590336"/>
    <w:rsid w:val="0059054E"/>
    <w:rsid w:val="00590555"/>
    <w:rsid w:val="00590577"/>
    <w:rsid w:val="005905CF"/>
    <w:rsid w:val="005906E1"/>
    <w:rsid w:val="00590717"/>
    <w:rsid w:val="005908A3"/>
    <w:rsid w:val="005908C8"/>
    <w:rsid w:val="00590902"/>
    <w:rsid w:val="00590B77"/>
    <w:rsid w:val="00590C07"/>
    <w:rsid w:val="00590C2E"/>
    <w:rsid w:val="00590E69"/>
    <w:rsid w:val="00590EFA"/>
    <w:rsid w:val="005911AE"/>
    <w:rsid w:val="00591385"/>
    <w:rsid w:val="0059154E"/>
    <w:rsid w:val="00591577"/>
    <w:rsid w:val="00591578"/>
    <w:rsid w:val="00591726"/>
    <w:rsid w:val="00591805"/>
    <w:rsid w:val="00591A42"/>
    <w:rsid w:val="00591A8A"/>
    <w:rsid w:val="00591AE7"/>
    <w:rsid w:val="00591BE4"/>
    <w:rsid w:val="00591C3F"/>
    <w:rsid w:val="00591D3A"/>
    <w:rsid w:val="00591D73"/>
    <w:rsid w:val="00591E4F"/>
    <w:rsid w:val="00591F19"/>
    <w:rsid w:val="00592050"/>
    <w:rsid w:val="005922C3"/>
    <w:rsid w:val="00592319"/>
    <w:rsid w:val="00592422"/>
    <w:rsid w:val="005925FE"/>
    <w:rsid w:val="0059270F"/>
    <w:rsid w:val="005927A7"/>
    <w:rsid w:val="0059282A"/>
    <w:rsid w:val="005928E1"/>
    <w:rsid w:val="00592AAD"/>
    <w:rsid w:val="00592B0D"/>
    <w:rsid w:val="00592B58"/>
    <w:rsid w:val="00592B88"/>
    <w:rsid w:val="00592CBE"/>
    <w:rsid w:val="00592D05"/>
    <w:rsid w:val="00592D1B"/>
    <w:rsid w:val="00592EE1"/>
    <w:rsid w:val="005930B2"/>
    <w:rsid w:val="0059312A"/>
    <w:rsid w:val="005932CA"/>
    <w:rsid w:val="005934C1"/>
    <w:rsid w:val="005934E5"/>
    <w:rsid w:val="00593507"/>
    <w:rsid w:val="005935EB"/>
    <w:rsid w:val="005937B9"/>
    <w:rsid w:val="0059390C"/>
    <w:rsid w:val="0059391F"/>
    <w:rsid w:val="0059393A"/>
    <w:rsid w:val="005939CD"/>
    <w:rsid w:val="00593A0C"/>
    <w:rsid w:val="00593AA2"/>
    <w:rsid w:val="00593B04"/>
    <w:rsid w:val="00593BA6"/>
    <w:rsid w:val="00593CD2"/>
    <w:rsid w:val="00593D0F"/>
    <w:rsid w:val="00593D4D"/>
    <w:rsid w:val="00593D9A"/>
    <w:rsid w:val="00593DAF"/>
    <w:rsid w:val="005941AA"/>
    <w:rsid w:val="005941CF"/>
    <w:rsid w:val="00594255"/>
    <w:rsid w:val="005943F1"/>
    <w:rsid w:val="00594458"/>
    <w:rsid w:val="00594837"/>
    <w:rsid w:val="005948C2"/>
    <w:rsid w:val="005949CE"/>
    <w:rsid w:val="00594C60"/>
    <w:rsid w:val="00594C74"/>
    <w:rsid w:val="00594CC7"/>
    <w:rsid w:val="00594CEA"/>
    <w:rsid w:val="00594DD3"/>
    <w:rsid w:val="00594DE1"/>
    <w:rsid w:val="00594E44"/>
    <w:rsid w:val="00594F24"/>
    <w:rsid w:val="00595025"/>
    <w:rsid w:val="005950C6"/>
    <w:rsid w:val="00595199"/>
    <w:rsid w:val="0059522C"/>
    <w:rsid w:val="00595253"/>
    <w:rsid w:val="0059527C"/>
    <w:rsid w:val="005952B7"/>
    <w:rsid w:val="005953BD"/>
    <w:rsid w:val="005954E5"/>
    <w:rsid w:val="00595532"/>
    <w:rsid w:val="00595556"/>
    <w:rsid w:val="005957BA"/>
    <w:rsid w:val="005957DD"/>
    <w:rsid w:val="00595877"/>
    <w:rsid w:val="005958AF"/>
    <w:rsid w:val="00595912"/>
    <w:rsid w:val="0059598C"/>
    <w:rsid w:val="005959FC"/>
    <w:rsid w:val="00595B23"/>
    <w:rsid w:val="00595BF2"/>
    <w:rsid w:val="00595CCD"/>
    <w:rsid w:val="00595D92"/>
    <w:rsid w:val="00595ECE"/>
    <w:rsid w:val="00595F49"/>
    <w:rsid w:val="00595F7F"/>
    <w:rsid w:val="00596125"/>
    <w:rsid w:val="00596276"/>
    <w:rsid w:val="005962C8"/>
    <w:rsid w:val="0059639F"/>
    <w:rsid w:val="005963D9"/>
    <w:rsid w:val="00596568"/>
    <w:rsid w:val="0059656D"/>
    <w:rsid w:val="00596622"/>
    <w:rsid w:val="0059662A"/>
    <w:rsid w:val="0059663D"/>
    <w:rsid w:val="005967EA"/>
    <w:rsid w:val="0059698B"/>
    <w:rsid w:val="005969B3"/>
    <w:rsid w:val="00596A6E"/>
    <w:rsid w:val="00596B8E"/>
    <w:rsid w:val="00596C27"/>
    <w:rsid w:val="00596CF3"/>
    <w:rsid w:val="00596D03"/>
    <w:rsid w:val="00596EB1"/>
    <w:rsid w:val="005970E2"/>
    <w:rsid w:val="005972C8"/>
    <w:rsid w:val="0059730B"/>
    <w:rsid w:val="00597361"/>
    <w:rsid w:val="00597380"/>
    <w:rsid w:val="00597386"/>
    <w:rsid w:val="00597A23"/>
    <w:rsid w:val="00597AA9"/>
    <w:rsid w:val="00597AF7"/>
    <w:rsid w:val="00597C5B"/>
    <w:rsid w:val="00597D04"/>
    <w:rsid w:val="00597D14"/>
    <w:rsid w:val="00597D94"/>
    <w:rsid w:val="00597E13"/>
    <w:rsid w:val="00597E69"/>
    <w:rsid w:val="005A001F"/>
    <w:rsid w:val="005A0032"/>
    <w:rsid w:val="005A00D6"/>
    <w:rsid w:val="005A0189"/>
    <w:rsid w:val="005A02B9"/>
    <w:rsid w:val="005A02F4"/>
    <w:rsid w:val="005A03BD"/>
    <w:rsid w:val="005A044B"/>
    <w:rsid w:val="005A056D"/>
    <w:rsid w:val="005A05A4"/>
    <w:rsid w:val="005A0650"/>
    <w:rsid w:val="005A0680"/>
    <w:rsid w:val="005A0852"/>
    <w:rsid w:val="005A0887"/>
    <w:rsid w:val="005A0C5E"/>
    <w:rsid w:val="005A0C68"/>
    <w:rsid w:val="005A0E72"/>
    <w:rsid w:val="005A0EDC"/>
    <w:rsid w:val="005A0F81"/>
    <w:rsid w:val="005A0FA0"/>
    <w:rsid w:val="005A109F"/>
    <w:rsid w:val="005A10C3"/>
    <w:rsid w:val="005A1171"/>
    <w:rsid w:val="005A1228"/>
    <w:rsid w:val="005A1240"/>
    <w:rsid w:val="005A147C"/>
    <w:rsid w:val="005A17E3"/>
    <w:rsid w:val="005A180A"/>
    <w:rsid w:val="005A18AB"/>
    <w:rsid w:val="005A1900"/>
    <w:rsid w:val="005A1940"/>
    <w:rsid w:val="005A1943"/>
    <w:rsid w:val="005A1944"/>
    <w:rsid w:val="005A1BC0"/>
    <w:rsid w:val="005A1C19"/>
    <w:rsid w:val="005A1C1F"/>
    <w:rsid w:val="005A1D64"/>
    <w:rsid w:val="005A1DE6"/>
    <w:rsid w:val="005A1DEE"/>
    <w:rsid w:val="005A1DFC"/>
    <w:rsid w:val="005A1E1D"/>
    <w:rsid w:val="005A1E5A"/>
    <w:rsid w:val="005A1EF8"/>
    <w:rsid w:val="005A1F27"/>
    <w:rsid w:val="005A1F31"/>
    <w:rsid w:val="005A1F33"/>
    <w:rsid w:val="005A1F7D"/>
    <w:rsid w:val="005A2092"/>
    <w:rsid w:val="005A20EB"/>
    <w:rsid w:val="005A2162"/>
    <w:rsid w:val="005A2222"/>
    <w:rsid w:val="005A226C"/>
    <w:rsid w:val="005A22F6"/>
    <w:rsid w:val="005A242F"/>
    <w:rsid w:val="005A24BC"/>
    <w:rsid w:val="005A24FA"/>
    <w:rsid w:val="005A2550"/>
    <w:rsid w:val="005A2631"/>
    <w:rsid w:val="005A2688"/>
    <w:rsid w:val="005A274B"/>
    <w:rsid w:val="005A290E"/>
    <w:rsid w:val="005A298B"/>
    <w:rsid w:val="005A2AD9"/>
    <w:rsid w:val="005A2C49"/>
    <w:rsid w:val="005A2C51"/>
    <w:rsid w:val="005A2C54"/>
    <w:rsid w:val="005A2C89"/>
    <w:rsid w:val="005A2CA4"/>
    <w:rsid w:val="005A2E75"/>
    <w:rsid w:val="005A2F74"/>
    <w:rsid w:val="005A2F8F"/>
    <w:rsid w:val="005A3046"/>
    <w:rsid w:val="005A30B0"/>
    <w:rsid w:val="005A30BD"/>
    <w:rsid w:val="005A3195"/>
    <w:rsid w:val="005A31E2"/>
    <w:rsid w:val="005A3210"/>
    <w:rsid w:val="005A3232"/>
    <w:rsid w:val="005A329D"/>
    <w:rsid w:val="005A32AC"/>
    <w:rsid w:val="005A32D5"/>
    <w:rsid w:val="005A32E6"/>
    <w:rsid w:val="005A3473"/>
    <w:rsid w:val="005A34A3"/>
    <w:rsid w:val="005A3548"/>
    <w:rsid w:val="005A354F"/>
    <w:rsid w:val="005A35BF"/>
    <w:rsid w:val="005A3646"/>
    <w:rsid w:val="005A3697"/>
    <w:rsid w:val="005A36B4"/>
    <w:rsid w:val="005A371D"/>
    <w:rsid w:val="005A3A84"/>
    <w:rsid w:val="005A3AF0"/>
    <w:rsid w:val="005A3B02"/>
    <w:rsid w:val="005A3B4A"/>
    <w:rsid w:val="005A3C04"/>
    <w:rsid w:val="005A3C82"/>
    <w:rsid w:val="005A3EA1"/>
    <w:rsid w:val="005A400B"/>
    <w:rsid w:val="005A406C"/>
    <w:rsid w:val="005A407D"/>
    <w:rsid w:val="005A41F1"/>
    <w:rsid w:val="005A4332"/>
    <w:rsid w:val="005A43F8"/>
    <w:rsid w:val="005A43FB"/>
    <w:rsid w:val="005A4467"/>
    <w:rsid w:val="005A447F"/>
    <w:rsid w:val="005A4499"/>
    <w:rsid w:val="005A467F"/>
    <w:rsid w:val="005A47F3"/>
    <w:rsid w:val="005A4A40"/>
    <w:rsid w:val="005A4AFA"/>
    <w:rsid w:val="005A4BEF"/>
    <w:rsid w:val="005A4C3D"/>
    <w:rsid w:val="005A4C8B"/>
    <w:rsid w:val="005A4DB2"/>
    <w:rsid w:val="005A4E00"/>
    <w:rsid w:val="005A4E6C"/>
    <w:rsid w:val="005A4EF6"/>
    <w:rsid w:val="005A4F86"/>
    <w:rsid w:val="005A4F9F"/>
    <w:rsid w:val="005A5046"/>
    <w:rsid w:val="005A5069"/>
    <w:rsid w:val="005A5126"/>
    <w:rsid w:val="005A5223"/>
    <w:rsid w:val="005A529A"/>
    <w:rsid w:val="005A538F"/>
    <w:rsid w:val="005A54E1"/>
    <w:rsid w:val="005A583A"/>
    <w:rsid w:val="005A5867"/>
    <w:rsid w:val="005A5916"/>
    <w:rsid w:val="005A5AFF"/>
    <w:rsid w:val="005A5BB2"/>
    <w:rsid w:val="005A5BE9"/>
    <w:rsid w:val="005A5C70"/>
    <w:rsid w:val="005A5DBC"/>
    <w:rsid w:val="005A5E48"/>
    <w:rsid w:val="005A5EA3"/>
    <w:rsid w:val="005A6110"/>
    <w:rsid w:val="005A63B9"/>
    <w:rsid w:val="005A661A"/>
    <w:rsid w:val="005A6678"/>
    <w:rsid w:val="005A66F3"/>
    <w:rsid w:val="005A6706"/>
    <w:rsid w:val="005A6893"/>
    <w:rsid w:val="005A689E"/>
    <w:rsid w:val="005A69BE"/>
    <w:rsid w:val="005A69E1"/>
    <w:rsid w:val="005A6D2E"/>
    <w:rsid w:val="005A6D67"/>
    <w:rsid w:val="005A6E33"/>
    <w:rsid w:val="005A7030"/>
    <w:rsid w:val="005A7086"/>
    <w:rsid w:val="005A70B1"/>
    <w:rsid w:val="005A70CB"/>
    <w:rsid w:val="005A70D5"/>
    <w:rsid w:val="005A732A"/>
    <w:rsid w:val="005A74C1"/>
    <w:rsid w:val="005A750E"/>
    <w:rsid w:val="005A752B"/>
    <w:rsid w:val="005A759B"/>
    <w:rsid w:val="005A7624"/>
    <w:rsid w:val="005A784E"/>
    <w:rsid w:val="005A7870"/>
    <w:rsid w:val="005A791E"/>
    <w:rsid w:val="005A794D"/>
    <w:rsid w:val="005A7AAE"/>
    <w:rsid w:val="005A7B00"/>
    <w:rsid w:val="005A7B6B"/>
    <w:rsid w:val="005A7BC6"/>
    <w:rsid w:val="005A7C86"/>
    <w:rsid w:val="005A7E11"/>
    <w:rsid w:val="005A7E7E"/>
    <w:rsid w:val="005A7EC6"/>
    <w:rsid w:val="005A7F1E"/>
    <w:rsid w:val="005A7F28"/>
    <w:rsid w:val="005B00FA"/>
    <w:rsid w:val="005B010E"/>
    <w:rsid w:val="005B015B"/>
    <w:rsid w:val="005B02C5"/>
    <w:rsid w:val="005B03E3"/>
    <w:rsid w:val="005B0639"/>
    <w:rsid w:val="005B0759"/>
    <w:rsid w:val="005B09CC"/>
    <w:rsid w:val="005B0A2F"/>
    <w:rsid w:val="005B0A3F"/>
    <w:rsid w:val="005B0B79"/>
    <w:rsid w:val="005B0E3D"/>
    <w:rsid w:val="005B0F99"/>
    <w:rsid w:val="005B1078"/>
    <w:rsid w:val="005B116A"/>
    <w:rsid w:val="005B1228"/>
    <w:rsid w:val="005B1290"/>
    <w:rsid w:val="005B12EA"/>
    <w:rsid w:val="005B13E9"/>
    <w:rsid w:val="005B1441"/>
    <w:rsid w:val="005B1523"/>
    <w:rsid w:val="005B166B"/>
    <w:rsid w:val="005B170B"/>
    <w:rsid w:val="005B1820"/>
    <w:rsid w:val="005B186F"/>
    <w:rsid w:val="005B18A3"/>
    <w:rsid w:val="005B1991"/>
    <w:rsid w:val="005B19B8"/>
    <w:rsid w:val="005B1A71"/>
    <w:rsid w:val="005B1B41"/>
    <w:rsid w:val="005B1B6A"/>
    <w:rsid w:val="005B1BDE"/>
    <w:rsid w:val="005B1EB6"/>
    <w:rsid w:val="005B1ED8"/>
    <w:rsid w:val="005B1FA5"/>
    <w:rsid w:val="005B1FE3"/>
    <w:rsid w:val="005B1FFA"/>
    <w:rsid w:val="005B21B6"/>
    <w:rsid w:val="005B224F"/>
    <w:rsid w:val="005B22C2"/>
    <w:rsid w:val="005B268F"/>
    <w:rsid w:val="005B272E"/>
    <w:rsid w:val="005B27DE"/>
    <w:rsid w:val="005B280E"/>
    <w:rsid w:val="005B2823"/>
    <w:rsid w:val="005B2A4C"/>
    <w:rsid w:val="005B2ABB"/>
    <w:rsid w:val="005B2BB1"/>
    <w:rsid w:val="005B2C87"/>
    <w:rsid w:val="005B2CB1"/>
    <w:rsid w:val="005B2D46"/>
    <w:rsid w:val="005B2E13"/>
    <w:rsid w:val="005B2E1D"/>
    <w:rsid w:val="005B2EC5"/>
    <w:rsid w:val="005B2FF8"/>
    <w:rsid w:val="005B3124"/>
    <w:rsid w:val="005B3155"/>
    <w:rsid w:val="005B3400"/>
    <w:rsid w:val="005B3439"/>
    <w:rsid w:val="005B343B"/>
    <w:rsid w:val="005B3448"/>
    <w:rsid w:val="005B3533"/>
    <w:rsid w:val="005B35D3"/>
    <w:rsid w:val="005B369C"/>
    <w:rsid w:val="005B3705"/>
    <w:rsid w:val="005B3893"/>
    <w:rsid w:val="005B3A07"/>
    <w:rsid w:val="005B3A35"/>
    <w:rsid w:val="005B3B20"/>
    <w:rsid w:val="005B3B26"/>
    <w:rsid w:val="005B3C9B"/>
    <w:rsid w:val="005B3CD3"/>
    <w:rsid w:val="005B3F67"/>
    <w:rsid w:val="005B40D0"/>
    <w:rsid w:val="005B40E8"/>
    <w:rsid w:val="005B40F0"/>
    <w:rsid w:val="005B41F7"/>
    <w:rsid w:val="005B4217"/>
    <w:rsid w:val="005B44F8"/>
    <w:rsid w:val="005B4537"/>
    <w:rsid w:val="005B45A0"/>
    <w:rsid w:val="005B461D"/>
    <w:rsid w:val="005B46A2"/>
    <w:rsid w:val="005B46CC"/>
    <w:rsid w:val="005B478C"/>
    <w:rsid w:val="005B4A35"/>
    <w:rsid w:val="005B4ABF"/>
    <w:rsid w:val="005B4B0E"/>
    <w:rsid w:val="005B4B45"/>
    <w:rsid w:val="005B4B5F"/>
    <w:rsid w:val="005B4BAF"/>
    <w:rsid w:val="005B4E6B"/>
    <w:rsid w:val="005B4F6E"/>
    <w:rsid w:val="005B4F78"/>
    <w:rsid w:val="005B4F92"/>
    <w:rsid w:val="005B50C7"/>
    <w:rsid w:val="005B5247"/>
    <w:rsid w:val="005B52D9"/>
    <w:rsid w:val="005B53E4"/>
    <w:rsid w:val="005B545B"/>
    <w:rsid w:val="005B5624"/>
    <w:rsid w:val="005B56F6"/>
    <w:rsid w:val="005B572E"/>
    <w:rsid w:val="005B5731"/>
    <w:rsid w:val="005B580B"/>
    <w:rsid w:val="005B5861"/>
    <w:rsid w:val="005B586B"/>
    <w:rsid w:val="005B58B3"/>
    <w:rsid w:val="005B58D7"/>
    <w:rsid w:val="005B58FA"/>
    <w:rsid w:val="005B5984"/>
    <w:rsid w:val="005B5AEC"/>
    <w:rsid w:val="005B5AED"/>
    <w:rsid w:val="005B5B00"/>
    <w:rsid w:val="005B5D49"/>
    <w:rsid w:val="005B5D4F"/>
    <w:rsid w:val="005B5E4F"/>
    <w:rsid w:val="005B5EAB"/>
    <w:rsid w:val="005B5F7E"/>
    <w:rsid w:val="005B6524"/>
    <w:rsid w:val="005B658C"/>
    <w:rsid w:val="005B6641"/>
    <w:rsid w:val="005B6795"/>
    <w:rsid w:val="005B6887"/>
    <w:rsid w:val="005B6A43"/>
    <w:rsid w:val="005B6A44"/>
    <w:rsid w:val="005B6ECB"/>
    <w:rsid w:val="005B6ED6"/>
    <w:rsid w:val="005B6F41"/>
    <w:rsid w:val="005B709F"/>
    <w:rsid w:val="005B7228"/>
    <w:rsid w:val="005B7246"/>
    <w:rsid w:val="005B74BE"/>
    <w:rsid w:val="005B7551"/>
    <w:rsid w:val="005B76E7"/>
    <w:rsid w:val="005B77D9"/>
    <w:rsid w:val="005B78C1"/>
    <w:rsid w:val="005B78EF"/>
    <w:rsid w:val="005B7933"/>
    <w:rsid w:val="005B79D5"/>
    <w:rsid w:val="005B7A0C"/>
    <w:rsid w:val="005B7AFE"/>
    <w:rsid w:val="005B7C21"/>
    <w:rsid w:val="005B7C66"/>
    <w:rsid w:val="005B7EAB"/>
    <w:rsid w:val="005C0277"/>
    <w:rsid w:val="005C02B7"/>
    <w:rsid w:val="005C02D6"/>
    <w:rsid w:val="005C02D8"/>
    <w:rsid w:val="005C032A"/>
    <w:rsid w:val="005C03E3"/>
    <w:rsid w:val="005C044D"/>
    <w:rsid w:val="005C0596"/>
    <w:rsid w:val="005C05F8"/>
    <w:rsid w:val="005C083D"/>
    <w:rsid w:val="005C0867"/>
    <w:rsid w:val="005C0BF6"/>
    <w:rsid w:val="005C0D5E"/>
    <w:rsid w:val="005C0E05"/>
    <w:rsid w:val="005C10CD"/>
    <w:rsid w:val="005C112F"/>
    <w:rsid w:val="005C126C"/>
    <w:rsid w:val="005C136A"/>
    <w:rsid w:val="005C1685"/>
    <w:rsid w:val="005C16D1"/>
    <w:rsid w:val="005C18D0"/>
    <w:rsid w:val="005C18E6"/>
    <w:rsid w:val="005C18F4"/>
    <w:rsid w:val="005C18F9"/>
    <w:rsid w:val="005C19FC"/>
    <w:rsid w:val="005C1ADB"/>
    <w:rsid w:val="005C1B74"/>
    <w:rsid w:val="005C1BA2"/>
    <w:rsid w:val="005C1BEE"/>
    <w:rsid w:val="005C1C54"/>
    <w:rsid w:val="005C1CAC"/>
    <w:rsid w:val="005C1D5B"/>
    <w:rsid w:val="005C1EC5"/>
    <w:rsid w:val="005C1EDB"/>
    <w:rsid w:val="005C2032"/>
    <w:rsid w:val="005C207E"/>
    <w:rsid w:val="005C20DB"/>
    <w:rsid w:val="005C2150"/>
    <w:rsid w:val="005C2257"/>
    <w:rsid w:val="005C2298"/>
    <w:rsid w:val="005C22F0"/>
    <w:rsid w:val="005C2336"/>
    <w:rsid w:val="005C2337"/>
    <w:rsid w:val="005C2402"/>
    <w:rsid w:val="005C2592"/>
    <w:rsid w:val="005C26A9"/>
    <w:rsid w:val="005C26F9"/>
    <w:rsid w:val="005C2727"/>
    <w:rsid w:val="005C272B"/>
    <w:rsid w:val="005C2784"/>
    <w:rsid w:val="005C27D1"/>
    <w:rsid w:val="005C2869"/>
    <w:rsid w:val="005C2942"/>
    <w:rsid w:val="005C295B"/>
    <w:rsid w:val="005C29EA"/>
    <w:rsid w:val="005C2A13"/>
    <w:rsid w:val="005C2A25"/>
    <w:rsid w:val="005C2A50"/>
    <w:rsid w:val="005C2ACC"/>
    <w:rsid w:val="005C2AED"/>
    <w:rsid w:val="005C2BFC"/>
    <w:rsid w:val="005C2C1A"/>
    <w:rsid w:val="005C2C48"/>
    <w:rsid w:val="005C2C98"/>
    <w:rsid w:val="005C2D15"/>
    <w:rsid w:val="005C2D2F"/>
    <w:rsid w:val="005C2DF8"/>
    <w:rsid w:val="005C2DFD"/>
    <w:rsid w:val="005C2E4F"/>
    <w:rsid w:val="005C2F83"/>
    <w:rsid w:val="005C2FF5"/>
    <w:rsid w:val="005C312B"/>
    <w:rsid w:val="005C3212"/>
    <w:rsid w:val="005C3237"/>
    <w:rsid w:val="005C33D3"/>
    <w:rsid w:val="005C3491"/>
    <w:rsid w:val="005C3500"/>
    <w:rsid w:val="005C3509"/>
    <w:rsid w:val="005C3510"/>
    <w:rsid w:val="005C3630"/>
    <w:rsid w:val="005C37F8"/>
    <w:rsid w:val="005C3875"/>
    <w:rsid w:val="005C38CE"/>
    <w:rsid w:val="005C38D1"/>
    <w:rsid w:val="005C3987"/>
    <w:rsid w:val="005C3A2B"/>
    <w:rsid w:val="005C3B7B"/>
    <w:rsid w:val="005C3D13"/>
    <w:rsid w:val="005C3D55"/>
    <w:rsid w:val="005C3E02"/>
    <w:rsid w:val="005C3E6D"/>
    <w:rsid w:val="005C3FE7"/>
    <w:rsid w:val="005C4082"/>
    <w:rsid w:val="005C40C7"/>
    <w:rsid w:val="005C41F6"/>
    <w:rsid w:val="005C4205"/>
    <w:rsid w:val="005C42C8"/>
    <w:rsid w:val="005C4322"/>
    <w:rsid w:val="005C4479"/>
    <w:rsid w:val="005C448A"/>
    <w:rsid w:val="005C44D3"/>
    <w:rsid w:val="005C453C"/>
    <w:rsid w:val="005C45CB"/>
    <w:rsid w:val="005C45D7"/>
    <w:rsid w:val="005C46FF"/>
    <w:rsid w:val="005C47BA"/>
    <w:rsid w:val="005C48FB"/>
    <w:rsid w:val="005C4956"/>
    <w:rsid w:val="005C497E"/>
    <w:rsid w:val="005C4A02"/>
    <w:rsid w:val="005C4A1D"/>
    <w:rsid w:val="005C4AB6"/>
    <w:rsid w:val="005C4C3A"/>
    <w:rsid w:val="005C4C6E"/>
    <w:rsid w:val="005C4C9D"/>
    <w:rsid w:val="005C4D0B"/>
    <w:rsid w:val="005C4EC5"/>
    <w:rsid w:val="005C5030"/>
    <w:rsid w:val="005C5175"/>
    <w:rsid w:val="005C51F9"/>
    <w:rsid w:val="005C5224"/>
    <w:rsid w:val="005C5251"/>
    <w:rsid w:val="005C52DC"/>
    <w:rsid w:val="005C5306"/>
    <w:rsid w:val="005C53E8"/>
    <w:rsid w:val="005C54EC"/>
    <w:rsid w:val="005C55A4"/>
    <w:rsid w:val="005C5723"/>
    <w:rsid w:val="005C5749"/>
    <w:rsid w:val="005C5841"/>
    <w:rsid w:val="005C5973"/>
    <w:rsid w:val="005C59E6"/>
    <w:rsid w:val="005C5A1D"/>
    <w:rsid w:val="005C5BD1"/>
    <w:rsid w:val="005C5C83"/>
    <w:rsid w:val="005C5CFE"/>
    <w:rsid w:val="005C5D22"/>
    <w:rsid w:val="005C5D4D"/>
    <w:rsid w:val="005C5D63"/>
    <w:rsid w:val="005C5E32"/>
    <w:rsid w:val="005C5EBA"/>
    <w:rsid w:val="005C5EDB"/>
    <w:rsid w:val="005C5F5C"/>
    <w:rsid w:val="005C604D"/>
    <w:rsid w:val="005C6058"/>
    <w:rsid w:val="005C614A"/>
    <w:rsid w:val="005C6168"/>
    <w:rsid w:val="005C6180"/>
    <w:rsid w:val="005C627F"/>
    <w:rsid w:val="005C6286"/>
    <w:rsid w:val="005C6358"/>
    <w:rsid w:val="005C6405"/>
    <w:rsid w:val="005C6428"/>
    <w:rsid w:val="005C6476"/>
    <w:rsid w:val="005C652F"/>
    <w:rsid w:val="005C6660"/>
    <w:rsid w:val="005C66A3"/>
    <w:rsid w:val="005C66C2"/>
    <w:rsid w:val="005C6745"/>
    <w:rsid w:val="005C67A6"/>
    <w:rsid w:val="005C6885"/>
    <w:rsid w:val="005C68EA"/>
    <w:rsid w:val="005C695B"/>
    <w:rsid w:val="005C69D8"/>
    <w:rsid w:val="005C6A2A"/>
    <w:rsid w:val="005C6B9F"/>
    <w:rsid w:val="005C6BBB"/>
    <w:rsid w:val="005C6C4C"/>
    <w:rsid w:val="005C6C56"/>
    <w:rsid w:val="005C6D5D"/>
    <w:rsid w:val="005C6EA3"/>
    <w:rsid w:val="005C6F63"/>
    <w:rsid w:val="005C6FAE"/>
    <w:rsid w:val="005C7016"/>
    <w:rsid w:val="005C705A"/>
    <w:rsid w:val="005C707A"/>
    <w:rsid w:val="005C726C"/>
    <w:rsid w:val="005C72E6"/>
    <w:rsid w:val="005C7314"/>
    <w:rsid w:val="005C738E"/>
    <w:rsid w:val="005C73CE"/>
    <w:rsid w:val="005C7442"/>
    <w:rsid w:val="005C7454"/>
    <w:rsid w:val="005C746A"/>
    <w:rsid w:val="005C74B6"/>
    <w:rsid w:val="005C7518"/>
    <w:rsid w:val="005C7574"/>
    <w:rsid w:val="005C75FD"/>
    <w:rsid w:val="005C7613"/>
    <w:rsid w:val="005C7785"/>
    <w:rsid w:val="005C77F9"/>
    <w:rsid w:val="005C7880"/>
    <w:rsid w:val="005C7926"/>
    <w:rsid w:val="005C7968"/>
    <w:rsid w:val="005C79AD"/>
    <w:rsid w:val="005C79DE"/>
    <w:rsid w:val="005C7BD7"/>
    <w:rsid w:val="005C7BDF"/>
    <w:rsid w:val="005C7C04"/>
    <w:rsid w:val="005C7CA1"/>
    <w:rsid w:val="005C7DB0"/>
    <w:rsid w:val="005C7DEF"/>
    <w:rsid w:val="005C7E0A"/>
    <w:rsid w:val="005C7E94"/>
    <w:rsid w:val="005C7F59"/>
    <w:rsid w:val="005C7FDE"/>
    <w:rsid w:val="005C7FEF"/>
    <w:rsid w:val="005D00BB"/>
    <w:rsid w:val="005D0119"/>
    <w:rsid w:val="005D0178"/>
    <w:rsid w:val="005D0235"/>
    <w:rsid w:val="005D0255"/>
    <w:rsid w:val="005D02E8"/>
    <w:rsid w:val="005D034D"/>
    <w:rsid w:val="005D03BA"/>
    <w:rsid w:val="005D04D0"/>
    <w:rsid w:val="005D058A"/>
    <w:rsid w:val="005D07B2"/>
    <w:rsid w:val="005D082E"/>
    <w:rsid w:val="005D0A2C"/>
    <w:rsid w:val="005D0A44"/>
    <w:rsid w:val="005D0C0F"/>
    <w:rsid w:val="005D0C7D"/>
    <w:rsid w:val="005D0CDF"/>
    <w:rsid w:val="005D0D0A"/>
    <w:rsid w:val="005D0E5A"/>
    <w:rsid w:val="005D0F18"/>
    <w:rsid w:val="005D0FD4"/>
    <w:rsid w:val="005D1091"/>
    <w:rsid w:val="005D10B8"/>
    <w:rsid w:val="005D11F3"/>
    <w:rsid w:val="005D124E"/>
    <w:rsid w:val="005D134B"/>
    <w:rsid w:val="005D1397"/>
    <w:rsid w:val="005D13D9"/>
    <w:rsid w:val="005D13DD"/>
    <w:rsid w:val="005D151F"/>
    <w:rsid w:val="005D1578"/>
    <w:rsid w:val="005D1652"/>
    <w:rsid w:val="005D17EF"/>
    <w:rsid w:val="005D1809"/>
    <w:rsid w:val="005D1925"/>
    <w:rsid w:val="005D19DF"/>
    <w:rsid w:val="005D1A0B"/>
    <w:rsid w:val="005D1A3F"/>
    <w:rsid w:val="005D1A9F"/>
    <w:rsid w:val="005D1BB5"/>
    <w:rsid w:val="005D1CA0"/>
    <w:rsid w:val="005D1D56"/>
    <w:rsid w:val="005D1E5C"/>
    <w:rsid w:val="005D1EF6"/>
    <w:rsid w:val="005D1F1C"/>
    <w:rsid w:val="005D1FDA"/>
    <w:rsid w:val="005D2147"/>
    <w:rsid w:val="005D2156"/>
    <w:rsid w:val="005D221C"/>
    <w:rsid w:val="005D2234"/>
    <w:rsid w:val="005D2429"/>
    <w:rsid w:val="005D25EC"/>
    <w:rsid w:val="005D25F1"/>
    <w:rsid w:val="005D2642"/>
    <w:rsid w:val="005D2855"/>
    <w:rsid w:val="005D2923"/>
    <w:rsid w:val="005D294D"/>
    <w:rsid w:val="005D2A39"/>
    <w:rsid w:val="005D2B6A"/>
    <w:rsid w:val="005D2BC6"/>
    <w:rsid w:val="005D2C7B"/>
    <w:rsid w:val="005D2D84"/>
    <w:rsid w:val="005D2DC2"/>
    <w:rsid w:val="005D2E32"/>
    <w:rsid w:val="005D2E6C"/>
    <w:rsid w:val="005D2F5A"/>
    <w:rsid w:val="005D2FD2"/>
    <w:rsid w:val="005D302F"/>
    <w:rsid w:val="005D3054"/>
    <w:rsid w:val="005D31A0"/>
    <w:rsid w:val="005D322D"/>
    <w:rsid w:val="005D3245"/>
    <w:rsid w:val="005D328D"/>
    <w:rsid w:val="005D336C"/>
    <w:rsid w:val="005D3402"/>
    <w:rsid w:val="005D3443"/>
    <w:rsid w:val="005D37BD"/>
    <w:rsid w:val="005D38AD"/>
    <w:rsid w:val="005D397B"/>
    <w:rsid w:val="005D39A9"/>
    <w:rsid w:val="005D3B8A"/>
    <w:rsid w:val="005D3CC3"/>
    <w:rsid w:val="005D3DE9"/>
    <w:rsid w:val="005D3E5E"/>
    <w:rsid w:val="005D3FE4"/>
    <w:rsid w:val="005D3FF4"/>
    <w:rsid w:val="005D40F2"/>
    <w:rsid w:val="005D4144"/>
    <w:rsid w:val="005D4165"/>
    <w:rsid w:val="005D422A"/>
    <w:rsid w:val="005D4238"/>
    <w:rsid w:val="005D42F5"/>
    <w:rsid w:val="005D4430"/>
    <w:rsid w:val="005D44FA"/>
    <w:rsid w:val="005D469A"/>
    <w:rsid w:val="005D47A3"/>
    <w:rsid w:val="005D489F"/>
    <w:rsid w:val="005D48B1"/>
    <w:rsid w:val="005D49BA"/>
    <w:rsid w:val="005D4AAC"/>
    <w:rsid w:val="005D4B75"/>
    <w:rsid w:val="005D4D03"/>
    <w:rsid w:val="005D4D94"/>
    <w:rsid w:val="005D4EC5"/>
    <w:rsid w:val="005D5006"/>
    <w:rsid w:val="005D5025"/>
    <w:rsid w:val="005D507F"/>
    <w:rsid w:val="005D5166"/>
    <w:rsid w:val="005D51D2"/>
    <w:rsid w:val="005D51DC"/>
    <w:rsid w:val="005D52D6"/>
    <w:rsid w:val="005D5409"/>
    <w:rsid w:val="005D5423"/>
    <w:rsid w:val="005D5573"/>
    <w:rsid w:val="005D5676"/>
    <w:rsid w:val="005D56D9"/>
    <w:rsid w:val="005D57B8"/>
    <w:rsid w:val="005D57BD"/>
    <w:rsid w:val="005D58DD"/>
    <w:rsid w:val="005D5B8D"/>
    <w:rsid w:val="005D5C3A"/>
    <w:rsid w:val="005D5C76"/>
    <w:rsid w:val="005D5D2F"/>
    <w:rsid w:val="005D5E05"/>
    <w:rsid w:val="005D5E9C"/>
    <w:rsid w:val="005D5E9E"/>
    <w:rsid w:val="005D5EA8"/>
    <w:rsid w:val="005D5FB0"/>
    <w:rsid w:val="005D62E6"/>
    <w:rsid w:val="005D6337"/>
    <w:rsid w:val="005D6338"/>
    <w:rsid w:val="005D6376"/>
    <w:rsid w:val="005D6800"/>
    <w:rsid w:val="005D6872"/>
    <w:rsid w:val="005D6908"/>
    <w:rsid w:val="005D69D1"/>
    <w:rsid w:val="005D6ACB"/>
    <w:rsid w:val="005D6AEB"/>
    <w:rsid w:val="005D6B42"/>
    <w:rsid w:val="005D6BFE"/>
    <w:rsid w:val="005D6D00"/>
    <w:rsid w:val="005D6E02"/>
    <w:rsid w:val="005D6F0E"/>
    <w:rsid w:val="005D6FDE"/>
    <w:rsid w:val="005D71CC"/>
    <w:rsid w:val="005D71F5"/>
    <w:rsid w:val="005D72A9"/>
    <w:rsid w:val="005D732E"/>
    <w:rsid w:val="005D74EF"/>
    <w:rsid w:val="005D7B8A"/>
    <w:rsid w:val="005D7D8B"/>
    <w:rsid w:val="005D7F03"/>
    <w:rsid w:val="005D7F12"/>
    <w:rsid w:val="005D7FAD"/>
    <w:rsid w:val="005E0025"/>
    <w:rsid w:val="005E00F5"/>
    <w:rsid w:val="005E0115"/>
    <w:rsid w:val="005E01EC"/>
    <w:rsid w:val="005E01FA"/>
    <w:rsid w:val="005E0283"/>
    <w:rsid w:val="005E04A9"/>
    <w:rsid w:val="005E05DD"/>
    <w:rsid w:val="005E05F1"/>
    <w:rsid w:val="005E0764"/>
    <w:rsid w:val="005E0833"/>
    <w:rsid w:val="005E08B5"/>
    <w:rsid w:val="005E0A0D"/>
    <w:rsid w:val="005E0B0F"/>
    <w:rsid w:val="005E0B4A"/>
    <w:rsid w:val="005E0B5E"/>
    <w:rsid w:val="005E0CBE"/>
    <w:rsid w:val="005E0CD2"/>
    <w:rsid w:val="005E0DE0"/>
    <w:rsid w:val="005E0E37"/>
    <w:rsid w:val="005E0E67"/>
    <w:rsid w:val="005E0EC2"/>
    <w:rsid w:val="005E0FC8"/>
    <w:rsid w:val="005E1061"/>
    <w:rsid w:val="005E108F"/>
    <w:rsid w:val="005E133B"/>
    <w:rsid w:val="005E1407"/>
    <w:rsid w:val="005E14F1"/>
    <w:rsid w:val="005E1523"/>
    <w:rsid w:val="005E15EE"/>
    <w:rsid w:val="005E1797"/>
    <w:rsid w:val="005E194C"/>
    <w:rsid w:val="005E1B63"/>
    <w:rsid w:val="005E1B7D"/>
    <w:rsid w:val="005E1CFB"/>
    <w:rsid w:val="005E1D0C"/>
    <w:rsid w:val="005E1D87"/>
    <w:rsid w:val="005E1E04"/>
    <w:rsid w:val="005E1E2E"/>
    <w:rsid w:val="005E1F30"/>
    <w:rsid w:val="005E1F75"/>
    <w:rsid w:val="005E20D2"/>
    <w:rsid w:val="005E20EB"/>
    <w:rsid w:val="005E20F3"/>
    <w:rsid w:val="005E2177"/>
    <w:rsid w:val="005E2364"/>
    <w:rsid w:val="005E246D"/>
    <w:rsid w:val="005E247C"/>
    <w:rsid w:val="005E24F8"/>
    <w:rsid w:val="005E25E8"/>
    <w:rsid w:val="005E266F"/>
    <w:rsid w:val="005E2679"/>
    <w:rsid w:val="005E288E"/>
    <w:rsid w:val="005E28BE"/>
    <w:rsid w:val="005E28F4"/>
    <w:rsid w:val="005E299E"/>
    <w:rsid w:val="005E2C5E"/>
    <w:rsid w:val="005E2C8F"/>
    <w:rsid w:val="005E2C96"/>
    <w:rsid w:val="005E2D98"/>
    <w:rsid w:val="005E2E37"/>
    <w:rsid w:val="005E2F71"/>
    <w:rsid w:val="005E30A4"/>
    <w:rsid w:val="005E30BF"/>
    <w:rsid w:val="005E32C4"/>
    <w:rsid w:val="005E37DF"/>
    <w:rsid w:val="005E383C"/>
    <w:rsid w:val="005E39BE"/>
    <w:rsid w:val="005E3A20"/>
    <w:rsid w:val="005E3BC4"/>
    <w:rsid w:val="005E3E61"/>
    <w:rsid w:val="005E3F44"/>
    <w:rsid w:val="005E3F52"/>
    <w:rsid w:val="005E3FDC"/>
    <w:rsid w:val="005E4247"/>
    <w:rsid w:val="005E426C"/>
    <w:rsid w:val="005E428A"/>
    <w:rsid w:val="005E43E0"/>
    <w:rsid w:val="005E4447"/>
    <w:rsid w:val="005E446A"/>
    <w:rsid w:val="005E453E"/>
    <w:rsid w:val="005E4599"/>
    <w:rsid w:val="005E4608"/>
    <w:rsid w:val="005E4804"/>
    <w:rsid w:val="005E4810"/>
    <w:rsid w:val="005E4824"/>
    <w:rsid w:val="005E4A12"/>
    <w:rsid w:val="005E4A4D"/>
    <w:rsid w:val="005E4B32"/>
    <w:rsid w:val="005E4BD9"/>
    <w:rsid w:val="005E4C37"/>
    <w:rsid w:val="005E4CF1"/>
    <w:rsid w:val="005E4DA8"/>
    <w:rsid w:val="005E4F5B"/>
    <w:rsid w:val="005E5000"/>
    <w:rsid w:val="005E508C"/>
    <w:rsid w:val="005E5199"/>
    <w:rsid w:val="005E52B3"/>
    <w:rsid w:val="005E530B"/>
    <w:rsid w:val="005E53CE"/>
    <w:rsid w:val="005E540D"/>
    <w:rsid w:val="005E54D8"/>
    <w:rsid w:val="005E57E0"/>
    <w:rsid w:val="005E58FD"/>
    <w:rsid w:val="005E590D"/>
    <w:rsid w:val="005E5A6B"/>
    <w:rsid w:val="005E5AAB"/>
    <w:rsid w:val="005E5B7B"/>
    <w:rsid w:val="005E5CB3"/>
    <w:rsid w:val="005E5CD8"/>
    <w:rsid w:val="005E5D47"/>
    <w:rsid w:val="005E5DC8"/>
    <w:rsid w:val="005E5E2B"/>
    <w:rsid w:val="005E5E4C"/>
    <w:rsid w:val="005E5F02"/>
    <w:rsid w:val="005E5F5A"/>
    <w:rsid w:val="005E6004"/>
    <w:rsid w:val="005E6057"/>
    <w:rsid w:val="005E6212"/>
    <w:rsid w:val="005E6234"/>
    <w:rsid w:val="005E62D7"/>
    <w:rsid w:val="005E648B"/>
    <w:rsid w:val="005E64A6"/>
    <w:rsid w:val="005E64A8"/>
    <w:rsid w:val="005E66B0"/>
    <w:rsid w:val="005E66B3"/>
    <w:rsid w:val="005E66D7"/>
    <w:rsid w:val="005E6798"/>
    <w:rsid w:val="005E6A6E"/>
    <w:rsid w:val="005E6BFF"/>
    <w:rsid w:val="005E6C4E"/>
    <w:rsid w:val="005E6C55"/>
    <w:rsid w:val="005E6D19"/>
    <w:rsid w:val="005E6DD2"/>
    <w:rsid w:val="005E6DF4"/>
    <w:rsid w:val="005E6EE9"/>
    <w:rsid w:val="005E741B"/>
    <w:rsid w:val="005E746B"/>
    <w:rsid w:val="005E7487"/>
    <w:rsid w:val="005E7499"/>
    <w:rsid w:val="005E7567"/>
    <w:rsid w:val="005E7640"/>
    <w:rsid w:val="005E77AC"/>
    <w:rsid w:val="005E7820"/>
    <w:rsid w:val="005E7902"/>
    <w:rsid w:val="005E7959"/>
    <w:rsid w:val="005E79F5"/>
    <w:rsid w:val="005E7AA2"/>
    <w:rsid w:val="005E7AE2"/>
    <w:rsid w:val="005E7AF5"/>
    <w:rsid w:val="005E7BAD"/>
    <w:rsid w:val="005E7BD5"/>
    <w:rsid w:val="005E7DD2"/>
    <w:rsid w:val="005E7E83"/>
    <w:rsid w:val="005F003C"/>
    <w:rsid w:val="005F010D"/>
    <w:rsid w:val="005F01F1"/>
    <w:rsid w:val="005F0208"/>
    <w:rsid w:val="005F0238"/>
    <w:rsid w:val="005F02B3"/>
    <w:rsid w:val="005F0468"/>
    <w:rsid w:val="005F05D6"/>
    <w:rsid w:val="005F066E"/>
    <w:rsid w:val="005F0897"/>
    <w:rsid w:val="005F08D0"/>
    <w:rsid w:val="005F09DE"/>
    <w:rsid w:val="005F09FD"/>
    <w:rsid w:val="005F0A81"/>
    <w:rsid w:val="005F0AAA"/>
    <w:rsid w:val="005F0ABF"/>
    <w:rsid w:val="005F0B24"/>
    <w:rsid w:val="005F0D55"/>
    <w:rsid w:val="005F0E16"/>
    <w:rsid w:val="005F10B1"/>
    <w:rsid w:val="005F10BE"/>
    <w:rsid w:val="005F10D4"/>
    <w:rsid w:val="005F12F5"/>
    <w:rsid w:val="005F131C"/>
    <w:rsid w:val="005F140B"/>
    <w:rsid w:val="005F1423"/>
    <w:rsid w:val="005F1464"/>
    <w:rsid w:val="005F1467"/>
    <w:rsid w:val="005F148A"/>
    <w:rsid w:val="005F14CA"/>
    <w:rsid w:val="005F1696"/>
    <w:rsid w:val="005F16AC"/>
    <w:rsid w:val="005F188D"/>
    <w:rsid w:val="005F18D3"/>
    <w:rsid w:val="005F1AD8"/>
    <w:rsid w:val="005F1BE3"/>
    <w:rsid w:val="005F1C0E"/>
    <w:rsid w:val="005F1CD1"/>
    <w:rsid w:val="005F1DAD"/>
    <w:rsid w:val="005F1EBE"/>
    <w:rsid w:val="005F2022"/>
    <w:rsid w:val="005F20AD"/>
    <w:rsid w:val="005F2279"/>
    <w:rsid w:val="005F22D0"/>
    <w:rsid w:val="005F2361"/>
    <w:rsid w:val="005F23EE"/>
    <w:rsid w:val="005F2490"/>
    <w:rsid w:val="005F279C"/>
    <w:rsid w:val="005F27E3"/>
    <w:rsid w:val="005F2878"/>
    <w:rsid w:val="005F291E"/>
    <w:rsid w:val="005F2953"/>
    <w:rsid w:val="005F2A4B"/>
    <w:rsid w:val="005F2ADA"/>
    <w:rsid w:val="005F2B49"/>
    <w:rsid w:val="005F2B56"/>
    <w:rsid w:val="005F2BD2"/>
    <w:rsid w:val="005F2C05"/>
    <w:rsid w:val="005F2CBB"/>
    <w:rsid w:val="005F2F5C"/>
    <w:rsid w:val="005F3012"/>
    <w:rsid w:val="005F3119"/>
    <w:rsid w:val="005F318D"/>
    <w:rsid w:val="005F32BC"/>
    <w:rsid w:val="005F3311"/>
    <w:rsid w:val="005F3586"/>
    <w:rsid w:val="005F36A1"/>
    <w:rsid w:val="005F3708"/>
    <w:rsid w:val="005F3737"/>
    <w:rsid w:val="005F3863"/>
    <w:rsid w:val="005F38A4"/>
    <w:rsid w:val="005F38AA"/>
    <w:rsid w:val="005F3994"/>
    <w:rsid w:val="005F3C3C"/>
    <w:rsid w:val="005F3CF4"/>
    <w:rsid w:val="005F3CF6"/>
    <w:rsid w:val="005F3FA1"/>
    <w:rsid w:val="005F40EC"/>
    <w:rsid w:val="005F41A2"/>
    <w:rsid w:val="005F42D8"/>
    <w:rsid w:val="005F43AE"/>
    <w:rsid w:val="005F45C8"/>
    <w:rsid w:val="005F4717"/>
    <w:rsid w:val="005F477C"/>
    <w:rsid w:val="005F484F"/>
    <w:rsid w:val="005F494B"/>
    <w:rsid w:val="005F4972"/>
    <w:rsid w:val="005F497C"/>
    <w:rsid w:val="005F497D"/>
    <w:rsid w:val="005F4A61"/>
    <w:rsid w:val="005F4B1F"/>
    <w:rsid w:val="005F4B6A"/>
    <w:rsid w:val="005F4C9F"/>
    <w:rsid w:val="005F4CA8"/>
    <w:rsid w:val="005F4EA6"/>
    <w:rsid w:val="005F4F4F"/>
    <w:rsid w:val="005F4F70"/>
    <w:rsid w:val="005F5096"/>
    <w:rsid w:val="005F5486"/>
    <w:rsid w:val="005F5637"/>
    <w:rsid w:val="005F56BA"/>
    <w:rsid w:val="005F574A"/>
    <w:rsid w:val="005F57EC"/>
    <w:rsid w:val="005F58C7"/>
    <w:rsid w:val="005F5950"/>
    <w:rsid w:val="005F5A39"/>
    <w:rsid w:val="005F5A95"/>
    <w:rsid w:val="005F5AE1"/>
    <w:rsid w:val="005F5B9E"/>
    <w:rsid w:val="005F5BC5"/>
    <w:rsid w:val="005F5BDA"/>
    <w:rsid w:val="005F5D76"/>
    <w:rsid w:val="005F5DDD"/>
    <w:rsid w:val="005F5DFE"/>
    <w:rsid w:val="005F5E35"/>
    <w:rsid w:val="005F5E55"/>
    <w:rsid w:val="005F5E69"/>
    <w:rsid w:val="005F5F77"/>
    <w:rsid w:val="005F60B8"/>
    <w:rsid w:val="005F60CE"/>
    <w:rsid w:val="005F62BC"/>
    <w:rsid w:val="005F62D2"/>
    <w:rsid w:val="005F6317"/>
    <w:rsid w:val="005F633D"/>
    <w:rsid w:val="005F63A2"/>
    <w:rsid w:val="005F63D2"/>
    <w:rsid w:val="005F6434"/>
    <w:rsid w:val="005F6769"/>
    <w:rsid w:val="005F67BC"/>
    <w:rsid w:val="005F67D7"/>
    <w:rsid w:val="005F682A"/>
    <w:rsid w:val="005F6863"/>
    <w:rsid w:val="005F69A8"/>
    <w:rsid w:val="005F6A60"/>
    <w:rsid w:val="005F6B10"/>
    <w:rsid w:val="005F6C28"/>
    <w:rsid w:val="005F6D82"/>
    <w:rsid w:val="005F6DDC"/>
    <w:rsid w:val="005F6E2C"/>
    <w:rsid w:val="005F6F06"/>
    <w:rsid w:val="005F6F16"/>
    <w:rsid w:val="005F6F3A"/>
    <w:rsid w:val="005F7016"/>
    <w:rsid w:val="005F7036"/>
    <w:rsid w:val="005F70D0"/>
    <w:rsid w:val="005F71BB"/>
    <w:rsid w:val="005F730C"/>
    <w:rsid w:val="005F74AC"/>
    <w:rsid w:val="005F74E7"/>
    <w:rsid w:val="005F7648"/>
    <w:rsid w:val="005F779E"/>
    <w:rsid w:val="005F77A9"/>
    <w:rsid w:val="005F79AC"/>
    <w:rsid w:val="005F7A47"/>
    <w:rsid w:val="005F7AB9"/>
    <w:rsid w:val="005F7B49"/>
    <w:rsid w:val="005F7C2F"/>
    <w:rsid w:val="005F7C71"/>
    <w:rsid w:val="005F7D18"/>
    <w:rsid w:val="005F7D2D"/>
    <w:rsid w:val="005F7DE3"/>
    <w:rsid w:val="005F7E0C"/>
    <w:rsid w:val="005F7E27"/>
    <w:rsid w:val="005F7E85"/>
    <w:rsid w:val="005F7EA0"/>
    <w:rsid w:val="005F7F0C"/>
    <w:rsid w:val="005F7F74"/>
    <w:rsid w:val="005F7F97"/>
    <w:rsid w:val="0060009D"/>
    <w:rsid w:val="00600137"/>
    <w:rsid w:val="0060040E"/>
    <w:rsid w:val="00600490"/>
    <w:rsid w:val="00600603"/>
    <w:rsid w:val="00600784"/>
    <w:rsid w:val="0060078A"/>
    <w:rsid w:val="00600798"/>
    <w:rsid w:val="006009CC"/>
    <w:rsid w:val="00600A2A"/>
    <w:rsid w:val="00600A2E"/>
    <w:rsid w:val="00600BBA"/>
    <w:rsid w:val="00600BE8"/>
    <w:rsid w:val="00600E3C"/>
    <w:rsid w:val="00600EC5"/>
    <w:rsid w:val="00600F46"/>
    <w:rsid w:val="00600F76"/>
    <w:rsid w:val="00601010"/>
    <w:rsid w:val="00601017"/>
    <w:rsid w:val="00601077"/>
    <w:rsid w:val="0060108B"/>
    <w:rsid w:val="006010FF"/>
    <w:rsid w:val="006011C1"/>
    <w:rsid w:val="006012AB"/>
    <w:rsid w:val="00601524"/>
    <w:rsid w:val="00601643"/>
    <w:rsid w:val="00601687"/>
    <w:rsid w:val="006018BA"/>
    <w:rsid w:val="00601911"/>
    <w:rsid w:val="00601913"/>
    <w:rsid w:val="00601B49"/>
    <w:rsid w:val="00601D60"/>
    <w:rsid w:val="00601DA1"/>
    <w:rsid w:val="00601DFB"/>
    <w:rsid w:val="00601F9F"/>
    <w:rsid w:val="00602002"/>
    <w:rsid w:val="00602083"/>
    <w:rsid w:val="006020EB"/>
    <w:rsid w:val="006021B0"/>
    <w:rsid w:val="0060230F"/>
    <w:rsid w:val="006023CF"/>
    <w:rsid w:val="006024A0"/>
    <w:rsid w:val="0060255B"/>
    <w:rsid w:val="006027A5"/>
    <w:rsid w:val="006028C2"/>
    <w:rsid w:val="006028D5"/>
    <w:rsid w:val="0060299A"/>
    <w:rsid w:val="006029A5"/>
    <w:rsid w:val="00602AA8"/>
    <w:rsid w:val="00602AAE"/>
    <w:rsid w:val="00602B10"/>
    <w:rsid w:val="00602C10"/>
    <w:rsid w:val="00602C32"/>
    <w:rsid w:val="00602C76"/>
    <w:rsid w:val="00602CF1"/>
    <w:rsid w:val="00602E57"/>
    <w:rsid w:val="00602F08"/>
    <w:rsid w:val="00602FA6"/>
    <w:rsid w:val="00602FB5"/>
    <w:rsid w:val="00602FC7"/>
    <w:rsid w:val="00603011"/>
    <w:rsid w:val="00603045"/>
    <w:rsid w:val="006030CB"/>
    <w:rsid w:val="006030D1"/>
    <w:rsid w:val="0060311B"/>
    <w:rsid w:val="00603232"/>
    <w:rsid w:val="00603343"/>
    <w:rsid w:val="0060342F"/>
    <w:rsid w:val="006034E1"/>
    <w:rsid w:val="006035B6"/>
    <w:rsid w:val="0060372A"/>
    <w:rsid w:val="00603965"/>
    <w:rsid w:val="00603968"/>
    <w:rsid w:val="00603ACE"/>
    <w:rsid w:val="00603C2E"/>
    <w:rsid w:val="00603C77"/>
    <w:rsid w:val="00603E07"/>
    <w:rsid w:val="00603F8F"/>
    <w:rsid w:val="00604130"/>
    <w:rsid w:val="00604151"/>
    <w:rsid w:val="00604247"/>
    <w:rsid w:val="006042EE"/>
    <w:rsid w:val="00604361"/>
    <w:rsid w:val="00604398"/>
    <w:rsid w:val="006043BB"/>
    <w:rsid w:val="00604462"/>
    <w:rsid w:val="006044E0"/>
    <w:rsid w:val="0060456B"/>
    <w:rsid w:val="00604586"/>
    <w:rsid w:val="0060462B"/>
    <w:rsid w:val="0060468E"/>
    <w:rsid w:val="006046C6"/>
    <w:rsid w:val="0060488E"/>
    <w:rsid w:val="006048F4"/>
    <w:rsid w:val="00604AE0"/>
    <w:rsid w:val="00604AFF"/>
    <w:rsid w:val="00604CB8"/>
    <w:rsid w:val="00604DD7"/>
    <w:rsid w:val="00604E38"/>
    <w:rsid w:val="00604EF4"/>
    <w:rsid w:val="00604FC0"/>
    <w:rsid w:val="006051F2"/>
    <w:rsid w:val="006052E8"/>
    <w:rsid w:val="006055EB"/>
    <w:rsid w:val="006056B8"/>
    <w:rsid w:val="0060570F"/>
    <w:rsid w:val="006058BA"/>
    <w:rsid w:val="006059AB"/>
    <w:rsid w:val="006059C1"/>
    <w:rsid w:val="00605AA5"/>
    <w:rsid w:val="00605AE6"/>
    <w:rsid w:val="00605D01"/>
    <w:rsid w:val="00605D1A"/>
    <w:rsid w:val="00605DC6"/>
    <w:rsid w:val="00605F92"/>
    <w:rsid w:val="00606030"/>
    <w:rsid w:val="00606115"/>
    <w:rsid w:val="0060612F"/>
    <w:rsid w:val="00606297"/>
    <w:rsid w:val="006062BD"/>
    <w:rsid w:val="00606444"/>
    <w:rsid w:val="0060644B"/>
    <w:rsid w:val="006064C2"/>
    <w:rsid w:val="006065AE"/>
    <w:rsid w:val="00606768"/>
    <w:rsid w:val="00606860"/>
    <w:rsid w:val="00606872"/>
    <w:rsid w:val="00606876"/>
    <w:rsid w:val="006069AE"/>
    <w:rsid w:val="006069EC"/>
    <w:rsid w:val="00606B8A"/>
    <w:rsid w:val="00606C40"/>
    <w:rsid w:val="00606C49"/>
    <w:rsid w:val="00606C61"/>
    <w:rsid w:val="00606D60"/>
    <w:rsid w:val="00606EF6"/>
    <w:rsid w:val="00606F1D"/>
    <w:rsid w:val="00606F83"/>
    <w:rsid w:val="00606FB8"/>
    <w:rsid w:val="00606FCD"/>
    <w:rsid w:val="00606FCF"/>
    <w:rsid w:val="006070BE"/>
    <w:rsid w:val="006072DA"/>
    <w:rsid w:val="006072DB"/>
    <w:rsid w:val="0060749A"/>
    <w:rsid w:val="006075F4"/>
    <w:rsid w:val="00607659"/>
    <w:rsid w:val="00607746"/>
    <w:rsid w:val="00607907"/>
    <w:rsid w:val="00607A73"/>
    <w:rsid w:val="00607B52"/>
    <w:rsid w:val="00607CA3"/>
    <w:rsid w:val="00607CD9"/>
    <w:rsid w:val="00607CDE"/>
    <w:rsid w:val="00607DA0"/>
    <w:rsid w:val="00607DED"/>
    <w:rsid w:val="00607EB9"/>
    <w:rsid w:val="00607F5C"/>
    <w:rsid w:val="00607F68"/>
    <w:rsid w:val="0061006A"/>
    <w:rsid w:val="006100B5"/>
    <w:rsid w:val="006100C6"/>
    <w:rsid w:val="006101AF"/>
    <w:rsid w:val="00610272"/>
    <w:rsid w:val="00610497"/>
    <w:rsid w:val="00610520"/>
    <w:rsid w:val="00610678"/>
    <w:rsid w:val="00610968"/>
    <w:rsid w:val="0061098B"/>
    <w:rsid w:val="00610A47"/>
    <w:rsid w:val="00610A67"/>
    <w:rsid w:val="00610A9F"/>
    <w:rsid w:val="00610BBA"/>
    <w:rsid w:val="00610C99"/>
    <w:rsid w:val="00610C9C"/>
    <w:rsid w:val="00610E87"/>
    <w:rsid w:val="00610F11"/>
    <w:rsid w:val="0061107B"/>
    <w:rsid w:val="00611139"/>
    <w:rsid w:val="006111A7"/>
    <w:rsid w:val="006111DF"/>
    <w:rsid w:val="0061123C"/>
    <w:rsid w:val="006112B3"/>
    <w:rsid w:val="0061146D"/>
    <w:rsid w:val="0061147F"/>
    <w:rsid w:val="006114D9"/>
    <w:rsid w:val="0061161D"/>
    <w:rsid w:val="00611661"/>
    <w:rsid w:val="0061179B"/>
    <w:rsid w:val="00611A85"/>
    <w:rsid w:val="00611B13"/>
    <w:rsid w:val="00611B64"/>
    <w:rsid w:val="00611BE7"/>
    <w:rsid w:val="00611C67"/>
    <w:rsid w:val="00611EB6"/>
    <w:rsid w:val="00611ED5"/>
    <w:rsid w:val="00611F56"/>
    <w:rsid w:val="00611FD6"/>
    <w:rsid w:val="00612053"/>
    <w:rsid w:val="006120CD"/>
    <w:rsid w:val="00612208"/>
    <w:rsid w:val="006122BD"/>
    <w:rsid w:val="006122F1"/>
    <w:rsid w:val="00612312"/>
    <w:rsid w:val="006123E4"/>
    <w:rsid w:val="006124CD"/>
    <w:rsid w:val="006124FF"/>
    <w:rsid w:val="006125DD"/>
    <w:rsid w:val="0061261B"/>
    <w:rsid w:val="006126C4"/>
    <w:rsid w:val="006126ED"/>
    <w:rsid w:val="0061277C"/>
    <w:rsid w:val="00612848"/>
    <w:rsid w:val="0061286C"/>
    <w:rsid w:val="006129F2"/>
    <w:rsid w:val="00612A50"/>
    <w:rsid w:val="00612A58"/>
    <w:rsid w:val="00612BAA"/>
    <w:rsid w:val="00612C3F"/>
    <w:rsid w:val="00612CA3"/>
    <w:rsid w:val="00612D5D"/>
    <w:rsid w:val="00612EB7"/>
    <w:rsid w:val="0061301B"/>
    <w:rsid w:val="00613086"/>
    <w:rsid w:val="0061330C"/>
    <w:rsid w:val="006133A3"/>
    <w:rsid w:val="006133BA"/>
    <w:rsid w:val="0061349C"/>
    <w:rsid w:val="0061356B"/>
    <w:rsid w:val="00613653"/>
    <w:rsid w:val="006136F9"/>
    <w:rsid w:val="00613776"/>
    <w:rsid w:val="00613795"/>
    <w:rsid w:val="0061384B"/>
    <w:rsid w:val="00613B10"/>
    <w:rsid w:val="00613B5A"/>
    <w:rsid w:val="00613B92"/>
    <w:rsid w:val="00613C48"/>
    <w:rsid w:val="00613D71"/>
    <w:rsid w:val="00613F5A"/>
    <w:rsid w:val="00614022"/>
    <w:rsid w:val="0061404C"/>
    <w:rsid w:val="00614186"/>
    <w:rsid w:val="006141EF"/>
    <w:rsid w:val="006141FC"/>
    <w:rsid w:val="0061420A"/>
    <w:rsid w:val="0061423A"/>
    <w:rsid w:val="006143CC"/>
    <w:rsid w:val="0061440F"/>
    <w:rsid w:val="00614513"/>
    <w:rsid w:val="006146F4"/>
    <w:rsid w:val="006148E2"/>
    <w:rsid w:val="00614918"/>
    <w:rsid w:val="00614975"/>
    <w:rsid w:val="00614A54"/>
    <w:rsid w:val="00614A8A"/>
    <w:rsid w:val="00614CA0"/>
    <w:rsid w:val="00614DD6"/>
    <w:rsid w:val="00614E61"/>
    <w:rsid w:val="00614F70"/>
    <w:rsid w:val="00615007"/>
    <w:rsid w:val="006150F5"/>
    <w:rsid w:val="006151BA"/>
    <w:rsid w:val="006151D6"/>
    <w:rsid w:val="00615269"/>
    <w:rsid w:val="00615379"/>
    <w:rsid w:val="00615489"/>
    <w:rsid w:val="0061548C"/>
    <w:rsid w:val="00615594"/>
    <w:rsid w:val="006155D1"/>
    <w:rsid w:val="00615612"/>
    <w:rsid w:val="0061565D"/>
    <w:rsid w:val="00615673"/>
    <w:rsid w:val="006156E5"/>
    <w:rsid w:val="00615949"/>
    <w:rsid w:val="00615976"/>
    <w:rsid w:val="00615CDC"/>
    <w:rsid w:val="00615D45"/>
    <w:rsid w:val="00615DB4"/>
    <w:rsid w:val="00615E0C"/>
    <w:rsid w:val="00615E4F"/>
    <w:rsid w:val="00615F3D"/>
    <w:rsid w:val="00615FFA"/>
    <w:rsid w:val="0061601C"/>
    <w:rsid w:val="0061611E"/>
    <w:rsid w:val="006161F5"/>
    <w:rsid w:val="00616308"/>
    <w:rsid w:val="006164B3"/>
    <w:rsid w:val="006164D6"/>
    <w:rsid w:val="00616656"/>
    <w:rsid w:val="006166A0"/>
    <w:rsid w:val="00616738"/>
    <w:rsid w:val="00616A5F"/>
    <w:rsid w:val="00616AB5"/>
    <w:rsid w:val="00616DF2"/>
    <w:rsid w:val="00616DF5"/>
    <w:rsid w:val="00616E85"/>
    <w:rsid w:val="00616ED8"/>
    <w:rsid w:val="00616EF7"/>
    <w:rsid w:val="00616FDB"/>
    <w:rsid w:val="00617027"/>
    <w:rsid w:val="00617044"/>
    <w:rsid w:val="0061704E"/>
    <w:rsid w:val="006170B9"/>
    <w:rsid w:val="0061723C"/>
    <w:rsid w:val="00617434"/>
    <w:rsid w:val="006174E5"/>
    <w:rsid w:val="0061757E"/>
    <w:rsid w:val="00617596"/>
    <w:rsid w:val="0061764F"/>
    <w:rsid w:val="00617731"/>
    <w:rsid w:val="006178E3"/>
    <w:rsid w:val="006178EE"/>
    <w:rsid w:val="006178FA"/>
    <w:rsid w:val="0061799D"/>
    <w:rsid w:val="00617ABD"/>
    <w:rsid w:val="00617C0C"/>
    <w:rsid w:val="00617CE7"/>
    <w:rsid w:val="00617D95"/>
    <w:rsid w:val="00617E48"/>
    <w:rsid w:val="00617E4A"/>
    <w:rsid w:val="00617E56"/>
    <w:rsid w:val="00617E8B"/>
    <w:rsid w:val="00617FD1"/>
    <w:rsid w:val="00620027"/>
    <w:rsid w:val="006200E5"/>
    <w:rsid w:val="0062013E"/>
    <w:rsid w:val="006203D3"/>
    <w:rsid w:val="0062040D"/>
    <w:rsid w:val="0062059C"/>
    <w:rsid w:val="00620728"/>
    <w:rsid w:val="006207E6"/>
    <w:rsid w:val="006209A2"/>
    <w:rsid w:val="006209C3"/>
    <w:rsid w:val="00620B62"/>
    <w:rsid w:val="00620B63"/>
    <w:rsid w:val="00620CEE"/>
    <w:rsid w:val="00620D2B"/>
    <w:rsid w:val="00620E07"/>
    <w:rsid w:val="00620FE5"/>
    <w:rsid w:val="00621417"/>
    <w:rsid w:val="006215BA"/>
    <w:rsid w:val="006216C1"/>
    <w:rsid w:val="00621728"/>
    <w:rsid w:val="0062176B"/>
    <w:rsid w:val="00621873"/>
    <w:rsid w:val="00621B06"/>
    <w:rsid w:val="00621CB5"/>
    <w:rsid w:val="00621D09"/>
    <w:rsid w:val="00621DCF"/>
    <w:rsid w:val="00621FC7"/>
    <w:rsid w:val="00622014"/>
    <w:rsid w:val="00622062"/>
    <w:rsid w:val="006220B3"/>
    <w:rsid w:val="00622106"/>
    <w:rsid w:val="00622382"/>
    <w:rsid w:val="00622549"/>
    <w:rsid w:val="006226A6"/>
    <w:rsid w:val="006229E8"/>
    <w:rsid w:val="00622B20"/>
    <w:rsid w:val="00622E4C"/>
    <w:rsid w:val="00622ECD"/>
    <w:rsid w:val="00622F22"/>
    <w:rsid w:val="00622F5C"/>
    <w:rsid w:val="00623093"/>
    <w:rsid w:val="0062311F"/>
    <w:rsid w:val="00623272"/>
    <w:rsid w:val="0062344E"/>
    <w:rsid w:val="0062350A"/>
    <w:rsid w:val="0062362D"/>
    <w:rsid w:val="00623690"/>
    <w:rsid w:val="00623702"/>
    <w:rsid w:val="00623712"/>
    <w:rsid w:val="006237DC"/>
    <w:rsid w:val="00623876"/>
    <w:rsid w:val="006238A1"/>
    <w:rsid w:val="00623A1C"/>
    <w:rsid w:val="00623A24"/>
    <w:rsid w:val="00623A49"/>
    <w:rsid w:val="00623B3B"/>
    <w:rsid w:val="00623D49"/>
    <w:rsid w:val="00623DB1"/>
    <w:rsid w:val="00623DBE"/>
    <w:rsid w:val="00623DE1"/>
    <w:rsid w:val="00624088"/>
    <w:rsid w:val="00624134"/>
    <w:rsid w:val="0062418D"/>
    <w:rsid w:val="0062420D"/>
    <w:rsid w:val="0062428E"/>
    <w:rsid w:val="00624321"/>
    <w:rsid w:val="00624322"/>
    <w:rsid w:val="006243FF"/>
    <w:rsid w:val="0062445F"/>
    <w:rsid w:val="006244C8"/>
    <w:rsid w:val="00624608"/>
    <w:rsid w:val="00624895"/>
    <w:rsid w:val="00624CB3"/>
    <w:rsid w:val="00624E94"/>
    <w:rsid w:val="00625117"/>
    <w:rsid w:val="0062511F"/>
    <w:rsid w:val="00625162"/>
    <w:rsid w:val="006252B2"/>
    <w:rsid w:val="00625373"/>
    <w:rsid w:val="006254E0"/>
    <w:rsid w:val="0062555D"/>
    <w:rsid w:val="006255D3"/>
    <w:rsid w:val="00625615"/>
    <w:rsid w:val="0062578F"/>
    <w:rsid w:val="00625C78"/>
    <w:rsid w:val="00625CA3"/>
    <w:rsid w:val="00625D7B"/>
    <w:rsid w:val="00625F25"/>
    <w:rsid w:val="006260AE"/>
    <w:rsid w:val="00626157"/>
    <w:rsid w:val="006261DD"/>
    <w:rsid w:val="00626383"/>
    <w:rsid w:val="006263B4"/>
    <w:rsid w:val="00626418"/>
    <w:rsid w:val="0062651C"/>
    <w:rsid w:val="0062659D"/>
    <w:rsid w:val="006265DD"/>
    <w:rsid w:val="00626702"/>
    <w:rsid w:val="00626706"/>
    <w:rsid w:val="00626711"/>
    <w:rsid w:val="0062679B"/>
    <w:rsid w:val="006267D3"/>
    <w:rsid w:val="006267D5"/>
    <w:rsid w:val="006268C9"/>
    <w:rsid w:val="00626981"/>
    <w:rsid w:val="006269B8"/>
    <w:rsid w:val="00626ABE"/>
    <w:rsid w:val="00626C44"/>
    <w:rsid w:val="00626C54"/>
    <w:rsid w:val="00626FB3"/>
    <w:rsid w:val="0062703B"/>
    <w:rsid w:val="006271E1"/>
    <w:rsid w:val="00627205"/>
    <w:rsid w:val="0062726A"/>
    <w:rsid w:val="0062735D"/>
    <w:rsid w:val="00627371"/>
    <w:rsid w:val="00627602"/>
    <w:rsid w:val="006276F0"/>
    <w:rsid w:val="00627712"/>
    <w:rsid w:val="0062787B"/>
    <w:rsid w:val="00627A10"/>
    <w:rsid w:val="00627AAD"/>
    <w:rsid w:val="00627B44"/>
    <w:rsid w:val="00627D1A"/>
    <w:rsid w:val="00627DDA"/>
    <w:rsid w:val="00627E44"/>
    <w:rsid w:val="00627E67"/>
    <w:rsid w:val="00630074"/>
    <w:rsid w:val="006301E2"/>
    <w:rsid w:val="00630281"/>
    <w:rsid w:val="00630304"/>
    <w:rsid w:val="006303EF"/>
    <w:rsid w:val="0063048E"/>
    <w:rsid w:val="00630529"/>
    <w:rsid w:val="0063053E"/>
    <w:rsid w:val="006305AB"/>
    <w:rsid w:val="006305C4"/>
    <w:rsid w:val="006305D8"/>
    <w:rsid w:val="00630670"/>
    <w:rsid w:val="006306F4"/>
    <w:rsid w:val="0063093B"/>
    <w:rsid w:val="006309CD"/>
    <w:rsid w:val="00630A12"/>
    <w:rsid w:val="00630B1E"/>
    <w:rsid w:val="00630B9D"/>
    <w:rsid w:val="00630BB3"/>
    <w:rsid w:val="00630BDF"/>
    <w:rsid w:val="00630BE0"/>
    <w:rsid w:val="00630BF5"/>
    <w:rsid w:val="00630D4C"/>
    <w:rsid w:val="00630E23"/>
    <w:rsid w:val="00630F05"/>
    <w:rsid w:val="00630F4E"/>
    <w:rsid w:val="00630F76"/>
    <w:rsid w:val="00631011"/>
    <w:rsid w:val="00631145"/>
    <w:rsid w:val="00631201"/>
    <w:rsid w:val="0063128E"/>
    <w:rsid w:val="0063130B"/>
    <w:rsid w:val="00631472"/>
    <w:rsid w:val="006314E6"/>
    <w:rsid w:val="00631534"/>
    <w:rsid w:val="00631564"/>
    <w:rsid w:val="006315D9"/>
    <w:rsid w:val="00631641"/>
    <w:rsid w:val="0063176E"/>
    <w:rsid w:val="0063189C"/>
    <w:rsid w:val="006318B0"/>
    <w:rsid w:val="00631A8B"/>
    <w:rsid w:val="00631B31"/>
    <w:rsid w:val="00631B3D"/>
    <w:rsid w:val="00631D86"/>
    <w:rsid w:val="00631EF7"/>
    <w:rsid w:val="00631F07"/>
    <w:rsid w:val="00631FD9"/>
    <w:rsid w:val="006320AC"/>
    <w:rsid w:val="0063220B"/>
    <w:rsid w:val="00632256"/>
    <w:rsid w:val="006322C7"/>
    <w:rsid w:val="006322D4"/>
    <w:rsid w:val="00632378"/>
    <w:rsid w:val="00632413"/>
    <w:rsid w:val="0063256F"/>
    <w:rsid w:val="00632588"/>
    <w:rsid w:val="006326FE"/>
    <w:rsid w:val="006327EB"/>
    <w:rsid w:val="00632AF8"/>
    <w:rsid w:val="00632B08"/>
    <w:rsid w:val="00632B1D"/>
    <w:rsid w:val="00632BBD"/>
    <w:rsid w:val="00632D7F"/>
    <w:rsid w:val="00632E0A"/>
    <w:rsid w:val="00632E82"/>
    <w:rsid w:val="00632F13"/>
    <w:rsid w:val="00632F5E"/>
    <w:rsid w:val="00632FD1"/>
    <w:rsid w:val="00633055"/>
    <w:rsid w:val="00633062"/>
    <w:rsid w:val="00633145"/>
    <w:rsid w:val="00633218"/>
    <w:rsid w:val="00633247"/>
    <w:rsid w:val="006332B0"/>
    <w:rsid w:val="006332FD"/>
    <w:rsid w:val="006334BD"/>
    <w:rsid w:val="006335DE"/>
    <w:rsid w:val="00633638"/>
    <w:rsid w:val="00633795"/>
    <w:rsid w:val="006339A3"/>
    <w:rsid w:val="006339B4"/>
    <w:rsid w:val="006339CE"/>
    <w:rsid w:val="00633B0A"/>
    <w:rsid w:val="00633BA9"/>
    <w:rsid w:val="00633BB2"/>
    <w:rsid w:val="00633C8B"/>
    <w:rsid w:val="00633CC7"/>
    <w:rsid w:val="00633CF5"/>
    <w:rsid w:val="00633DFD"/>
    <w:rsid w:val="00633ECA"/>
    <w:rsid w:val="00633EED"/>
    <w:rsid w:val="00634127"/>
    <w:rsid w:val="00634148"/>
    <w:rsid w:val="00634160"/>
    <w:rsid w:val="00634178"/>
    <w:rsid w:val="006341A8"/>
    <w:rsid w:val="0063422D"/>
    <w:rsid w:val="0063441B"/>
    <w:rsid w:val="00634583"/>
    <w:rsid w:val="006345FD"/>
    <w:rsid w:val="0063461B"/>
    <w:rsid w:val="006346AF"/>
    <w:rsid w:val="0063470D"/>
    <w:rsid w:val="006347FC"/>
    <w:rsid w:val="0063491F"/>
    <w:rsid w:val="006349ED"/>
    <w:rsid w:val="00634B29"/>
    <w:rsid w:val="00634B4C"/>
    <w:rsid w:val="00634B95"/>
    <w:rsid w:val="00634B9B"/>
    <w:rsid w:val="00634E34"/>
    <w:rsid w:val="00634EAC"/>
    <w:rsid w:val="00634F9F"/>
    <w:rsid w:val="00634FB2"/>
    <w:rsid w:val="00634FCD"/>
    <w:rsid w:val="00635101"/>
    <w:rsid w:val="00635291"/>
    <w:rsid w:val="0063530C"/>
    <w:rsid w:val="0063534C"/>
    <w:rsid w:val="0063537E"/>
    <w:rsid w:val="00635398"/>
    <w:rsid w:val="00635422"/>
    <w:rsid w:val="0063549F"/>
    <w:rsid w:val="00635635"/>
    <w:rsid w:val="006356FB"/>
    <w:rsid w:val="00635862"/>
    <w:rsid w:val="00635991"/>
    <w:rsid w:val="00635A7B"/>
    <w:rsid w:val="00635AB2"/>
    <w:rsid w:val="00635C12"/>
    <w:rsid w:val="00635CEE"/>
    <w:rsid w:val="00635D1A"/>
    <w:rsid w:val="00635D35"/>
    <w:rsid w:val="00635D3F"/>
    <w:rsid w:val="00635D77"/>
    <w:rsid w:val="00635DF6"/>
    <w:rsid w:val="00635E09"/>
    <w:rsid w:val="00635E56"/>
    <w:rsid w:val="00635EBA"/>
    <w:rsid w:val="00635F7D"/>
    <w:rsid w:val="006362AB"/>
    <w:rsid w:val="0063644A"/>
    <w:rsid w:val="0063644D"/>
    <w:rsid w:val="006364D7"/>
    <w:rsid w:val="006364F3"/>
    <w:rsid w:val="00636611"/>
    <w:rsid w:val="00636625"/>
    <w:rsid w:val="00636A38"/>
    <w:rsid w:val="00636A8A"/>
    <w:rsid w:val="00636ABD"/>
    <w:rsid w:val="00636ADC"/>
    <w:rsid w:val="00636BF4"/>
    <w:rsid w:val="00636C93"/>
    <w:rsid w:val="00636C9E"/>
    <w:rsid w:val="00636CFE"/>
    <w:rsid w:val="00636E79"/>
    <w:rsid w:val="00636F1B"/>
    <w:rsid w:val="00636F83"/>
    <w:rsid w:val="00636FBA"/>
    <w:rsid w:val="0063701D"/>
    <w:rsid w:val="0063712B"/>
    <w:rsid w:val="00637256"/>
    <w:rsid w:val="006372E7"/>
    <w:rsid w:val="00637360"/>
    <w:rsid w:val="00637624"/>
    <w:rsid w:val="0063763E"/>
    <w:rsid w:val="00637703"/>
    <w:rsid w:val="00637721"/>
    <w:rsid w:val="00637896"/>
    <w:rsid w:val="006378C6"/>
    <w:rsid w:val="0063790A"/>
    <w:rsid w:val="0063792B"/>
    <w:rsid w:val="006379C7"/>
    <w:rsid w:val="00637BB3"/>
    <w:rsid w:val="00637BFC"/>
    <w:rsid w:val="00637CC5"/>
    <w:rsid w:val="00637CC8"/>
    <w:rsid w:val="00637E49"/>
    <w:rsid w:val="00637F06"/>
    <w:rsid w:val="00640017"/>
    <w:rsid w:val="006401A5"/>
    <w:rsid w:val="006401C8"/>
    <w:rsid w:val="006401E7"/>
    <w:rsid w:val="006403BB"/>
    <w:rsid w:val="006403F7"/>
    <w:rsid w:val="006404EA"/>
    <w:rsid w:val="006405C1"/>
    <w:rsid w:val="006405F0"/>
    <w:rsid w:val="00640614"/>
    <w:rsid w:val="00640790"/>
    <w:rsid w:val="00640889"/>
    <w:rsid w:val="006408FD"/>
    <w:rsid w:val="0064095B"/>
    <w:rsid w:val="00640966"/>
    <w:rsid w:val="00640968"/>
    <w:rsid w:val="00640A24"/>
    <w:rsid w:val="00640A54"/>
    <w:rsid w:val="00640B10"/>
    <w:rsid w:val="00640BAF"/>
    <w:rsid w:val="00640C16"/>
    <w:rsid w:val="00640C5D"/>
    <w:rsid w:val="00640E0E"/>
    <w:rsid w:val="00640E3A"/>
    <w:rsid w:val="00640E7C"/>
    <w:rsid w:val="0064122A"/>
    <w:rsid w:val="006412E1"/>
    <w:rsid w:val="006412E2"/>
    <w:rsid w:val="00641318"/>
    <w:rsid w:val="0064144A"/>
    <w:rsid w:val="006414C7"/>
    <w:rsid w:val="006414FE"/>
    <w:rsid w:val="0064152C"/>
    <w:rsid w:val="0064168F"/>
    <w:rsid w:val="006417AC"/>
    <w:rsid w:val="00641B0E"/>
    <w:rsid w:val="00641B45"/>
    <w:rsid w:val="00641C32"/>
    <w:rsid w:val="00641D66"/>
    <w:rsid w:val="00641DCC"/>
    <w:rsid w:val="00641DF5"/>
    <w:rsid w:val="006424E6"/>
    <w:rsid w:val="0064257E"/>
    <w:rsid w:val="00642627"/>
    <w:rsid w:val="00642686"/>
    <w:rsid w:val="006426DC"/>
    <w:rsid w:val="0064271C"/>
    <w:rsid w:val="00642963"/>
    <w:rsid w:val="00642980"/>
    <w:rsid w:val="00642A1D"/>
    <w:rsid w:val="00642B0F"/>
    <w:rsid w:val="00642D8F"/>
    <w:rsid w:val="00642DDF"/>
    <w:rsid w:val="00642E70"/>
    <w:rsid w:val="0064307D"/>
    <w:rsid w:val="006430DC"/>
    <w:rsid w:val="006431DE"/>
    <w:rsid w:val="006431F6"/>
    <w:rsid w:val="00643257"/>
    <w:rsid w:val="00643275"/>
    <w:rsid w:val="006432A6"/>
    <w:rsid w:val="00643354"/>
    <w:rsid w:val="006434D6"/>
    <w:rsid w:val="006435A4"/>
    <w:rsid w:val="0064367A"/>
    <w:rsid w:val="006436AF"/>
    <w:rsid w:val="006436F9"/>
    <w:rsid w:val="0064378D"/>
    <w:rsid w:val="00643794"/>
    <w:rsid w:val="006437C6"/>
    <w:rsid w:val="0064388E"/>
    <w:rsid w:val="00643955"/>
    <w:rsid w:val="00643A72"/>
    <w:rsid w:val="00643C1A"/>
    <w:rsid w:val="00643D8D"/>
    <w:rsid w:val="00643EAD"/>
    <w:rsid w:val="00643EEA"/>
    <w:rsid w:val="00643F82"/>
    <w:rsid w:val="0064405E"/>
    <w:rsid w:val="006442A1"/>
    <w:rsid w:val="00644512"/>
    <w:rsid w:val="00644584"/>
    <w:rsid w:val="00644677"/>
    <w:rsid w:val="006446E5"/>
    <w:rsid w:val="006448ED"/>
    <w:rsid w:val="00644ACE"/>
    <w:rsid w:val="00644B22"/>
    <w:rsid w:val="00644C73"/>
    <w:rsid w:val="00644C81"/>
    <w:rsid w:val="00644D0E"/>
    <w:rsid w:val="00644DB5"/>
    <w:rsid w:val="00644E4F"/>
    <w:rsid w:val="00644E79"/>
    <w:rsid w:val="00644ED5"/>
    <w:rsid w:val="00644F0B"/>
    <w:rsid w:val="0064507B"/>
    <w:rsid w:val="00645128"/>
    <w:rsid w:val="00645130"/>
    <w:rsid w:val="00645190"/>
    <w:rsid w:val="006451E9"/>
    <w:rsid w:val="006451F9"/>
    <w:rsid w:val="006453FD"/>
    <w:rsid w:val="00645491"/>
    <w:rsid w:val="006454B6"/>
    <w:rsid w:val="00645570"/>
    <w:rsid w:val="00645593"/>
    <w:rsid w:val="0064574C"/>
    <w:rsid w:val="006457B2"/>
    <w:rsid w:val="006457BB"/>
    <w:rsid w:val="00645963"/>
    <w:rsid w:val="00645972"/>
    <w:rsid w:val="0064599D"/>
    <w:rsid w:val="00645BB9"/>
    <w:rsid w:val="00645BEB"/>
    <w:rsid w:val="00645E0B"/>
    <w:rsid w:val="00645F6C"/>
    <w:rsid w:val="00646013"/>
    <w:rsid w:val="006460CC"/>
    <w:rsid w:val="00646243"/>
    <w:rsid w:val="0064642C"/>
    <w:rsid w:val="00646473"/>
    <w:rsid w:val="0064647D"/>
    <w:rsid w:val="00646540"/>
    <w:rsid w:val="0064656E"/>
    <w:rsid w:val="006465CE"/>
    <w:rsid w:val="006465E0"/>
    <w:rsid w:val="006465EF"/>
    <w:rsid w:val="006466CB"/>
    <w:rsid w:val="0064675B"/>
    <w:rsid w:val="00646839"/>
    <w:rsid w:val="00646863"/>
    <w:rsid w:val="00646B9F"/>
    <w:rsid w:val="00646BDF"/>
    <w:rsid w:val="00646DFE"/>
    <w:rsid w:val="006470D4"/>
    <w:rsid w:val="006470F9"/>
    <w:rsid w:val="0064712B"/>
    <w:rsid w:val="00647201"/>
    <w:rsid w:val="00647229"/>
    <w:rsid w:val="00647279"/>
    <w:rsid w:val="0064731D"/>
    <w:rsid w:val="006473D2"/>
    <w:rsid w:val="006473F6"/>
    <w:rsid w:val="00647436"/>
    <w:rsid w:val="00647477"/>
    <w:rsid w:val="00647494"/>
    <w:rsid w:val="006475A4"/>
    <w:rsid w:val="00647621"/>
    <w:rsid w:val="0064777A"/>
    <w:rsid w:val="00647829"/>
    <w:rsid w:val="0064792E"/>
    <w:rsid w:val="00647936"/>
    <w:rsid w:val="006479F1"/>
    <w:rsid w:val="00647A9C"/>
    <w:rsid w:val="00647AAB"/>
    <w:rsid w:val="00647BDE"/>
    <w:rsid w:val="00647E7F"/>
    <w:rsid w:val="00647E80"/>
    <w:rsid w:val="00647F86"/>
    <w:rsid w:val="00647F89"/>
    <w:rsid w:val="00647F90"/>
    <w:rsid w:val="00650058"/>
    <w:rsid w:val="0065033F"/>
    <w:rsid w:val="006503EB"/>
    <w:rsid w:val="0065047F"/>
    <w:rsid w:val="00650485"/>
    <w:rsid w:val="00650552"/>
    <w:rsid w:val="006506D7"/>
    <w:rsid w:val="0065072C"/>
    <w:rsid w:val="00650736"/>
    <w:rsid w:val="00650793"/>
    <w:rsid w:val="00650955"/>
    <w:rsid w:val="006509A4"/>
    <w:rsid w:val="00650B13"/>
    <w:rsid w:val="00650B60"/>
    <w:rsid w:val="00650BB8"/>
    <w:rsid w:val="00650C12"/>
    <w:rsid w:val="00650DB8"/>
    <w:rsid w:val="00650E14"/>
    <w:rsid w:val="00650F47"/>
    <w:rsid w:val="0065107C"/>
    <w:rsid w:val="006510AE"/>
    <w:rsid w:val="006511FF"/>
    <w:rsid w:val="006512BA"/>
    <w:rsid w:val="00651363"/>
    <w:rsid w:val="00651424"/>
    <w:rsid w:val="006514A7"/>
    <w:rsid w:val="00651684"/>
    <w:rsid w:val="006516F6"/>
    <w:rsid w:val="00651833"/>
    <w:rsid w:val="0065184C"/>
    <w:rsid w:val="006518E5"/>
    <w:rsid w:val="00651918"/>
    <w:rsid w:val="006519C6"/>
    <w:rsid w:val="00651A1D"/>
    <w:rsid w:val="00651A28"/>
    <w:rsid w:val="00651B0F"/>
    <w:rsid w:val="00651B10"/>
    <w:rsid w:val="00651B43"/>
    <w:rsid w:val="00651BEA"/>
    <w:rsid w:val="00651E10"/>
    <w:rsid w:val="00651E9F"/>
    <w:rsid w:val="00651ED4"/>
    <w:rsid w:val="0065204D"/>
    <w:rsid w:val="00652131"/>
    <w:rsid w:val="00652135"/>
    <w:rsid w:val="006523A4"/>
    <w:rsid w:val="006523C5"/>
    <w:rsid w:val="006523D4"/>
    <w:rsid w:val="0065248A"/>
    <w:rsid w:val="00652561"/>
    <w:rsid w:val="006525E8"/>
    <w:rsid w:val="00652683"/>
    <w:rsid w:val="00652782"/>
    <w:rsid w:val="006527C6"/>
    <w:rsid w:val="006527D0"/>
    <w:rsid w:val="006528B9"/>
    <w:rsid w:val="006529A7"/>
    <w:rsid w:val="00652B29"/>
    <w:rsid w:val="00652D25"/>
    <w:rsid w:val="00652EEF"/>
    <w:rsid w:val="00652F2C"/>
    <w:rsid w:val="00653039"/>
    <w:rsid w:val="006530C0"/>
    <w:rsid w:val="0065310B"/>
    <w:rsid w:val="0065328D"/>
    <w:rsid w:val="0065334C"/>
    <w:rsid w:val="00653432"/>
    <w:rsid w:val="0065348C"/>
    <w:rsid w:val="006534AE"/>
    <w:rsid w:val="006534D0"/>
    <w:rsid w:val="0065355A"/>
    <w:rsid w:val="0065362E"/>
    <w:rsid w:val="0065364D"/>
    <w:rsid w:val="00653744"/>
    <w:rsid w:val="00653791"/>
    <w:rsid w:val="0065389A"/>
    <w:rsid w:val="006539F5"/>
    <w:rsid w:val="00653A6C"/>
    <w:rsid w:val="00653A8F"/>
    <w:rsid w:val="00653B5E"/>
    <w:rsid w:val="00653E4F"/>
    <w:rsid w:val="00654175"/>
    <w:rsid w:val="006541B0"/>
    <w:rsid w:val="00654228"/>
    <w:rsid w:val="0065443B"/>
    <w:rsid w:val="00654512"/>
    <w:rsid w:val="0065462F"/>
    <w:rsid w:val="006546F3"/>
    <w:rsid w:val="0065470F"/>
    <w:rsid w:val="00654797"/>
    <w:rsid w:val="006547F2"/>
    <w:rsid w:val="0065481E"/>
    <w:rsid w:val="00654892"/>
    <w:rsid w:val="00654913"/>
    <w:rsid w:val="00654DD2"/>
    <w:rsid w:val="00654FF4"/>
    <w:rsid w:val="006551C6"/>
    <w:rsid w:val="006552B5"/>
    <w:rsid w:val="006552F7"/>
    <w:rsid w:val="00655302"/>
    <w:rsid w:val="00655361"/>
    <w:rsid w:val="006553ED"/>
    <w:rsid w:val="0065542E"/>
    <w:rsid w:val="00655604"/>
    <w:rsid w:val="00655691"/>
    <w:rsid w:val="0065579E"/>
    <w:rsid w:val="006557E4"/>
    <w:rsid w:val="0065586C"/>
    <w:rsid w:val="00655966"/>
    <w:rsid w:val="00655BB4"/>
    <w:rsid w:val="00655DE1"/>
    <w:rsid w:val="00655E36"/>
    <w:rsid w:val="00655E4F"/>
    <w:rsid w:val="00655F55"/>
    <w:rsid w:val="00655FDC"/>
    <w:rsid w:val="006560A0"/>
    <w:rsid w:val="0065646B"/>
    <w:rsid w:val="006564A4"/>
    <w:rsid w:val="006567AE"/>
    <w:rsid w:val="006567C2"/>
    <w:rsid w:val="00656821"/>
    <w:rsid w:val="00656B8F"/>
    <w:rsid w:val="00656C3E"/>
    <w:rsid w:val="00656D01"/>
    <w:rsid w:val="00656DC6"/>
    <w:rsid w:val="00656E92"/>
    <w:rsid w:val="00656F8C"/>
    <w:rsid w:val="006570CC"/>
    <w:rsid w:val="0065717E"/>
    <w:rsid w:val="006571E7"/>
    <w:rsid w:val="00657200"/>
    <w:rsid w:val="00657372"/>
    <w:rsid w:val="006573A6"/>
    <w:rsid w:val="0065742E"/>
    <w:rsid w:val="00657483"/>
    <w:rsid w:val="0065755B"/>
    <w:rsid w:val="00657600"/>
    <w:rsid w:val="006576D1"/>
    <w:rsid w:val="006576D3"/>
    <w:rsid w:val="0065770D"/>
    <w:rsid w:val="00657769"/>
    <w:rsid w:val="00657830"/>
    <w:rsid w:val="00657970"/>
    <w:rsid w:val="00657AA7"/>
    <w:rsid w:val="00657AD9"/>
    <w:rsid w:val="00657B2F"/>
    <w:rsid w:val="00657B5E"/>
    <w:rsid w:val="00657C1A"/>
    <w:rsid w:val="00657C1F"/>
    <w:rsid w:val="00657CFC"/>
    <w:rsid w:val="00657D11"/>
    <w:rsid w:val="00657D1F"/>
    <w:rsid w:val="00657D55"/>
    <w:rsid w:val="00657E18"/>
    <w:rsid w:val="00660035"/>
    <w:rsid w:val="00660049"/>
    <w:rsid w:val="006601D2"/>
    <w:rsid w:val="006601F6"/>
    <w:rsid w:val="006603FA"/>
    <w:rsid w:val="0066040E"/>
    <w:rsid w:val="00660552"/>
    <w:rsid w:val="006605CC"/>
    <w:rsid w:val="00660611"/>
    <w:rsid w:val="0066069A"/>
    <w:rsid w:val="006606DD"/>
    <w:rsid w:val="0066078A"/>
    <w:rsid w:val="006607E5"/>
    <w:rsid w:val="0066092F"/>
    <w:rsid w:val="0066095F"/>
    <w:rsid w:val="00660AAF"/>
    <w:rsid w:val="00660B54"/>
    <w:rsid w:val="00660BC3"/>
    <w:rsid w:val="00660BC7"/>
    <w:rsid w:val="00660C18"/>
    <w:rsid w:val="00660C72"/>
    <w:rsid w:val="00660CB5"/>
    <w:rsid w:val="00660EAF"/>
    <w:rsid w:val="006611EE"/>
    <w:rsid w:val="006613BC"/>
    <w:rsid w:val="0066144F"/>
    <w:rsid w:val="006614AB"/>
    <w:rsid w:val="00661556"/>
    <w:rsid w:val="0066163E"/>
    <w:rsid w:val="00661739"/>
    <w:rsid w:val="0066181E"/>
    <w:rsid w:val="0066192C"/>
    <w:rsid w:val="00661D8D"/>
    <w:rsid w:val="00661E05"/>
    <w:rsid w:val="00661E11"/>
    <w:rsid w:val="00661E16"/>
    <w:rsid w:val="00661E24"/>
    <w:rsid w:val="00661E77"/>
    <w:rsid w:val="00661E7E"/>
    <w:rsid w:val="00661E8E"/>
    <w:rsid w:val="00661EBF"/>
    <w:rsid w:val="006620BD"/>
    <w:rsid w:val="00662134"/>
    <w:rsid w:val="0066218F"/>
    <w:rsid w:val="006622CB"/>
    <w:rsid w:val="006623B8"/>
    <w:rsid w:val="00662442"/>
    <w:rsid w:val="0066245C"/>
    <w:rsid w:val="006626BA"/>
    <w:rsid w:val="006627FE"/>
    <w:rsid w:val="00662878"/>
    <w:rsid w:val="00662A3A"/>
    <w:rsid w:val="00662B7E"/>
    <w:rsid w:val="00662B9C"/>
    <w:rsid w:val="00662CAE"/>
    <w:rsid w:val="00662D77"/>
    <w:rsid w:val="00662F75"/>
    <w:rsid w:val="00663194"/>
    <w:rsid w:val="00663403"/>
    <w:rsid w:val="006634B8"/>
    <w:rsid w:val="006634FB"/>
    <w:rsid w:val="00663533"/>
    <w:rsid w:val="006635FF"/>
    <w:rsid w:val="0066386B"/>
    <w:rsid w:val="006638D2"/>
    <w:rsid w:val="006639E3"/>
    <w:rsid w:val="00663AF7"/>
    <w:rsid w:val="00663AFB"/>
    <w:rsid w:val="00663B99"/>
    <w:rsid w:val="00663BA7"/>
    <w:rsid w:val="00663DF4"/>
    <w:rsid w:val="00663EB1"/>
    <w:rsid w:val="00663EEB"/>
    <w:rsid w:val="00663F33"/>
    <w:rsid w:val="00664074"/>
    <w:rsid w:val="0066426C"/>
    <w:rsid w:val="00664457"/>
    <w:rsid w:val="0066447A"/>
    <w:rsid w:val="0066460A"/>
    <w:rsid w:val="0066462E"/>
    <w:rsid w:val="006649E2"/>
    <w:rsid w:val="00664A73"/>
    <w:rsid w:val="00664AED"/>
    <w:rsid w:val="00664B5E"/>
    <w:rsid w:val="00664C2F"/>
    <w:rsid w:val="00664C6F"/>
    <w:rsid w:val="00664CC1"/>
    <w:rsid w:val="00664D1B"/>
    <w:rsid w:val="00664D72"/>
    <w:rsid w:val="00664DA8"/>
    <w:rsid w:val="0066503E"/>
    <w:rsid w:val="006651CD"/>
    <w:rsid w:val="00665323"/>
    <w:rsid w:val="006653CC"/>
    <w:rsid w:val="00665454"/>
    <w:rsid w:val="00665548"/>
    <w:rsid w:val="006656D9"/>
    <w:rsid w:val="0066578F"/>
    <w:rsid w:val="0066581D"/>
    <w:rsid w:val="006658FF"/>
    <w:rsid w:val="00665992"/>
    <w:rsid w:val="00665BFA"/>
    <w:rsid w:val="00665C1E"/>
    <w:rsid w:val="00665C8F"/>
    <w:rsid w:val="00665CAE"/>
    <w:rsid w:val="00665CB2"/>
    <w:rsid w:val="00665EA1"/>
    <w:rsid w:val="00665EE1"/>
    <w:rsid w:val="00665F29"/>
    <w:rsid w:val="0066622B"/>
    <w:rsid w:val="0066623E"/>
    <w:rsid w:val="0066624F"/>
    <w:rsid w:val="006662CC"/>
    <w:rsid w:val="00666339"/>
    <w:rsid w:val="006663DB"/>
    <w:rsid w:val="00666505"/>
    <w:rsid w:val="006665AC"/>
    <w:rsid w:val="006665AF"/>
    <w:rsid w:val="0066668C"/>
    <w:rsid w:val="00666811"/>
    <w:rsid w:val="0066690F"/>
    <w:rsid w:val="00666913"/>
    <w:rsid w:val="00666954"/>
    <w:rsid w:val="006669FE"/>
    <w:rsid w:val="00666AFB"/>
    <w:rsid w:val="00666BC1"/>
    <w:rsid w:val="00666C86"/>
    <w:rsid w:val="00666DBA"/>
    <w:rsid w:val="00666DE2"/>
    <w:rsid w:val="00666EEB"/>
    <w:rsid w:val="00666F39"/>
    <w:rsid w:val="00666FE7"/>
    <w:rsid w:val="00666FFC"/>
    <w:rsid w:val="00667094"/>
    <w:rsid w:val="00667110"/>
    <w:rsid w:val="00667121"/>
    <w:rsid w:val="0066753C"/>
    <w:rsid w:val="006675FF"/>
    <w:rsid w:val="00667715"/>
    <w:rsid w:val="006677DB"/>
    <w:rsid w:val="006678E1"/>
    <w:rsid w:val="00667947"/>
    <w:rsid w:val="0066797E"/>
    <w:rsid w:val="006679EB"/>
    <w:rsid w:val="00667A70"/>
    <w:rsid w:val="00667B86"/>
    <w:rsid w:val="00667BBE"/>
    <w:rsid w:val="00667BF9"/>
    <w:rsid w:val="00667C23"/>
    <w:rsid w:val="00667E0E"/>
    <w:rsid w:val="00667E89"/>
    <w:rsid w:val="006700B1"/>
    <w:rsid w:val="006701BE"/>
    <w:rsid w:val="006701CF"/>
    <w:rsid w:val="006702D5"/>
    <w:rsid w:val="006702F5"/>
    <w:rsid w:val="006702F6"/>
    <w:rsid w:val="00670356"/>
    <w:rsid w:val="0067035B"/>
    <w:rsid w:val="006704B7"/>
    <w:rsid w:val="00670592"/>
    <w:rsid w:val="006706A8"/>
    <w:rsid w:val="006708A3"/>
    <w:rsid w:val="00670942"/>
    <w:rsid w:val="00670A22"/>
    <w:rsid w:val="00670B44"/>
    <w:rsid w:val="00670B7D"/>
    <w:rsid w:val="00670BCE"/>
    <w:rsid w:val="00670C05"/>
    <w:rsid w:val="00670C83"/>
    <w:rsid w:val="00670CA4"/>
    <w:rsid w:val="00670CE3"/>
    <w:rsid w:val="00670E9B"/>
    <w:rsid w:val="0067107E"/>
    <w:rsid w:val="0067117F"/>
    <w:rsid w:val="006711FF"/>
    <w:rsid w:val="0067124E"/>
    <w:rsid w:val="00671277"/>
    <w:rsid w:val="0067137C"/>
    <w:rsid w:val="00671398"/>
    <w:rsid w:val="006716CC"/>
    <w:rsid w:val="006716DC"/>
    <w:rsid w:val="00671741"/>
    <w:rsid w:val="0067176F"/>
    <w:rsid w:val="006717BA"/>
    <w:rsid w:val="006717F9"/>
    <w:rsid w:val="00671867"/>
    <w:rsid w:val="0067189C"/>
    <w:rsid w:val="006719FC"/>
    <w:rsid w:val="00671A49"/>
    <w:rsid w:val="00671ADE"/>
    <w:rsid w:val="00671BCE"/>
    <w:rsid w:val="00671C67"/>
    <w:rsid w:val="00671CE3"/>
    <w:rsid w:val="00671E46"/>
    <w:rsid w:val="00671EC7"/>
    <w:rsid w:val="00672099"/>
    <w:rsid w:val="0067211F"/>
    <w:rsid w:val="006721F7"/>
    <w:rsid w:val="00672213"/>
    <w:rsid w:val="00672316"/>
    <w:rsid w:val="0067239D"/>
    <w:rsid w:val="0067251C"/>
    <w:rsid w:val="00672614"/>
    <w:rsid w:val="006726CF"/>
    <w:rsid w:val="00672790"/>
    <w:rsid w:val="006727B5"/>
    <w:rsid w:val="006727DD"/>
    <w:rsid w:val="0067283B"/>
    <w:rsid w:val="0067290F"/>
    <w:rsid w:val="006729BD"/>
    <w:rsid w:val="00672A3D"/>
    <w:rsid w:val="00672A77"/>
    <w:rsid w:val="00672AF5"/>
    <w:rsid w:val="00672B57"/>
    <w:rsid w:val="00672C18"/>
    <w:rsid w:val="00672C63"/>
    <w:rsid w:val="00672C8A"/>
    <w:rsid w:val="00672CDE"/>
    <w:rsid w:val="00672D1F"/>
    <w:rsid w:val="00672D2A"/>
    <w:rsid w:val="00672DC3"/>
    <w:rsid w:val="0067301F"/>
    <w:rsid w:val="006732C9"/>
    <w:rsid w:val="00673300"/>
    <w:rsid w:val="00673453"/>
    <w:rsid w:val="006737CA"/>
    <w:rsid w:val="006738A7"/>
    <w:rsid w:val="00673BFE"/>
    <w:rsid w:val="00673C91"/>
    <w:rsid w:val="00673DA2"/>
    <w:rsid w:val="00673DC4"/>
    <w:rsid w:val="00673E9F"/>
    <w:rsid w:val="00673F9F"/>
    <w:rsid w:val="00674046"/>
    <w:rsid w:val="0067408C"/>
    <w:rsid w:val="006740F2"/>
    <w:rsid w:val="006746A8"/>
    <w:rsid w:val="006746F5"/>
    <w:rsid w:val="006747DB"/>
    <w:rsid w:val="00674978"/>
    <w:rsid w:val="00674A93"/>
    <w:rsid w:val="00674A9B"/>
    <w:rsid w:val="00674B62"/>
    <w:rsid w:val="00674BC0"/>
    <w:rsid w:val="00674E94"/>
    <w:rsid w:val="00674E9D"/>
    <w:rsid w:val="00674F6C"/>
    <w:rsid w:val="006750BB"/>
    <w:rsid w:val="0067518B"/>
    <w:rsid w:val="0067525F"/>
    <w:rsid w:val="006753FF"/>
    <w:rsid w:val="00675418"/>
    <w:rsid w:val="00675527"/>
    <w:rsid w:val="00675542"/>
    <w:rsid w:val="00675570"/>
    <w:rsid w:val="00675600"/>
    <w:rsid w:val="00675606"/>
    <w:rsid w:val="00675628"/>
    <w:rsid w:val="0067566D"/>
    <w:rsid w:val="006758ED"/>
    <w:rsid w:val="0067590A"/>
    <w:rsid w:val="00675B84"/>
    <w:rsid w:val="00675C8C"/>
    <w:rsid w:val="00675D11"/>
    <w:rsid w:val="00675D21"/>
    <w:rsid w:val="00675FE0"/>
    <w:rsid w:val="0067604C"/>
    <w:rsid w:val="006760CE"/>
    <w:rsid w:val="006762CD"/>
    <w:rsid w:val="00676326"/>
    <w:rsid w:val="006765C5"/>
    <w:rsid w:val="00676783"/>
    <w:rsid w:val="006767F0"/>
    <w:rsid w:val="00676972"/>
    <w:rsid w:val="006769A5"/>
    <w:rsid w:val="00676A8B"/>
    <w:rsid w:val="00676A99"/>
    <w:rsid w:val="00676C6D"/>
    <w:rsid w:val="00676D78"/>
    <w:rsid w:val="00676F26"/>
    <w:rsid w:val="00676F79"/>
    <w:rsid w:val="00676FAA"/>
    <w:rsid w:val="00676FE6"/>
    <w:rsid w:val="00676FF4"/>
    <w:rsid w:val="00677324"/>
    <w:rsid w:val="0067738D"/>
    <w:rsid w:val="00677633"/>
    <w:rsid w:val="00677658"/>
    <w:rsid w:val="0067767F"/>
    <w:rsid w:val="00677863"/>
    <w:rsid w:val="00677931"/>
    <w:rsid w:val="00677BB9"/>
    <w:rsid w:val="00677C36"/>
    <w:rsid w:val="00677D6F"/>
    <w:rsid w:val="00677E46"/>
    <w:rsid w:val="00680082"/>
    <w:rsid w:val="0068009A"/>
    <w:rsid w:val="00680232"/>
    <w:rsid w:val="006802A5"/>
    <w:rsid w:val="00680364"/>
    <w:rsid w:val="00680516"/>
    <w:rsid w:val="006805FF"/>
    <w:rsid w:val="0068077B"/>
    <w:rsid w:val="006807D0"/>
    <w:rsid w:val="0068083D"/>
    <w:rsid w:val="00680925"/>
    <w:rsid w:val="00680941"/>
    <w:rsid w:val="0068095B"/>
    <w:rsid w:val="00680B14"/>
    <w:rsid w:val="00680B50"/>
    <w:rsid w:val="00680E77"/>
    <w:rsid w:val="00680F5C"/>
    <w:rsid w:val="00680FC7"/>
    <w:rsid w:val="006810B5"/>
    <w:rsid w:val="0068129D"/>
    <w:rsid w:val="00681358"/>
    <w:rsid w:val="006813B3"/>
    <w:rsid w:val="00681481"/>
    <w:rsid w:val="00681484"/>
    <w:rsid w:val="00681487"/>
    <w:rsid w:val="006814D9"/>
    <w:rsid w:val="00681635"/>
    <w:rsid w:val="00681703"/>
    <w:rsid w:val="00681871"/>
    <w:rsid w:val="006818F4"/>
    <w:rsid w:val="006819D2"/>
    <w:rsid w:val="00681A02"/>
    <w:rsid w:val="00681A51"/>
    <w:rsid w:val="00681A6D"/>
    <w:rsid w:val="00681B52"/>
    <w:rsid w:val="00681C1D"/>
    <w:rsid w:val="00681F13"/>
    <w:rsid w:val="00681FA3"/>
    <w:rsid w:val="006820AB"/>
    <w:rsid w:val="00682126"/>
    <w:rsid w:val="00682282"/>
    <w:rsid w:val="0068236C"/>
    <w:rsid w:val="006823C0"/>
    <w:rsid w:val="006824B1"/>
    <w:rsid w:val="006824C6"/>
    <w:rsid w:val="00682586"/>
    <w:rsid w:val="0068270B"/>
    <w:rsid w:val="0068284D"/>
    <w:rsid w:val="00682904"/>
    <w:rsid w:val="00682995"/>
    <w:rsid w:val="006829AD"/>
    <w:rsid w:val="00682C4D"/>
    <w:rsid w:val="00682D64"/>
    <w:rsid w:val="00682EEB"/>
    <w:rsid w:val="00682F28"/>
    <w:rsid w:val="00682FCC"/>
    <w:rsid w:val="0068303C"/>
    <w:rsid w:val="00683103"/>
    <w:rsid w:val="00683109"/>
    <w:rsid w:val="006831A2"/>
    <w:rsid w:val="006831D2"/>
    <w:rsid w:val="006831EE"/>
    <w:rsid w:val="006831FF"/>
    <w:rsid w:val="0068324F"/>
    <w:rsid w:val="00683337"/>
    <w:rsid w:val="0068335F"/>
    <w:rsid w:val="00683374"/>
    <w:rsid w:val="0068355F"/>
    <w:rsid w:val="006836EE"/>
    <w:rsid w:val="0068373B"/>
    <w:rsid w:val="00683A45"/>
    <w:rsid w:val="00683C96"/>
    <w:rsid w:val="00683DEB"/>
    <w:rsid w:val="00683E02"/>
    <w:rsid w:val="00683FB7"/>
    <w:rsid w:val="00683FEA"/>
    <w:rsid w:val="0068410D"/>
    <w:rsid w:val="0068426F"/>
    <w:rsid w:val="00684356"/>
    <w:rsid w:val="0068437C"/>
    <w:rsid w:val="00684449"/>
    <w:rsid w:val="006844D7"/>
    <w:rsid w:val="006844E7"/>
    <w:rsid w:val="006844F7"/>
    <w:rsid w:val="0068450D"/>
    <w:rsid w:val="006845AC"/>
    <w:rsid w:val="006845CE"/>
    <w:rsid w:val="00684692"/>
    <w:rsid w:val="006846D7"/>
    <w:rsid w:val="0068473C"/>
    <w:rsid w:val="006847AB"/>
    <w:rsid w:val="006848CD"/>
    <w:rsid w:val="00684910"/>
    <w:rsid w:val="006849D1"/>
    <w:rsid w:val="00684AB0"/>
    <w:rsid w:val="00684C6F"/>
    <w:rsid w:val="00684D01"/>
    <w:rsid w:val="00684D9E"/>
    <w:rsid w:val="00684E58"/>
    <w:rsid w:val="00684F16"/>
    <w:rsid w:val="00684FF7"/>
    <w:rsid w:val="00684FFB"/>
    <w:rsid w:val="00685029"/>
    <w:rsid w:val="0068503D"/>
    <w:rsid w:val="0068518E"/>
    <w:rsid w:val="00685200"/>
    <w:rsid w:val="006852DF"/>
    <w:rsid w:val="006853FB"/>
    <w:rsid w:val="006854D7"/>
    <w:rsid w:val="0068555C"/>
    <w:rsid w:val="00685592"/>
    <w:rsid w:val="006855BB"/>
    <w:rsid w:val="0068561A"/>
    <w:rsid w:val="00685735"/>
    <w:rsid w:val="00685809"/>
    <w:rsid w:val="00685888"/>
    <w:rsid w:val="0068588F"/>
    <w:rsid w:val="006858FC"/>
    <w:rsid w:val="00685988"/>
    <w:rsid w:val="006859C1"/>
    <w:rsid w:val="00685A1E"/>
    <w:rsid w:val="00685C0B"/>
    <w:rsid w:val="00685C41"/>
    <w:rsid w:val="00685C6E"/>
    <w:rsid w:val="00685D7A"/>
    <w:rsid w:val="00685DB1"/>
    <w:rsid w:val="00685E70"/>
    <w:rsid w:val="00685F37"/>
    <w:rsid w:val="00685F88"/>
    <w:rsid w:val="00685FD5"/>
    <w:rsid w:val="006860E4"/>
    <w:rsid w:val="00686172"/>
    <w:rsid w:val="00686213"/>
    <w:rsid w:val="006863CC"/>
    <w:rsid w:val="00686418"/>
    <w:rsid w:val="006864AE"/>
    <w:rsid w:val="006865C4"/>
    <w:rsid w:val="0068663B"/>
    <w:rsid w:val="0068669E"/>
    <w:rsid w:val="006866BE"/>
    <w:rsid w:val="006866DF"/>
    <w:rsid w:val="00686820"/>
    <w:rsid w:val="006868B8"/>
    <w:rsid w:val="00686940"/>
    <w:rsid w:val="0068697F"/>
    <w:rsid w:val="00686AA4"/>
    <w:rsid w:val="00686AED"/>
    <w:rsid w:val="00686B71"/>
    <w:rsid w:val="00686C62"/>
    <w:rsid w:val="00686EFF"/>
    <w:rsid w:val="00686F64"/>
    <w:rsid w:val="00686FBA"/>
    <w:rsid w:val="00686FBC"/>
    <w:rsid w:val="006870FC"/>
    <w:rsid w:val="006871F6"/>
    <w:rsid w:val="00687381"/>
    <w:rsid w:val="00687508"/>
    <w:rsid w:val="00687560"/>
    <w:rsid w:val="006879AD"/>
    <w:rsid w:val="00687AA1"/>
    <w:rsid w:val="00687DEA"/>
    <w:rsid w:val="00687E25"/>
    <w:rsid w:val="00687EAD"/>
    <w:rsid w:val="0069007B"/>
    <w:rsid w:val="00690116"/>
    <w:rsid w:val="0069018C"/>
    <w:rsid w:val="006901B8"/>
    <w:rsid w:val="00690259"/>
    <w:rsid w:val="00690288"/>
    <w:rsid w:val="006904CA"/>
    <w:rsid w:val="0069052D"/>
    <w:rsid w:val="0069068D"/>
    <w:rsid w:val="006908BD"/>
    <w:rsid w:val="006909AE"/>
    <w:rsid w:val="00690ABD"/>
    <w:rsid w:val="00690B06"/>
    <w:rsid w:val="00690C55"/>
    <w:rsid w:val="00690EB1"/>
    <w:rsid w:val="00690EC1"/>
    <w:rsid w:val="00690F26"/>
    <w:rsid w:val="00690F6B"/>
    <w:rsid w:val="006912DB"/>
    <w:rsid w:val="006912FF"/>
    <w:rsid w:val="00691380"/>
    <w:rsid w:val="00691415"/>
    <w:rsid w:val="0069142D"/>
    <w:rsid w:val="00691456"/>
    <w:rsid w:val="00691484"/>
    <w:rsid w:val="0069168A"/>
    <w:rsid w:val="0069168C"/>
    <w:rsid w:val="0069175C"/>
    <w:rsid w:val="006917BD"/>
    <w:rsid w:val="006917D2"/>
    <w:rsid w:val="00691904"/>
    <w:rsid w:val="0069199D"/>
    <w:rsid w:val="00691AED"/>
    <w:rsid w:val="00691BE3"/>
    <w:rsid w:val="00691BF5"/>
    <w:rsid w:val="00691C32"/>
    <w:rsid w:val="00691CC1"/>
    <w:rsid w:val="00691EA4"/>
    <w:rsid w:val="00691EEF"/>
    <w:rsid w:val="00691FDB"/>
    <w:rsid w:val="0069202F"/>
    <w:rsid w:val="00692069"/>
    <w:rsid w:val="006920A1"/>
    <w:rsid w:val="006920D5"/>
    <w:rsid w:val="0069211C"/>
    <w:rsid w:val="00692130"/>
    <w:rsid w:val="006922B2"/>
    <w:rsid w:val="006922E2"/>
    <w:rsid w:val="006924E7"/>
    <w:rsid w:val="006925C2"/>
    <w:rsid w:val="006926AD"/>
    <w:rsid w:val="0069271F"/>
    <w:rsid w:val="006927AD"/>
    <w:rsid w:val="006927E4"/>
    <w:rsid w:val="006928A5"/>
    <w:rsid w:val="00692902"/>
    <w:rsid w:val="00692A90"/>
    <w:rsid w:val="00692AB9"/>
    <w:rsid w:val="00692AC9"/>
    <w:rsid w:val="00692B18"/>
    <w:rsid w:val="00692B2E"/>
    <w:rsid w:val="00692BEE"/>
    <w:rsid w:val="00692C13"/>
    <w:rsid w:val="00692D84"/>
    <w:rsid w:val="00692EA7"/>
    <w:rsid w:val="00692F42"/>
    <w:rsid w:val="006931AD"/>
    <w:rsid w:val="00693345"/>
    <w:rsid w:val="00693395"/>
    <w:rsid w:val="0069339D"/>
    <w:rsid w:val="006934CB"/>
    <w:rsid w:val="00693546"/>
    <w:rsid w:val="006935B0"/>
    <w:rsid w:val="00693646"/>
    <w:rsid w:val="0069365E"/>
    <w:rsid w:val="00693712"/>
    <w:rsid w:val="00693774"/>
    <w:rsid w:val="00693829"/>
    <w:rsid w:val="00693A11"/>
    <w:rsid w:val="00693A39"/>
    <w:rsid w:val="00693B1C"/>
    <w:rsid w:val="00693B5B"/>
    <w:rsid w:val="00693C6B"/>
    <w:rsid w:val="00693CF2"/>
    <w:rsid w:val="00693D06"/>
    <w:rsid w:val="00693D5D"/>
    <w:rsid w:val="0069404C"/>
    <w:rsid w:val="00694129"/>
    <w:rsid w:val="0069412B"/>
    <w:rsid w:val="0069438E"/>
    <w:rsid w:val="006944A5"/>
    <w:rsid w:val="0069451C"/>
    <w:rsid w:val="00694752"/>
    <w:rsid w:val="006947A8"/>
    <w:rsid w:val="00694816"/>
    <w:rsid w:val="0069485B"/>
    <w:rsid w:val="0069496B"/>
    <w:rsid w:val="0069498F"/>
    <w:rsid w:val="00694A49"/>
    <w:rsid w:val="00694B1B"/>
    <w:rsid w:val="00694BE0"/>
    <w:rsid w:val="00694F00"/>
    <w:rsid w:val="00694F06"/>
    <w:rsid w:val="00695040"/>
    <w:rsid w:val="00695082"/>
    <w:rsid w:val="006951CE"/>
    <w:rsid w:val="006951F8"/>
    <w:rsid w:val="00695367"/>
    <w:rsid w:val="00695584"/>
    <w:rsid w:val="006955DE"/>
    <w:rsid w:val="006957FB"/>
    <w:rsid w:val="006959C2"/>
    <w:rsid w:val="006959E8"/>
    <w:rsid w:val="00695A40"/>
    <w:rsid w:val="00695A91"/>
    <w:rsid w:val="00695B85"/>
    <w:rsid w:val="00695C15"/>
    <w:rsid w:val="00695C2E"/>
    <w:rsid w:val="00695C73"/>
    <w:rsid w:val="00695EC4"/>
    <w:rsid w:val="00696000"/>
    <w:rsid w:val="00696010"/>
    <w:rsid w:val="0069618C"/>
    <w:rsid w:val="00696202"/>
    <w:rsid w:val="00696245"/>
    <w:rsid w:val="00696340"/>
    <w:rsid w:val="00696381"/>
    <w:rsid w:val="006964EF"/>
    <w:rsid w:val="006964FC"/>
    <w:rsid w:val="0069675D"/>
    <w:rsid w:val="00696874"/>
    <w:rsid w:val="00696882"/>
    <w:rsid w:val="006968C6"/>
    <w:rsid w:val="006968F5"/>
    <w:rsid w:val="00696908"/>
    <w:rsid w:val="00696B03"/>
    <w:rsid w:val="00696B7B"/>
    <w:rsid w:val="00696C3D"/>
    <w:rsid w:val="00696CD6"/>
    <w:rsid w:val="00696D8C"/>
    <w:rsid w:val="00696E8C"/>
    <w:rsid w:val="00696F8C"/>
    <w:rsid w:val="00696FF5"/>
    <w:rsid w:val="00697179"/>
    <w:rsid w:val="006972D3"/>
    <w:rsid w:val="0069732B"/>
    <w:rsid w:val="00697369"/>
    <w:rsid w:val="006973EE"/>
    <w:rsid w:val="006973F4"/>
    <w:rsid w:val="00697435"/>
    <w:rsid w:val="006975A7"/>
    <w:rsid w:val="006975C4"/>
    <w:rsid w:val="00697721"/>
    <w:rsid w:val="00697899"/>
    <w:rsid w:val="006978B9"/>
    <w:rsid w:val="006979E0"/>
    <w:rsid w:val="00697BCE"/>
    <w:rsid w:val="00697C51"/>
    <w:rsid w:val="00697CA8"/>
    <w:rsid w:val="00697DD8"/>
    <w:rsid w:val="00697EC8"/>
    <w:rsid w:val="00697FB4"/>
    <w:rsid w:val="006A00FC"/>
    <w:rsid w:val="006A0122"/>
    <w:rsid w:val="006A01A8"/>
    <w:rsid w:val="006A0469"/>
    <w:rsid w:val="006A0483"/>
    <w:rsid w:val="006A04A6"/>
    <w:rsid w:val="006A06D5"/>
    <w:rsid w:val="006A06E3"/>
    <w:rsid w:val="006A0700"/>
    <w:rsid w:val="006A082F"/>
    <w:rsid w:val="006A08A6"/>
    <w:rsid w:val="006A08C3"/>
    <w:rsid w:val="006A0931"/>
    <w:rsid w:val="006A09AC"/>
    <w:rsid w:val="006A0A87"/>
    <w:rsid w:val="006A0B10"/>
    <w:rsid w:val="006A0B23"/>
    <w:rsid w:val="006A0B3A"/>
    <w:rsid w:val="006A0B73"/>
    <w:rsid w:val="006A0BA7"/>
    <w:rsid w:val="006A0C49"/>
    <w:rsid w:val="006A0D66"/>
    <w:rsid w:val="006A0DA2"/>
    <w:rsid w:val="006A0F0C"/>
    <w:rsid w:val="006A1066"/>
    <w:rsid w:val="006A1174"/>
    <w:rsid w:val="006A12D8"/>
    <w:rsid w:val="006A1336"/>
    <w:rsid w:val="006A1388"/>
    <w:rsid w:val="006A1508"/>
    <w:rsid w:val="006A150C"/>
    <w:rsid w:val="006A1541"/>
    <w:rsid w:val="006A1602"/>
    <w:rsid w:val="006A16D2"/>
    <w:rsid w:val="006A1A40"/>
    <w:rsid w:val="006A1CFB"/>
    <w:rsid w:val="006A1D4D"/>
    <w:rsid w:val="006A1E34"/>
    <w:rsid w:val="006A1E93"/>
    <w:rsid w:val="006A1E9B"/>
    <w:rsid w:val="006A2075"/>
    <w:rsid w:val="006A216A"/>
    <w:rsid w:val="006A2172"/>
    <w:rsid w:val="006A21A9"/>
    <w:rsid w:val="006A24B7"/>
    <w:rsid w:val="006A2522"/>
    <w:rsid w:val="006A25BF"/>
    <w:rsid w:val="006A27BA"/>
    <w:rsid w:val="006A27E6"/>
    <w:rsid w:val="006A286A"/>
    <w:rsid w:val="006A2A9F"/>
    <w:rsid w:val="006A2B4B"/>
    <w:rsid w:val="006A2B72"/>
    <w:rsid w:val="006A2CF8"/>
    <w:rsid w:val="006A2D9F"/>
    <w:rsid w:val="006A2ED1"/>
    <w:rsid w:val="006A2F88"/>
    <w:rsid w:val="006A2FC2"/>
    <w:rsid w:val="006A3042"/>
    <w:rsid w:val="006A3056"/>
    <w:rsid w:val="006A305C"/>
    <w:rsid w:val="006A32AC"/>
    <w:rsid w:val="006A3300"/>
    <w:rsid w:val="006A3425"/>
    <w:rsid w:val="006A34B8"/>
    <w:rsid w:val="006A35D0"/>
    <w:rsid w:val="006A367B"/>
    <w:rsid w:val="006A36A7"/>
    <w:rsid w:val="006A36FD"/>
    <w:rsid w:val="006A37D7"/>
    <w:rsid w:val="006A3A1A"/>
    <w:rsid w:val="006A3A31"/>
    <w:rsid w:val="006A3B7F"/>
    <w:rsid w:val="006A3D6D"/>
    <w:rsid w:val="006A3DC1"/>
    <w:rsid w:val="006A3DFE"/>
    <w:rsid w:val="006A3E61"/>
    <w:rsid w:val="006A3EC0"/>
    <w:rsid w:val="006A42BB"/>
    <w:rsid w:val="006A4349"/>
    <w:rsid w:val="006A4428"/>
    <w:rsid w:val="006A4645"/>
    <w:rsid w:val="006A46B2"/>
    <w:rsid w:val="006A46FA"/>
    <w:rsid w:val="006A471C"/>
    <w:rsid w:val="006A483E"/>
    <w:rsid w:val="006A484B"/>
    <w:rsid w:val="006A4946"/>
    <w:rsid w:val="006A4957"/>
    <w:rsid w:val="006A495A"/>
    <w:rsid w:val="006A4974"/>
    <w:rsid w:val="006A4A7B"/>
    <w:rsid w:val="006A4B59"/>
    <w:rsid w:val="006A4C70"/>
    <w:rsid w:val="006A4DA8"/>
    <w:rsid w:val="006A4F7B"/>
    <w:rsid w:val="006A4F93"/>
    <w:rsid w:val="006A4FCB"/>
    <w:rsid w:val="006A5027"/>
    <w:rsid w:val="006A5036"/>
    <w:rsid w:val="006A50C9"/>
    <w:rsid w:val="006A50CA"/>
    <w:rsid w:val="006A50E6"/>
    <w:rsid w:val="006A5176"/>
    <w:rsid w:val="006A518A"/>
    <w:rsid w:val="006A51B1"/>
    <w:rsid w:val="006A51B6"/>
    <w:rsid w:val="006A51EA"/>
    <w:rsid w:val="006A545D"/>
    <w:rsid w:val="006A54DB"/>
    <w:rsid w:val="006A55D5"/>
    <w:rsid w:val="006A585F"/>
    <w:rsid w:val="006A58F7"/>
    <w:rsid w:val="006A5983"/>
    <w:rsid w:val="006A59AE"/>
    <w:rsid w:val="006A5AFF"/>
    <w:rsid w:val="006A5BFA"/>
    <w:rsid w:val="006A5D9C"/>
    <w:rsid w:val="006A5DF9"/>
    <w:rsid w:val="006A5EA3"/>
    <w:rsid w:val="006A5EFD"/>
    <w:rsid w:val="006A5F4F"/>
    <w:rsid w:val="006A612C"/>
    <w:rsid w:val="006A61CF"/>
    <w:rsid w:val="006A632D"/>
    <w:rsid w:val="006A63DE"/>
    <w:rsid w:val="006A6401"/>
    <w:rsid w:val="006A6A2F"/>
    <w:rsid w:val="006A6AE3"/>
    <w:rsid w:val="006A6C04"/>
    <w:rsid w:val="006A6C31"/>
    <w:rsid w:val="006A6C91"/>
    <w:rsid w:val="006A6CD7"/>
    <w:rsid w:val="006A6D34"/>
    <w:rsid w:val="006A6F39"/>
    <w:rsid w:val="006A7144"/>
    <w:rsid w:val="006A716A"/>
    <w:rsid w:val="006A71FB"/>
    <w:rsid w:val="006A7226"/>
    <w:rsid w:val="006A7482"/>
    <w:rsid w:val="006A748B"/>
    <w:rsid w:val="006A74D1"/>
    <w:rsid w:val="006A783B"/>
    <w:rsid w:val="006A79E7"/>
    <w:rsid w:val="006A7A9F"/>
    <w:rsid w:val="006A7B02"/>
    <w:rsid w:val="006A7B9B"/>
    <w:rsid w:val="006A7D28"/>
    <w:rsid w:val="006A7DEF"/>
    <w:rsid w:val="006A7E10"/>
    <w:rsid w:val="006A7EA3"/>
    <w:rsid w:val="006A7EED"/>
    <w:rsid w:val="006A7F1C"/>
    <w:rsid w:val="006A7F7B"/>
    <w:rsid w:val="006B007B"/>
    <w:rsid w:val="006B00E0"/>
    <w:rsid w:val="006B010A"/>
    <w:rsid w:val="006B01DD"/>
    <w:rsid w:val="006B026F"/>
    <w:rsid w:val="006B0310"/>
    <w:rsid w:val="006B04D2"/>
    <w:rsid w:val="006B058A"/>
    <w:rsid w:val="006B0597"/>
    <w:rsid w:val="006B0710"/>
    <w:rsid w:val="006B07FE"/>
    <w:rsid w:val="006B094D"/>
    <w:rsid w:val="006B0A00"/>
    <w:rsid w:val="006B0DA7"/>
    <w:rsid w:val="006B0F94"/>
    <w:rsid w:val="006B1022"/>
    <w:rsid w:val="006B108A"/>
    <w:rsid w:val="006B1220"/>
    <w:rsid w:val="006B1222"/>
    <w:rsid w:val="006B13AC"/>
    <w:rsid w:val="006B1463"/>
    <w:rsid w:val="006B1480"/>
    <w:rsid w:val="006B14D9"/>
    <w:rsid w:val="006B1613"/>
    <w:rsid w:val="006B163E"/>
    <w:rsid w:val="006B1713"/>
    <w:rsid w:val="006B17A4"/>
    <w:rsid w:val="006B182A"/>
    <w:rsid w:val="006B182F"/>
    <w:rsid w:val="006B19EA"/>
    <w:rsid w:val="006B1A6D"/>
    <w:rsid w:val="006B1B8A"/>
    <w:rsid w:val="006B1C0B"/>
    <w:rsid w:val="006B1C0D"/>
    <w:rsid w:val="006B1C15"/>
    <w:rsid w:val="006B1D31"/>
    <w:rsid w:val="006B1E99"/>
    <w:rsid w:val="006B1EF9"/>
    <w:rsid w:val="006B1F3F"/>
    <w:rsid w:val="006B21B1"/>
    <w:rsid w:val="006B220A"/>
    <w:rsid w:val="006B22A2"/>
    <w:rsid w:val="006B22D6"/>
    <w:rsid w:val="006B231D"/>
    <w:rsid w:val="006B2367"/>
    <w:rsid w:val="006B24C7"/>
    <w:rsid w:val="006B251A"/>
    <w:rsid w:val="006B25DB"/>
    <w:rsid w:val="006B279D"/>
    <w:rsid w:val="006B284A"/>
    <w:rsid w:val="006B2951"/>
    <w:rsid w:val="006B298E"/>
    <w:rsid w:val="006B2BC6"/>
    <w:rsid w:val="006B2C58"/>
    <w:rsid w:val="006B2C72"/>
    <w:rsid w:val="006B2EF4"/>
    <w:rsid w:val="006B2F1E"/>
    <w:rsid w:val="006B2FAB"/>
    <w:rsid w:val="006B3110"/>
    <w:rsid w:val="006B31DF"/>
    <w:rsid w:val="006B320B"/>
    <w:rsid w:val="006B3254"/>
    <w:rsid w:val="006B3282"/>
    <w:rsid w:val="006B32A7"/>
    <w:rsid w:val="006B335B"/>
    <w:rsid w:val="006B338E"/>
    <w:rsid w:val="006B3415"/>
    <w:rsid w:val="006B344A"/>
    <w:rsid w:val="006B34C8"/>
    <w:rsid w:val="006B35CD"/>
    <w:rsid w:val="006B35EF"/>
    <w:rsid w:val="006B3920"/>
    <w:rsid w:val="006B3950"/>
    <w:rsid w:val="006B3966"/>
    <w:rsid w:val="006B39BF"/>
    <w:rsid w:val="006B3C0A"/>
    <w:rsid w:val="006B3C6E"/>
    <w:rsid w:val="006B3D01"/>
    <w:rsid w:val="006B3D27"/>
    <w:rsid w:val="006B3D5C"/>
    <w:rsid w:val="006B3D72"/>
    <w:rsid w:val="006B3D90"/>
    <w:rsid w:val="006B3F9F"/>
    <w:rsid w:val="006B40A5"/>
    <w:rsid w:val="006B41E3"/>
    <w:rsid w:val="006B4231"/>
    <w:rsid w:val="006B4288"/>
    <w:rsid w:val="006B428B"/>
    <w:rsid w:val="006B428C"/>
    <w:rsid w:val="006B4396"/>
    <w:rsid w:val="006B441E"/>
    <w:rsid w:val="006B44FF"/>
    <w:rsid w:val="006B4543"/>
    <w:rsid w:val="006B46B1"/>
    <w:rsid w:val="006B4773"/>
    <w:rsid w:val="006B4823"/>
    <w:rsid w:val="006B4853"/>
    <w:rsid w:val="006B4864"/>
    <w:rsid w:val="006B4972"/>
    <w:rsid w:val="006B497C"/>
    <w:rsid w:val="006B4A67"/>
    <w:rsid w:val="006B4C98"/>
    <w:rsid w:val="006B4D88"/>
    <w:rsid w:val="006B4E28"/>
    <w:rsid w:val="006B4EE1"/>
    <w:rsid w:val="006B4F13"/>
    <w:rsid w:val="006B5097"/>
    <w:rsid w:val="006B511A"/>
    <w:rsid w:val="006B517E"/>
    <w:rsid w:val="006B5275"/>
    <w:rsid w:val="006B538A"/>
    <w:rsid w:val="006B57D3"/>
    <w:rsid w:val="006B58D0"/>
    <w:rsid w:val="006B596A"/>
    <w:rsid w:val="006B59B2"/>
    <w:rsid w:val="006B5A81"/>
    <w:rsid w:val="006B5B95"/>
    <w:rsid w:val="006B5C60"/>
    <w:rsid w:val="006B5CD6"/>
    <w:rsid w:val="006B5D1F"/>
    <w:rsid w:val="006B5D5F"/>
    <w:rsid w:val="006B5D6D"/>
    <w:rsid w:val="006B5EEC"/>
    <w:rsid w:val="006B5F84"/>
    <w:rsid w:val="006B6102"/>
    <w:rsid w:val="006B6190"/>
    <w:rsid w:val="006B619D"/>
    <w:rsid w:val="006B63BC"/>
    <w:rsid w:val="006B6429"/>
    <w:rsid w:val="006B6534"/>
    <w:rsid w:val="006B664B"/>
    <w:rsid w:val="006B66B7"/>
    <w:rsid w:val="006B673C"/>
    <w:rsid w:val="006B674E"/>
    <w:rsid w:val="006B6820"/>
    <w:rsid w:val="006B6886"/>
    <w:rsid w:val="006B6A11"/>
    <w:rsid w:val="006B6B7E"/>
    <w:rsid w:val="006B6C15"/>
    <w:rsid w:val="006B6D1D"/>
    <w:rsid w:val="006B703D"/>
    <w:rsid w:val="006B706A"/>
    <w:rsid w:val="006B7369"/>
    <w:rsid w:val="006B749A"/>
    <w:rsid w:val="006B7514"/>
    <w:rsid w:val="006B768B"/>
    <w:rsid w:val="006B7698"/>
    <w:rsid w:val="006B799F"/>
    <w:rsid w:val="006B7B8C"/>
    <w:rsid w:val="006B7BC4"/>
    <w:rsid w:val="006B7CAB"/>
    <w:rsid w:val="006B7DE6"/>
    <w:rsid w:val="006B7EF3"/>
    <w:rsid w:val="006C00C0"/>
    <w:rsid w:val="006C01B5"/>
    <w:rsid w:val="006C02A3"/>
    <w:rsid w:val="006C042C"/>
    <w:rsid w:val="006C07AA"/>
    <w:rsid w:val="006C081C"/>
    <w:rsid w:val="006C08A4"/>
    <w:rsid w:val="006C09C3"/>
    <w:rsid w:val="006C09F6"/>
    <w:rsid w:val="006C0A74"/>
    <w:rsid w:val="006C0E5F"/>
    <w:rsid w:val="006C100D"/>
    <w:rsid w:val="006C108C"/>
    <w:rsid w:val="006C111C"/>
    <w:rsid w:val="006C11EE"/>
    <w:rsid w:val="006C12C6"/>
    <w:rsid w:val="006C1338"/>
    <w:rsid w:val="006C13B0"/>
    <w:rsid w:val="006C1530"/>
    <w:rsid w:val="006C16A7"/>
    <w:rsid w:val="006C1784"/>
    <w:rsid w:val="006C197C"/>
    <w:rsid w:val="006C198F"/>
    <w:rsid w:val="006C19A3"/>
    <w:rsid w:val="006C19B9"/>
    <w:rsid w:val="006C1A88"/>
    <w:rsid w:val="006C1AAE"/>
    <w:rsid w:val="006C1AE6"/>
    <w:rsid w:val="006C1B0C"/>
    <w:rsid w:val="006C1B43"/>
    <w:rsid w:val="006C1C54"/>
    <w:rsid w:val="006C1CDA"/>
    <w:rsid w:val="006C1D5F"/>
    <w:rsid w:val="006C1DBB"/>
    <w:rsid w:val="006C1F97"/>
    <w:rsid w:val="006C2045"/>
    <w:rsid w:val="006C2127"/>
    <w:rsid w:val="006C215B"/>
    <w:rsid w:val="006C2176"/>
    <w:rsid w:val="006C21A2"/>
    <w:rsid w:val="006C2394"/>
    <w:rsid w:val="006C23C1"/>
    <w:rsid w:val="006C283E"/>
    <w:rsid w:val="006C28B2"/>
    <w:rsid w:val="006C2A10"/>
    <w:rsid w:val="006C2B9D"/>
    <w:rsid w:val="006C2BB7"/>
    <w:rsid w:val="006C2C13"/>
    <w:rsid w:val="006C2C3A"/>
    <w:rsid w:val="006C2C83"/>
    <w:rsid w:val="006C2D99"/>
    <w:rsid w:val="006C2E98"/>
    <w:rsid w:val="006C2F26"/>
    <w:rsid w:val="006C2F8E"/>
    <w:rsid w:val="006C3083"/>
    <w:rsid w:val="006C32C2"/>
    <w:rsid w:val="006C32DE"/>
    <w:rsid w:val="006C3321"/>
    <w:rsid w:val="006C3542"/>
    <w:rsid w:val="006C362E"/>
    <w:rsid w:val="006C3657"/>
    <w:rsid w:val="006C377C"/>
    <w:rsid w:val="006C3799"/>
    <w:rsid w:val="006C38BF"/>
    <w:rsid w:val="006C39FF"/>
    <w:rsid w:val="006C3A23"/>
    <w:rsid w:val="006C3CAC"/>
    <w:rsid w:val="006C3DE0"/>
    <w:rsid w:val="006C3E94"/>
    <w:rsid w:val="006C3F29"/>
    <w:rsid w:val="006C3F85"/>
    <w:rsid w:val="006C40AC"/>
    <w:rsid w:val="006C42BA"/>
    <w:rsid w:val="006C44A3"/>
    <w:rsid w:val="006C4623"/>
    <w:rsid w:val="006C46C0"/>
    <w:rsid w:val="006C4715"/>
    <w:rsid w:val="006C477B"/>
    <w:rsid w:val="006C4A74"/>
    <w:rsid w:val="006C4A87"/>
    <w:rsid w:val="006C4ABE"/>
    <w:rsid w:val="006C4CCF"/>
    <w:rsid w:val="006C4CFB"/>
    <w:rsid w:val="006C4D94"/>
    <w:rsid w:val="006C4F1C"/>
    <w:rsid w:val="006C4F43"/>
    <w:rsid w:val="006C4FD3"/>
    <w:rsid w:val="006C502E"/>
    <w:rsid w:val="006C5145"/>
    <w:rsid w:val="006C51F8"/>
    <w:rsid w:val="006C523D"/>
    <w:rsid w:val="006C528C"/>
    <w:rsid w:val="006C52C6"/>
    <w:rsid w:val="006C53FE"/>
    <w:rsid w:val="006C5534"/>
    <w:rsid w:val="006C5685"/>
    <w:rsid w:val="006C5813"/>
    <w:rsid w:val="006C585E"/>
    <w:rsid w:val="006C5865"/>
    <w:rsid w:val="006C5873"/>
    <w:rsid w:val="006C5998"/>
    <w:rsid w:val="006C5A86"/>
    <w:rsid w:val="006C5B24"/>
    <w:rsid w:val="006C5C22"/>
    <w:rsid w:val="006C5D68"/>
    <w:rsid w:val="006C5DA3"/>
    <w:rsid w:val="006C5E5E"/>
    <w:rsid w:val="006C604D"/>
    <w:rsid w:val="006C6054"/>
    <w:rsid w:val="006C612A"/>
    <w:rsid w:val="006C6215"/>
    <w:rsid w:val="006C6275"/>
    <w:rsid w:val="006C6366"/>
    <w:rsid w:val="006C6411"/>
    <w:rsid w:val="006C645B"/>
    <w:rsid w:val="006C6559"/>
    <w:rsid w:val="006C65A2"/>
    <w:rsid w:val="006C66F2"/>
    <w:rsid w:val="006C6961"/>
    <w:rsid w:val="006C6C97"/>
    <w:rsid w:val="006C6CCD"/>
    <w:rsid w:val="006C6D02"/>
    <w:rsid w:val="006C6D31"/>
    <w:rsid w:val="006C6DFF"/>
    <w:rsid w:val="006C6E0D"/>
    <w:rsid w:val="006C6E69"/>
    <w:rsid w:val="006C6FEC"/>
    <w:rsid w:val="006C6FEF"/>
    <w:rsid w:val="006C705E"/>
    <w:rsid w:val="006C707D"/>
    <w:rsid w:val="006C708E"/>
    <w:rsid w:val="006C7159"/>
    <w:rsid w:val="006C729C"/>
    <w:rsid w:val="006C7307"/>
    <w:rsid w:val="006C75F7"/>
    <w:rsid w:val="006C7611"/>
    <w:rsid w:val="006C763F"/>
    <w:rsid w:val="006C7770"/>
    <w:rsid w:val="006C77D3"/>
    <w:rsid w:val="006C7908"/>
    <w:rsid w:val="006C7923"/>
    <w:rsid w:val="006C7C04"/>
    <w:rsid w:val="006C7C22"/>
    <w:rsid w:val="006C7CC0"/>
    <w:rsid w:val="006C7D5D"/>
    <w:rsid w:val="006D0122"/>
    <w:rsid w:val="006D0181"/>
    <w:rsid w:val="006D0267"/>
    <w:rsid w:val="006D02B9"/>
    <w:rsid w:val="006D0344"/>
    <w:rsid w:val="006D035A"/>
    <w:rsid w:val="006D036C"/>
    <w:rsid w:val="006D03FA"/>
    <w:rsid w:val="006D065B"/>
    <w:rsid w:val="006D06A0"/>
    <w:rsid w:val="006D06D5"/>
    <w:rsid w:val="006D088A"/>
    <w:rsid w:val="006D093B"/>
    <w:rsid w:val="006D095C"/>
    <w:rsid w:val="006D095E"/>
    <w:rsid w:val="006D0A5B"/>
    <w:rsid w:val="006D0B15"/>
    <w:rsid w:val="006D0C02"/>
    <w:rsid w:val="006D0C32"/>
    <w:rsid w:val="006D0D7A"/>
    <w:rsid w:val="006D0DEA"/>
    <w:rsid w:val="006D0E83"/>
    <w:rsid w:val="006D0F1E"/>
    <w:rsid w:val="006D101A"/>
    <w:rsid w:val="006D103F"/>
    <w:rsid w:val="006D107D"/>
    <w:rsid w:val="006D1088"/>
    <w:rsid w:val="006D108F"/>
    <w:rsid w:val="006D111B"/>
    <w:rsid w:val="006D1123"/>
    <w:rsid w:val="006D1188"/>
    <w:rsid w:val="006D123D"/>
    <w:rsid w:val="006D12E4"/>
    <w:rsid w:val="006D133D"/>
    <w:rsid w:val="006D14E1"/>
    <w:rsid w:val="006D1562"/>
    <w:rsid w:val="006D1607"/>
    <w:rsid w:val="006D1785"/>
    <w:rsid w:val="006D1964"/>
    <w:rsid w:val="006D1AC6"/>
    <w:rsid w:val="006D1AC8"/>
    <w:rsid w:val="006D1AE8"/>
    <w:rsid w:val="006D1B91"/>
    <w:rsid w:val="006D1C4D"/>
    <w:rsid w:val="006D1DE0"/>
    <w:rsid w:val="006D1E58"/>
    <w:rsid w:val="006D1EA2"/>
    <w:rsid w:val="006D1F54"/>
    <w:rsid w:val="006D1FB2"/>
    <w:rsid w:val="006D218D"/>
    <w:rsid w:val="006D2237"/>
    <w:rsid w:val="006D237C"/>
    <w:rsid w:val="006D23A1"/>
    <w:rsid w:val="006D2409"/>
    <w:rsid w:val="006D246D"/>
    <w:rsid w:val="006D27B4"/>
    <w:rsid w:val="006D27BD"/>
    <w:rsid w:val="006D27C5"/>
    <w:rsid w:val="006D29C6"/>
    <w:rsid w:val="006D2A60"/>
    <w:rsid w:val="006D2BD4"/>
    <w:rsid w:val="006D2C4C"/>
    <w:rsid w:val="006D2D6C"/>
    <w:rsid w:val="006D31E2"/>
    <w:rsid w:val="006D320F"/>
    <w:rsid w:val="006D3481"/>
    <w:rsid w:val="006D3545"/>
    <w:rsid w:val="006D3655"/>
    <w:rsid w:val="006D36FA"/>
    <w:rsid w:val="006D3834"/>
    <w:rsid w:val="006D3914"/>
    <w:rsid w:val="006D3ADC"/>
    <w:rsid w:val="006D3C6B"/>
    <w:rsid w:val="006D3C75"/>
    <w:rsid w:val="006D3F10"/>
    <w:rsid w:val="006D42C1"/>
    <w:rsid w:val="006D4334"/>
    <w:rsid w:val="006D4437"/>
    <w:rsid w:val="006D449E"/>
    <w:rsid w:val="006D45A2"/>
    <w:rsid w:val="006D4609"/>
    <w:rsid w:val="006D4645"/>
    <w:rsid w:val="006D466A"/>
    <w:rsid w:val="006D469E"/>
    <w:rsid w:val="006D46E2"/>
    <w:rsid w:val="006D4884"/>
    <w:rsid w:val="006D48F8"/>
    <w:rsid w:val="006D4940"/>
    <w:rsid w:val="006D4B1A"/>
    <w:rsid w:val="006D4C30"/>
    <w:rsid w:val="006D4C87"/>
    <w:rsid w:val="006D4D96"/>
    <w:rsid w:val="006D4EA0"/>
    <w:rsid w:val="006D5061"/>
    <w:rsid w:val="006D509B"/>
    <w:rsid w:val="006D5121"/>
    <w:rsid w:val="006D5142"/>
    <w:rsid w:val="006D5393"/>
    <w:rsid w:val="006D54A0"/>
    <w:rsid w:val="006D54EC"/>
    <w:rsid w:val="006D55C6"/>
    <w:rsid w:val="006D564A"/>
    <w:rsid w:val="006D5A09"/>
    <w:rsid w:val="006D5A61"/>
    <w:rsid w:val="006D5DF0"/>
    <w:rsid w:val="006D5E9F"/>
    <w:rsid w:val="006D5EA7"/>
    <w:rsid w:val="006D5F9C"/>
    <w:rsid w:val="006D6021"/>
    <w:rsid w:val="006D6203"/>
    <w:rsid w:val="006D62CB"/>
    <w:rsid w:val="006D634E"/>
    <w:rsid w:val="006D6361"/>
    <w:rsid w:val="006D64F6"/>
    <w:rsid w:val="006D656C"/>
    <w:rsid w:val="006D65CC"/>
    <w:rsid w:val="006D65E9"/>
    <w:rsid w:val="006D65FF"/>
    <w:rsid w:val="006D6626"/>
    <w:rsid w:val="006D6667"/>
    <w:rsid w:val="006D66EB"/>
    <w:rsid w:val="006D67F3"/>
    <w:rsid w:val="006D6900"/>
    <w:rsid w:val="006D6940"/>
    <w:rsid w:val="006D6A01"/>
    <w:rsid w:val="006D6A9B"/>
    <w:rsid w:val="006D6AD0"/>
    <w:rsid w:val="006D6BF6"/>
    <w:rsid w:val="006D6C37"/>
    <w:rsid w:val="006D6D6F"/>
    <w:rsid w:val="006D6EA8"/>
    <w:rsid w:val="006D6F0A"/>
    <w:rsid w:val="006D71EA"/>
    <w:rsid w:val="006D7218"/>
    <w:rsid w:val="006D7344"/>
    <w:rsid w:val="006D7372"/>
    <w:rsid w:val="006D7402"/>
    <w:rsid w:val="006D744A"/>
    <w:rsid w:val="006D74F7"/>
    <w:rsid w:val="006D7732"/>
    <w:rsid w:val="006D777A"/>
    <w:rsid w:val="006D77EF"/>
    <w:rsid w:val="006D7814"/>
    <w:rsid w:val="006D7AD4"/>
    <w:rsid w:val="006D7B73"/>
    <w:rsid w:val="006D7C39"/>
    <w:rsid w:val="006D7CAC"/>
    <w:rsid w:val="006D7DE7"/>
    <w:rsid w:val="006D7DF8"/>
    <w:rsid w:val="006D7E21"/>
    <w:rsid w:val="006D7E23"/>
    <w:rsid w:val="006D7EC1"/>
    <w:rsid w:val="006E0164"/>
    <w:rsid w:val="006E0253"/>
    <w:rsid w:val="006E0333"/>
    <w:rsid w:val="006E04FE"/>
    <w:rsid w:val="006E05A1"/>
    <w:rsid w:val="006E070A"/>
    <w:rsid w:val="006E07AB"/>
    <w:rsid w:val="006E0836"/>
    <w:rsid w:val="006E087B"/>
    <w:rsid w:val="006E0946"/>
    <w:rsid w:val="006E0983"/>
    <w:rsid w:val="006E09A0"/>
    <w:rsid w:val="006E0A0A"/>
    <w:rsid w:val="006E0AD9"/>
    <w:rsid w:val="006E0AFD"/>
    <w:rsid w:val="006E0BBD"/>
    <w:rsid w:val="006E0BD7"/>
    <w:rsid w:val="006E0CCA"/>
    <w:rsid w:val="006E0DC7"/>
    <w:rsid w:val="006E0FEE"/>
    <w:rsid w:val="006E12A5"/>
    <w:rsid w:val="006E12A9"/>
    <w:rsid w:val="006E13E0"/>
    <w:rsid w:val="006E1419"/>
    <w:rsid w:val="006E180C"/>
    <w:rsid w:val="006E186F"/>
    <w:rsid w:val="006E1879"/>
    <w:rsid w:val="006E1888"/>
    <w:rsid w:val="006E19A2"/>
    <w:rsid w:val="006E19C6"/>
    <w:rsid w:val="006E1A02"/>
    <w:rsid w:val="006E1A52"/>
    <w:rsid w:val="006E1AD1"/>
    <w:rsid w:val="006E1AD5"/>
    <w:rsid w:val="006E1B1E"/>
    <w:rsid w:val="006E1B59"/>
    <w:rsid w:val="006E1C21"/>
    <w:rsid w:val="006E1C5F"/>
    <w:rsid w:val="006E1E04"/>
    <w:rsid w:val="006E1E1E"/>
    <w:rsid w:val="006E1FB3"/>
    <w:rsid w:val="006E2078"/>
    <w:rsid w:val="006E213B"/>
    <w:rsid w:val="006E21C6"/>
    <w:rsid w:val="006E235C"/>
    <w:rsid w:val="006E2395"/>
    <w:rsid w:val="006E23AA"/>
    <w:rsid w:val="006E242D"/>
    <w:rsid w:val="006E2536"/>
    <w:rsid w:val="006E26CF"/>
    <w:rsid w:val="006E2717"/>
    <w:rsid w:val="006E2769"/>
    <w:rsid w:val="006E27B8"/>
    <w:rsid w:val="006E2818"/>
    <w:rsid w:val="006E28AE"/>
    <w:rsid w:val="006E2919"/>
    <w:rsid w:val="006E2A6D"/>
    <w:rsid w:val="006E2A9B"/>
    <w:rsid w:val="006E2BE3"/>
    <w:rsid w:val="006E2C2E"/>
    <w:rsid w:val="006E2C5B"/>
    <w:rsid w:val="006E2D76"/>
    <w:rsid w:val="006E2D85"/>
    <w:rsid w:val="006E2D86"/>
    <w:rsid w:val="006E2D8A"/>
    <w:rsid w:val="006E2EC9"/>
    <w:rsid w:val="006E2EE5"/>
    <w:rsid w:val="006E2FA7"/>
    <w:rsid w:val="006E33E2"/>
    <w:rsid w:val="006E33F0"/>
    <w:rsid w:val="006E33F2"/>
    <w:rsid w:val="006E344C"/>
    <w:rsid w:val="006E3459"/>
    <w:rsid w:val="006E34F9"/>
    <w:rsid w:val="006E35BE"/>
    <w:rsid w:val="006E35F3"/>
    <w:rsid w:val="006E369D"/>
    <w:rsid w:val="006E369F"/>
    <w:rsid w:val="006E36F7"/>
    <w:rsid w:val="006E38DC"/>
    <w:rsid w:val="006E3ADC"/>
    <w:rsid w:val="006E3B10"/>
    <w:rsid w:val="006E3BA8"/>
    <w:rsid w:val="006E3C24"/>
    <w:rsid w:val="006E3CBB"/>
    <w:rsid w:val="006E3CC8"/>
    <w:rsid w:val="006E3DD5"/>
    <w:rsid w:val="006E3E17"/>
    <w:rsid w:val="006E3E72"/>
    <w:rsid w:val="006E3F08"/>
    <w:rsid w:val="006E3F91"/>
    <w:rsid w:val="006E3FA2"/>
    <w:rsid w:val="006E402D"/>
    <w:rsid w:val="006E4196"/>
    <w:rsid w:val="006E42CB"/>
    <w:rsid w:val="006E4536"/>
    <w:rsid w:val="006E4588"/>
    <w:rsid w:val="006E4646"/>
    <w:rsid w:val="006E48DE"/>
    <w:rsid w:val="006E49EA"/>
    <w:rsid w:val="006E4A89"/>
    <w:rsid w:val="006E4ABD"/>
    <w:rsid w:val="006E4B78"/>
    <w:rsid w:val="006E4C91"/>
    <w:rsid w:val="006E4D81"/>
    <w:rsid w:val="006E4E88"/>
    <w:rsid w:val="006E5207"/>
    <w:rsid w:val="006E52EF"/>
    <w:rsid w:val="006E533B"/>
    <w:rsid w:val="006E53BA"/>
    <w:rsid w:val="006E53D2"/>
    <w:rsid w:val="006E53EF"/>
    <w:rsid w:val="006E543F"/>
    <w:rsid w:val="006E5559"/>
    <w:rsid w:val="006E558A"/>
    <w:rsid w:val="006E55E9"/>
    <w:rsid w:val="006E5716"/>
    <w:rsid w:val="006E5735"/>
    <w:rsid w:val="006E582D"/>
    <w:rsid w:val="006E5895"/>
    <w:rsid w:val="006E5901"/>
    <w:rsid w:val="006E5927"/>
    <w:rsid w:val="006E5ACC"/>
    <w:rsid w:val="006E5B2D"/>
    <w:rsid w:val="006E5CC0"/>
    <w:rsid w:val="006E5CF5"/>
    <w:rsid w:val="006E5D83"/>
    <w:rsid w:val="006E5DD3"/>
    <w:rsid w:val="006E5EAD"/>
    <w:rsid w:val="006E5EBC"/>
    <w:rsid w:val="006E5EC4"/>
    <w:rsid w:val="006E5F15"/>
    <w:rsid w:val="006E5FE1"/>
    <w:rsid w:val="006E6031"/>
    <w:rsid w:val="006E61D6"/>
    <w:rsid w:val="006E622C"/>
    <w:rsid w:val="006E62B1"/>
    <w:rsid w:val="006E62DA"/>
    <w:rsid w:val="006E62E0"/>
    <w:rsid w:val="006E63C4"/>
    <w:rsid w:val="006E6464"/>
    <w:rsid w:val="006E651F"/>
    <w:rsid w:val="006E65B6"/>
    <w:rsid w:val="006E6887"/>
    <w:rsid w:val="006E6899"/>
    <w:rsid w:val="006E68B9"/>
    <w:rsid w:val="006E68D5"/>
    <w:rsid w:val="006E6919"/>
    <w:rsid w:val="006E6AD5"/>
    <w:rsid w:val="006E6B95"/>
    <w:rsid w:val="006E6B9E"/>
    <w:rsid w:val="006E6D65"/>
    <w:rsid w:val="006E6DAB"/>
    <w:rsid w:val="006E6E3D"/>
    <w:rsid w:val="006E6E91"/>
    <w:rsid w:val="006E6E92"/>
    <w:rsid w:val="006E6FE2"/>
    <w:rsid w:val="006E704D"/>
    <w:rsid w:val="006E70D0"/>
    <w:rsid w:val="006E71E6"/>
    <w:rsid w:val="006E725B"/>
    <w:rsid w:val="006E72FC"/>
    <w:rsid w:val="006E734A"/>
    <w:rsid w:val="006E7362"/>
    <w:rsid w:val="006E749A"/>
    <w:rsid w:val="006E75C8"/>
    <w:rsid w:val="006E7678"/>
    <w:rsid w:val="006E76D2"/>
    <w:rsid w:val="006E775F"/>
    <w:rsid w:val="006E7873"/>
    <w:rsid w:val="006E78BF"/>
    <w:rsid w:val="006E79B8"/>
    <w:rsid w:val="006E7AAE"/>
    <w:rsid w:val="006E7B8D"/>
    <w:rsid w:val="006E7C79"/>
    <w:rsid w:val="006E7CAD"/>
    <w:rsid w:val="006E7D6F"/>
    <w:rsid w:val="006E7DFD"/>
    <w:rsid w:val="006E7F61"/>
    <w:rsid w:val="006E7F90"/>
    <w:rsid w:val="006E7FC6"/>
    <w:rsid w:val="006F0001"/>
    <w:rsid w:val="006F0314"/>
    <w:rsid w:val="006F0443"/>
    <w:rsid w:val="006F0478"/>
    <w:rsid w:val="006F04DE"/>
    <w:rsid w:val="006F0571"/>
    <w:rsid w:val="006F0585"/>
    <w:rsid w:val="006F05B7"/>
    <w:rsid w:val="006F05EE"/>
    <w:rsid w:val="006F0619"/>
    <w:rsid w:val="006F06E6"/>
    <w:rsid w:val="006F0743"/>
    <w:rsid w:val="006F07A1"/>
    <w:rsid w:val="006F0954"/>
    <w:rsid w:val="006F0A04"/>
    <w:rsid w:val="006F0B8B"/>
    <w:rsid w:val="006F0E8E"/>
    <w:rsid w:val="006F1033"/>
    <w:rsid w:val="006F103B"/>
    <w:rsid w:val="006F10AA"/>
    <w:rsid w:val="006F10EB"/>
    <w:rsid w:val="006F1150"/>
    <w:rsid w:val="006F1265"/>
    <w:rsid w:val="006F130B"/>
    <w:rsid w:val="006F131D"/>
    <w:rsid w:val="006F1360"/>
    <w:rsid w:val="006F14FA"/>
    <w:rsid w:val="006F1586"/>
    <w:rsid w:val="006F15BF"/>
    <w:rsid w:val="006F15DB"/>
    <w:rsid w:val="006F16C1"/>
    <w:rsid w:val="006F1922"/>
    <w:rsid w:val="006F1A00"/>
    <w:rsid w:val="006F1A2A"/>
    <w:rsid w:val="006F1C0E"/>
    <w:rsid w:val="006F1C61"/>
    <w:rsid w:val="006F1C99"/>
    <w:rsid w:val="006F1DDA"/>
    <w:rsid w:val="006F1DDB"/>
    <w:rsid w:val="006F1F26"/>
    <w:rsid w:val="006F2095"/>
    <w:rsid w:val="006F21DF"/>
    <w:rsid w:val="006F2269"/>
    <w:rsid w:val="006F22AE"/>
    <w:rsid w:val="006F2421"/>
    <w:rsid w:val="006F2449"/>
    <w:rsid w:val="006F246E"/>
    <w:rsid w:val="006F2504"/>
    <w:rsid w:val="006F25C3"/>
    <w:rsid w:val="006F2619"/>
    <w:rsid w:val="006F26AC"/>
    <w:rsid w:val="006F2705"/>
    <w:rsid w:val="006F280C"/>
    <w:rsid w:val="006F28EB"/>
    <w:rsid w:val="006F29BF"/>
    <w:rsid w:val="006F2C29"/>
    <w:rsid w:val="006F2C6F"/>
    <w:rsid w:val="006F2CFF"/>
    <w:rsid w:val="006F2E1F"/>
    <w:rsid w:val="006F2E23"/>
    <w:rsid w:val="006F3021"/>
    <w:rsid w:val="006F3036"/>
    <w:rsid w:val="006F3101"/>
    <w:rsid w:val="006F3130"/>
    <w:rsid w:val="006F3151"/>
    <w:rsid w:val="006F31D0"/>
    <w:rsid w:val="006F33C7"/>
    <w:rsid w:val="006F366A"/>
    <w:rsid w:val="006F3790"/>
    <w:rsid w:val="006F37FE"/>
    <w:rsid w:val="006F3808"/>
    <w:rsid w:val="006F3930"/>
    <w:rsid w:val="006F39D9"/>
    <w:rsid w:val="006F3A3B"/>
    <w:rsid w:val="006F3A84"/>
    <w:rsid w:val="006F3B34"/>
    <w:rsid w:val="006F3B97"/>
    <w:rsid w:val="006F3BE1"/>
    <w:rsid w:val="006F3C4F"/>
    <w:rsid w:val="006F3C84"/>
    <w:rsid w:val="006F3D7E"/>
    <w:rsid w:val="006F3E33"/>
    <w:rsid w:val="006F3E4B"/>
    <w:rsid w:val="006F3EAE"/>
    <w:rsid w:val="006F3F23"/>
    <w:rsid w:val="006F4101"/>
    <w:rsid w:val="006F4267"/>
    <w:rsid w:val="006F4628"/>
    <w:rsid w:val="006F4653"/>
    <w:rsid w:val="006F46DE"/>
    <w:rsid w:val="006F487C"/>
    <w:rsid w:val="006F4895"/>
    <w:rsid w:val="006F49FC"/>
    <w:rsid w:val="006F4AAF"/>
    <w:rsid w:val="006F4BCA"/>
    <w:rsid w:val="006F4C79"/>
    <w:rsid w:val="006F4DF8"/>
    <w:rsid w:val="006F4F92"/>
    <w:rsid w:val="006F4FBB"/>
    <w:rsid w:val="006F501E"/>
    <w:rsid w:val="006F5115"/>
    <w:rsid w:val="006F51B9"/>
    <w:rsid w:val="006F522E"/>
    <w:rsid w:val="006F526C"/>
    <w:rsid w:val="006F5447"/>
    <w:rsid w:val="006F5518"/>
    <w:rsid w:val="006F5579"/>
    <w:rsid w:val="006F5786"/>
    <w:rsid w:val="006F583A"/>
    <w:rsid w:val="006F591B"/>
    <w:rsid w:val="006F5B12"/>
    <w:rsid w:val="006F5B97"/>
    <w:rsid w:val="006F5C72"/>
    <w:rsid w:val="006F5C95"/>
    <w:rsid w:val="006F5CC3"/>
    <w:rsid w:val="006F5CDB"/>
    <w:rsid w:val="006F5D8F"/>
    <w:rsid w:val="006F5DA4"/>
    <w:rsid w:val="006F5EC6"/>
    <w:rsid w:val="006F5F07"/>
    <w:rsid w:val="006F5F0B"/>
    <w:rsid w:val="006F5F80"/>
    <w:rsid w:val="006F5FFE"/>
    <w:rsid w:val="006F621C"/>
    <w:rsid w:val="006F6416"/>
    <w:rsid w:val="006F64A1"/>
    <w:rsid w:val="006F67B7"/>
    <w:rsid w:val="006F67DE"/>
    <w:rsid w:val="006F6BE4"/>
    <w:rsid w:val="006F6CBD"/>
    <w:rsid w:val="006F6CD7"/>
    <w:rsid w:val="006F6E63"/>
    <w:rsid w:val="006F6FA7"/>
    <w:rsid w:val="006F7036"/>
    <w:rsid w:val="006F70E0"/>
    <w:rsid w:val="006F7146"/>
    <w:rsid w:val="006F729A"/>
    <w:rsid w:val="006F72C9"/>
    <w:rsid w:val="006F73A5"/>
    <w:rsid w:val="006F73C3"/>
    <w:rsid w:val="006F7495"/>
    <w:rsid w:val="006F757B"/>
    <w:rsid w:val="006F76DA"/>
    <w:rsid w:val="006F7756"/>
    <w:rsid w:val="006F77F6"/>
    <w:rsid w:val="006F7978"/>
    <w:rsid w:val="006F7ABE"/>
    <w:rsid w:val="006F7B4C"/>
    <w:rsid w:val="006F7B6A"/>
    <w:rsid w:val="006F7B83"/>
    <w:rsid w:val="006F7BB2"/>
    <w:rsid w:val="006F7BDA"/>
    <w:rsid w:val="006F7C75"/>
    <w:rsid w:val="006F7C9E"/>
    <w:rsid w:val="006F7CA4"/>
    <w:rsid w:val="0070009C"/>
    <w:rsid w:val="00700114"/>
    <w:rsid w:val="0070020A"/>
    <w:rsid w:val="00700215"/>
    <w:rsid w:val="00700220"/>
    <w:rsid w:val="00700591"/>
    <w:rsid w:val="007005C6"/>
    <w:rsid w:val="00700639"/>
    <w:rsid w:val="00700670"/>
    <w:rsid w:val="00700699"/>
    <w:rsid w:val="007009E2"/>
    <w:rsid w:val="00700B01"/>
    <w:rsid w:val="00700B19"/>
    <w:rsid w:val="00700CC9"/>
    <w:rsid w:val="00700E8F"/>
    <w:rsid w:val="007010C4"/>
    <w:rsid w:val="007011A8"/>
    <w:rsid w:val="00701385"/>
    <w:rsid w:val="00701398"/>
    <w:rsid w:val="007013B3"/>
    <w:rsid w:val="00701479"/>
    <w:rsid w:val="007015DC"/>
    <w:rsid w:val="007018C8"/>
    <w:rsid w:val="00701994"/>
    <w:rsid w:val="007019EB"/>
    <w:rsid w:val="00701A67"/>
    <w:rsid w:val="00701A9C"/>
    <w:rsid w:val="00701AFD"/>
    <w:rsid w:val="00701B99"/>
    <w:rsid w:val="00701CBF"/>
    <w:rsid w:val="00701DA2"/>
    <w:rsid w:val="00701EF7"/>
    <w:rsid w:val="00701FBA"/>
    <w:rsid w:val="00701FE0"/>
    <w:rsid w:val="0070205A"/>
    <w:rsid w:val="007020F5"/>
    <w:rsid w:val="00702280"/>
    <w:rsid w:val="00702398"/>
    <w:rsid w:val="00702711"/>
    <w:rsid w:val="00702796"/>
    <w:rsid w:val="0070291C"/>
    <w:rsid w:val="00702A63"/>
    <w:rsid w:val="00702B6F"/>
    <w:rsid w:val="00702B7D"/>
    <w:rsid w:val="00702C9C"/>
    <w:rsid w:val="00702DFF"/>
    <w:rsid w:val="00702E03"/>
    <w:rsid w:val="00702ED1"/>
    <w:rsid w:val="00702F0E"/>
    <w:rsid w:val="007030CF"/>
    <w:rsid w:val="00703284"/>
    <w:rsid w:val="0070357B"/>
    <w:rsid w:val="007035BA"/>
    <w:rsid w:val="00703639"/>
    <w:rsid w:val="00703675"/>
    <w:rsid w:val="007036B9"/>
    <w:rsid w:val="007036DA"/>
    <w:rsid w:val="00703842"/>
    <w:rsid w:val="0070394D"/>
    <w:rsid w:val="007039E3"/>
    <w:rsid w:val="00703A87"/>
    <w:rsid w:val="00703A90"/>
    <w:rsid w:val="00703AE6"/>
    <w:rsid w:val="00703B30"/>
    <w:rsid w:val="00703C73"/>
    <w:rsid w:val="00703C75"/>
    <w:rsid w:val="00703C84"/>
    <w:rsid w:val="00703D5E"/>
    <w:rsid w:val="00703D98"/>
    <w:rsid w:val="00703DC0"/>
    <w:rsid w:val="00703E01"/>
    <w:rsid w:val="00703EAC"/>
    <w:rsid w:val="00704074"/>
    <w:rsid w:val="0070421C"/>
    <w:rsid w:val="0070430C"/>
    <w:rsid w:val="00704393"/>
    <w:rsid w:val="00704414"/>
    <w:rsid w:val="0070442D"/>
    <w:rsid w:val="0070444C"/>
    <w:rsid w:val="007044F3"/>
    <w:rsid w:val="00704537"/>
    <w:rsid w:val="00704583"/>
    <w:rsid w:val="007045CA"/>
    <w:rsid w:val="0070470B"/>
    <w:rsid w:val="0070473C"/>
    <w:rsid w:val="0070477D"/>
    <w:rsid w:val="007048CB"/>
    <w:rsid w:val="007048DE"/>
    <w:rsid w:val="00704942"/>
    <w:rsid w:val="00704BA7"/>
    <w:rsid w:val="00704CB6"/>
    <w:rsid w:val="00704D47"/>
    <w:rsid w:val="00704EC0"/>
    <w:rsid w:val="00704ED6"/>
    <w:rsid w:val="00704EF5"/>
    <w:rsid w:val="00705104"/>
    <w:rsid w:val="0070516F"/>
    <w:rsid w:val="007053AD"/>
    <w:rsid w:val="0070541C"/>
    <w:rsid w:val="007054E8"/>
    <w:rsid w:val="007054EB"/>
    <w:rsid w:val="00705555"/>
    <w:rsid w:val="007058D5"/>
    <w:rsid w:val="00705992"/>
    <w:rsid w:val="00705DE3"/>
    <w:rsid w:val="00705E76"/>
    <w:rsid w:val="00705EA1"/>
    <w:rsid w:val="00705EDF"/>
    <w:rsid w:val="00705F2A"/>
    <w:rsid w:val="00706158"/>
    <w:rsid w:val="00706184"/>
    <w:rsid w:val="007061A8"/>
    <w:rsid w:val="007062E0"/>
    <w:rsid w:val="00706348"/>
    <w:rsid w:val="0070643C"/>
    <w:rsid w:val="00706550"/>
    <w:rsid w:val="007066D8"/>
    <w:rsid w:val="007066FC"/>
    <w:rsid w:val="007067E5"/>
    <w:rsid w:val="007068C5"/>
    <w:rsid w:val="007069C4"/>
    <w:rsid w:val="00706A7A"/>
    <w:rsid w:val="00706B2F"/>
    <w:rsid w:val="00706C19"/>
    <w:rsid w:val="00706C62"/>
    <w:rsid w:val="00706D68"/>
    <w:rsid w:val="00706E90"/>
    <w:rsid w:val="00706E96"/>
    <w:rsid w:val="00706F17"/>
    <w:rsid w:val="00706F46"/>
    <w:rsid w:val="00706F60"/>
    <w:rsid w:val="00707011"/>
    <w:rsid w:val="00707248"/>
    <w:rsid w:val="00707255"/>
    <w:rsid w:val="007072C4"/>
    <w:rsid w:val="00707386"/>
    <w:rsid w:val="0070741A"/>
    <w:rsid w:val="0070744E"/>
    <w:rsid w:val="00707486"/>
    <w:rsid w:val="007075B5"/>
    <w:rsid w:val="0070764B"/>
    <w:rsid w:val="0070770A"/>
    <w:rsid w:val="0070772A"/>
    <w:rsid w:val="007077DC"/>
    <w:rsid w:val="0070787E"/>
    <w:rsid w:val="0070788E"/>
    <w:rsid w:val="007079D6"/>
    <w:rsid w:val="00707A06"/>
    <w:rsid w:val="00707C2D"/>
    <w:rsid w:val="00707D03"/>
    <w:rsid w:val="00707D71"/>
    <w:rsid w:val="00707DB2"/>
    <w:rsid w:val="00707F70"/>
    <w:rsid w:val="007100D4"/>
    <w:rsid w:val="007101C1"/>
    <w:rsid w:val="007103F8"/>
    <w:rsid w:val="0071047C"/>
    <w:rsid w:val="00710497"/>
    <w:rsid w:val="007104B1"/>
    <w:rsid w:val="007104DE"/>
    <w:rsid w:val="0071058A"/>
    <w:rsid w:val="007105B0"/>
    <w:rsid w:val="007105BE"/>
    <w:rsid w:val="00710723"/>
    <w:rsid w:val="0071074B"/>
    <w:rsid w:val="00710A09"/>
    <w:rsid w:val="00710B6F"/>
    <w:rsid w:val="00710C0C"/>
    <w:rsid w:val="00710DEC"/>
    <w:rsid w:val="00710ED7"/>
    <w:rsid w:val="00710F5F"/>
    <w:rsid w:val="0071106F"/>
    <w:rsid w:val="0071107C"/>
    <w:rsid w:val="007110DD"/>
    <w:rsid w:val="0071144C"/>
    <w:rsid w:val="00711540"/>
    <w:rsid w:val="0071157A"/>
    <w:rsid w:val="00711587"/>
    <w:rsid w:val="00711733"/>
    <w:rsid w:val="0071174A"/>
    <w:rsid w:val="007118A7"/>
    <w:rsid w:val="00711AAA"/>
    <w:rsid w:val="00711BAF"/>
    <w:rsid w:val="00711BDF"/>
    <w:rsid w:val="00711C60"/>
    <w:rsid w:val="00711D25"/>
    <w:rsid w:val="00711F1A"/>
    <w:rsid w:val="007120EF"/>
    <w:rsid w:val="0071216F"/>
    <w:rsid w:val="0071220B"/>
    <w:rsid w:val="00712281"/>
    <w:rsid w:val="0071236D"/>
    <w:rsid w:val="00712526"/>
    <w:rsid w:val="00712573"/>
    <w:rsid w:val="007126F7"/>
    <w:rsid w:val="007127A6"/>
    <w:rsid w:val="007129D6"/>
    <w:rsid w:val="00712B47"/>
    <w:rsid w:val="00712C58"/>
    <w:rsid w:val="00712FAB"/>
    <w:rsid w:val="00713069"/>
    <w:rsid w:val="007130FB"/>
    <w:rsid w:val="00713240"/>
    <w:rsid w:val="00713288"/>
    <w:rsid w:val="007132CF"/>
    <w:rsid w:val="0071332B"/>
    <w:rsid w:val="007133B6"/>
    <w:rsid w:val="007133FB"/>
    <w:rsid w:val="0071342E"/>
    <w:rsid w:val="00713502"/>
    <w:rsid w:val="00713599"/>
    <w:rsid w:val="007135E1"/>
    <w:rsid w:val="0071369F"/>
    <w:rsid w:val="007136E6"/>
    <w:rsid w:val="007136F9"/>
    <w:rsid w:val="007137FC"/>
    <w:rsid w:val="0071389C"/>
    <w:rsid w:val="007138F4"/>
    <w:rsid w:val="0071390D"/>
    <w:rsid w:val="0071395A"/>
    <w:rsid w:val="007139AF"/>
    <w:rsid w:val="00713B32"/>
    <w:rsid w:val="00713B70"/>
    <w:rsid w:val="00713BBF"/>
    <w:rsid w:val="00713DBE"/>
    <w:rsid w:val="00713F3F"/>
    <w:rsid w:val="00713F69"/>
    <w:rsid w:val="00713FEE"/>
    <w:rsid w:val="007140A3"/>
    <w:rsid w:val="00714159"/>
    <w:rsid w:val="0071431A"/>
    <w:rsid w:val="00714330"/>
    <w:rsid w:val="007144EC"/>
    <w:rsid w:val="00714636"/>
    <w:rsid w:val="00714670"/>
    <w:rsid w:val="00714686"/>
    <w:rsid w:val="0071468B"/>
    <w:rsid w:val="0071471A"/>
    <w:rsid w:val="0071490B"/>
    <w:rsid w:val="0071498B"/>
    <w:rsid w:val="00714ABD"/>
    <w:rsid w:val="00714ADE"/>
    <w:rsid w:val="00714B4F"/>
    <w:rsid w:val="00714CCE"/>
    <w:rsid w:val="00714E1D"/>
    <w:rsid w:val="00714E5F"/>
    <w:rsid w:val="00714EC1"/>
    <w:rsid w:val="00714F17"/>
    <w:rsid w:val="00714F45"/>
    <w:rsid w:val="00714F72"/>
    <w:rsid w:val="00714F8B"/>
    <w:rsid w:val="0071503D"/>
    <w:rsid w:val="007151AB"/>
    <w:rsid w:val="0071522F"/>
    <w:rsid w:val="00715286"/>
    <w:rsid w:val="007152BA"/>
    <w:rsid w:val="00715309"/>
    <w:rsid w:val="00715371"/>
    <w:rsid w:val="0071539D"/>
    <w:rsid w:val="007153D2"/>
    <w:rsid w:val="007153FC"/>
    <w:rsid w:val="00715400"/>
    <w:rsid w:val="00715477"/>
    <w:rsid w:val="00715524"/>
    <w:rsid w:val="0071552C"/>
    <w:rsid w:val="007155B0"/>
    <w:rsid w:val="0071565A"/>
    <w:rsid w:val="0071570A"/>
    <w:rsid w:val="007157B5"/>
    <w:rsid w:val="007158DE"/>
    <w:rsid w:val="00715990"/>
    <w:rsid w:val="00715B79"/>
    <w:rsid w:val="00715BBD"/>
    <w:rsid w:val="00715CBB"/>
    <w:rsid w:val="00715CDF"/>
    <w:rsid w:val="00715E44"/>
    <w:rsid w:val="00715E45"/>
    <w:rsid w:val="00716034"/>
    <w:rsid w:val="00716046"/>
    <w:rsid w:val="0071604F"/>
    <w:rsid w:val="007160CB"/>
    <w:rsid w:val="007161D0"/>
    <w:rsid w:val="007162FC"/>
    <w:rsid w:val="00716385"/>
    <w:rsid w:val="0071638A"/>
    <w:rsid w:val="00716437"/>
    <w:rsid w:val="007165C2"/>
    <w:rsid w:val="007166CD"/>
    <w:rsid w:val="00716773"/>
    <w:rsid w:val="00716832"/>
    <w:rsid w:val="00716850"/>
    <w:rsid w:val="007168D0"/>
    <w:rsid w:val="007169AF"/>
    <w:rsid w:val="00716A85"/>
    <w:rsid w:val="00716C1B"/>
    <w:rsid w:val="00716F11"/>
    <w:rsid w:val="00716FD3"/>
    <w:rsid w:val="007170B1"/>
    <w:rsid w:val="0071721A"/>
    <w:rsid w:val="0071739B"/>
    <w:rsid w:val="007173ED"/>
    <w:rsid w:val="007174B8"/>
    <w:rsid w:val="0071750C"/>
    <w:rsid w:val="0071759F"/>
    <w:rsid w:val="00717673"/>
    <w:rsid w:val="007176F0"/>
    <w:rsid w:val="00717870"/>
    <w:rsid w:val="00717994"/>
    <w:rsid w:val="00717A52"/>
    <w:rsid w:val="00717A6B"/>
    <w:rsid w:val="00717BA6"/>
    <w:rsid w:val="00717C20"/>
    <w:rsid w:val="00717FF7"/>
    <w:rsid w:val="00720008"/>
    <w:rsid w:val="007200B3"/>
    <w:rsid w:val="0072012D"/>
    <w:rsid w:val="00720150"/>
    <w:rsid w:val="0072019E"/>
    <w:rsid w:val="007202A4"/>
    <w:rsid w:val="00720323"/>
    <w:rsid w:val="0072042B"/>
    <w:rsid w:val="0072043D"/>
    <w:rsid w:val="00720482"/>
    <w:rsid w:val="00720501"/>
    <w:rsid w:val="007205A4"/>
    <w:rsid w:val="007206AE"/>
    <w:rsid w:val="00720771"/>
    <w:rsid w:val="007207BF"/>
    <w:rsid w:val="007208F0"/>
    <w:rsid w:val="0072090A"/>
    <w:rsid w:val="0072095E"/>
    <w:rsid w:val="00720A3A"/>
    <w:rsid w:val="00720AED"/>
    <w:rsid w:val="00720B10"/>
    <w:rsid w:val="00720C11"/>
    <w:rsid w:val="00720C9E"/>
    <w:rsid w:val="00720DB9"/>
    <w:rsid w:val="00720E12"/>
    <w:rsid w:val="007210BF"/>
    <w:rsid w:val="007212D7"/>
    <w:rsid w:val="0072136F"/>
    <w:rsid w:val="00721389"/>
    <w:rsid w:val="007214A5"/>
    <w:rsid w:val="0072153D"/>
    <w:rsid w:val="007216AD"/>
    <w:rsid w:val="00721840"/>
    <w:rsid w:val="007218AE"/>
    <w:rsid w:val="007218BD"/>
    <w:rsid w:val="007219F8"/>
    <w:rsid w:val="00721BFD"/>
    <w:rsid w:val="00721D29"/>
    <w:rsid w:val="00721D2D"/>
    <w:rsid w:val="00721DB2"/>
    <w:rsid w:val="00721ECA"/>
    <w:rsid w:val="00721F46"/>
    <w:rsid w:val="00721FA0"/>
    <w:rsid w:val="00721FCC"/>
    <w:rsid w:val="0072214A"/>
    <w:rsid w:val="007221F9"/>
    <w:rsid w:val="00722241"/>
    <w:rsid w:val="007222AA"/>
    <w:rsid w:val="007224DA"/>
    <w:rsid w:val="007225C9"/>
    <w:rsid w:val="007225EE"/>
    <w:rsid w:val="007227BB"/>
    <w:rsid w:val="007227C4"/>
    <w:rsid w:val="00722912"/>
    <w:rsid w:val="00722920"/>
    <w:rsid w:val="00722AC9"/>
    <w:rsid w:val="00722B32"/>
    <w:rsid w:val="00722B8D"/>
    <w:rsid w:val="00722BCB"/>
    <w:rsid w:val="00722BCE"/>
    <w:rsid w:val="00722C83"/>
    <w:rsid w:val="00722CBF"/>
    <w:rsid w:val="00722D0B"/>
    <w:rsid w:val="00722D38"/>
    <w:rsid w:val="00722D5B"/>
    <w:rsid w:val="00722DD2"/>
    <w:rsid w:val="00723037"/>
    <w:rsid w:val="00723244"/>
    <w:rsid w:val="0072325F"/>
    <w:rsid w:val="00723277"/>
    <w:rsid w:val="0072332E"/>
    <w:rsid w:val="00723388"/>
    <w:rsid w:val="00723399"/>
    <w:rsid w:val="007233B4"/>
    <w:rsid w:val="00723444"/>
    <w:rsid w:val="00723617"/>
    <w:rsid w:val="00723666"/>
    <w:rsid w:val="007236F5"/>
    <w:rsid w:val="007237B0"/>
    <w:rsid w:val="007237BA"/>
    <w:rsid w:val="00723800"/>
    <w:rsid w:val="00723806"/>
    <w:rsid w:val="00723A87"/>
    <w:rsid w:val="00723AD3"/>
    <w:rsid w:val="00723BE4"/>
    <w:rsid w:val="00723CB6"/>
    <w:rsid w:val="00723F6A"/>
    <w:rsid w:val="007240F9"/>
    <w:rsid w:val="0072413F"/>
    <w:rsid w:val="0072428F"/>
    <w:rsid w:val="007242C3"/>
    <w:rsid w:val="007243C8"/>
    <w:rsid w:val="00724648"/>
    <w:rsid w:val="00724833"/>
    <w:rsid w:val="0072488D"/>
    <w:rsid w:val="00724904"/>
    <w:rsid w:val="0072495A"/>
    <w:rsid w:val="007249ED"/>
    <w:rsid w:val="00724AF1"/>
    <w:rsid w:val="00724BEE"/>
    <w:rsid w:val="00724CBF"/>
    <w:rsid w:val="00724CF4"/>
    <w:rsid w:val="00724D8D"/>
    <w:rsid w:val="00724DDC"/>
    <w:rsid w:val="00724ED3"/>
    <w:rsid w:val="00724F19"/>
    <w:rsid w:val="00724FDC"/>
    <w:rsid w:val="0072502F"/>
    <w:rsid w:val="007251DE"/>
    <w:rsid w:val="00725329"/>
    <w:rsid w:val="00725343"/>
    <w:rsid w:val="007255D3"/>
    <w:rsid w:val="00725604"/>
    <w:rsid w:val="0072564C"/>
    <w:rsid w:val="0072582A"/>
    <w:rsid w:val="007258C5"/>
    <w:rsid w:val="00725953"/>
    <w:rsid w:val="00725A55"/>
    <w:rsid w:val="00725AE2"/>
    <w:rsid w:val="00725B08"/>
    <w:rsid w:val="00725C63"/>
    <w:rsid w:val="0072645D"/>
    <w:rsid w:val="00726601"/>
    <w:rsid w:val="00726749"/>
    <w:rsid w:val="007267BE"/>
    <w:rsid w:val="00726819"/>
    <w:rsid w:val="00726921"/>
    <w:rsid w:val="00726A1A"/>
    <w:rsid w:val="00726A2D"/>
    <w:rsid w:val="00726C61"/>
    <w:rsid w:val="00726C65"/>
    <w:rsid w:val="00726D3A"/>
    <w:rsid w:val="00726D3B"/>
    <w:rsid w:val="00726E33"/>
    <w:rsid w:val="00727035"/>
    <w:rsid w:val="0072703F"/>
    <w:rsid w:val="00727073"/>
    <w:rsid w:val="007271EA"/>
    <w:rsid w:val="00727400"/>
    <w:rsid w:val="0072741C"/>
    <w:rsid w:val="00727425"/>
    <w:rsid w:val="00727507"/>
    <w:rsid w:val="00727542"/>
    <w:rsid w:val="00727579"/>
    <w:rsid w:val="007275D3"/>
    <w:rsid w:val="007276BB"/>
    <w:rsid w:val="007276F8"/>
    <w:rsid w:val="00727740"/>
    <w:rsid w:val="007278BA"/>
    <w:rsid w:val="007278FA"/>
    <w:rsid w:val="007279DB"/>
    <w:rsid w:val="00727AC1"/>
    <w:rsid w:val="00727B30"/>
    <w:rsid w:val="00727B90"/>
    <w:rsid w:val="00727C34"/>
    <w:rsid w:val="00727C49"/>
    <w:rsid w:val="00727CAB"/>
    <w:rsid w:val="00727D83"/>
    <w:rsid w:val="00727E05"/>
    <w:rsid w:val="00727F06"/>
    <w:rsid w:val="00727FC6"/>
    <w:rsid w:val="007300C7"/>
    <w:rsid w:val="00730284"/>
    <w:rsid w:val="007302C9"/>
    <w:rsid w:val="0073032F"/>
    <w:rsid w:val="00730405"/>
    <w:rsid w:val="007306ED"/>
    <w:rsid w:val="007307EC"/>
    <w:rsid w:val="0073085F"/>
    <w:rsid w:val="0073086B"/>
    <w:rsid w:val="0073089E"/>
    <w:rsid w:val="007308C4"/>
    <w:rsid w:val="007309F4"/>
    <w:rsid w:val="00730B2E"/>
    <w:rsid w:val="00730BD5"/>
    <w:rsid w:val="00730BF3"/>
    <w:rsid w:val="00730C5D"/>
    <w:rsid w:val="00730CFC"/>
    <w:rsid w:val="00730D83"/>
    <w:rsid w:val="00730DD8"/>
    <w:rsid w:val="00730E8D"/>
    <w:rsid w:val="00730F70"/>
    <w:rsid w:val="00730F9D"/>
    <w:rsid w:val="00731091"/>
    <w:rsid w:val="0073136E"/>
    <w:rsid w:val="0073154F"/>
    <w:rsid w:val="00731622"/>
    <w:rsid w:val="00731779"/>
    <w:rsid w:val="007317C1"/>
    <w:rsid w:val="00731832"/>
    <w:rsid w:val="007318AF"/>
    <w:rsid w:val="00731C54"/>
    <w:rsid w:val="00731DE5"/>
    <w:rsid w:val="00731E72"/>
    <w:rsid w:val="00731E7C"/>
    <w:rsid w:val="00731F12"/>
    <w:rsid w:val="00731FEA"/>
    <w:rsid w:val="007320D5"/>
    <w:rsid w:val="00732115"/>
    <w:rsid w:val="00732204"/>
    <w:rsid w:val="0073220A"/>
    <w:rsid w:val="007324EC"/>
    <w:rsid w:val="007325D7"/>
    <w:rsid w:val="007327BF"/>
    <w:rsid w:val="007327CD"/>
    <w:rsid w:val="007327E3"/>
    <w:rsid w:val="00732A83"/>
    <w:rsid w:val="00732A86"/>
    <w:rsid w:val="00732B69"/>
    <w:rsid w:val="00732CDF"/>
    <w:rsid w:val="00732D20"/>
    <w:rsid w:val="00732D7A"/>
    <w:rsid w:val="00732DF4"/>
    <w:rsid w:val="00732E7F"/>
    <w:rsid w:val="00732F51"/>
    <w:rsid w:val="00732FAA"/>
    <w:rsid w:val="00732FCF"/>
    <w:rsid w:val="0073302C"/>
    <w:rsid w:val="0073304E"/>
    <w:rsid w:val="00733069"/>
    <w:rsid w:val="0073306A"/>
    <w:rsid w:val="007330E3"/>
    <w:rsid w:val="0073316E"/>
    <w:rsid w:val="00733396"/>
    <w:rsid w:val="00733402"/>
    <w:rsid w:val="007334F1"/>
    <w:rsid w:val="007335DB"/>
    <w:rsid w:val="007335E2"/>
    <w:rsid w:val="00733641"/>
    <w:rsid w:val="007336D4"/>
    <w:rsid w:val="00733731"/>
    <w:rsid w:val="00733759"/>
    <w:rsid w:val="00733863"/>
    <w:rsid w:val="007338D7"/>
    <w:rsid w:val="007338F9"/>
    <w:rsid w:val="0073395D"/>
    <w:rsid w:val="0073397F"/>
    <w:rsid w:val="007339C7"/>
    <w:rsid w:val="00733BD1"/>
    <w:rsid w:val="00733BE6"/>
    <w:rsid w:val="00733C3A"/>
    <w:rsid w:val="00733D21"/>
    <w:rsid w:val="00733FE1"/>
    <w:rsid w:val="0073419C"/>
    <w:rsid w:val="0073430E"/>
    <w:rsid w:val="0073448D"/>
    <w:rsid w:val="007345A8"/>
    <w:rsid w:val="007346AE"/>
    <w:rsid w:val="007347ED"/>
    <w:rsid w:val="0073486C"/>
    <w:rsid w:val="007349DC"/>
    <w:rsid w:val="00734AA2"/>
    <w:rsid w:val="00734AC4"/>
    <w:rsid w:val="00734B95"/>
    <w:rsid w:val="00734D34"/>
    <w:rsid w:val="00734D67"/>
    <w:rsid w:val="00734D89"/>
    <w:rsid w:val="00734E83"/>
    <w:rsid w:val="00734EDD"/>
    <w:rsid w:val="00734F51"/>
    <w:rsid w:val="00735012"/>
    <w:rsid w:val="007350A3"/>
    <w:rsid w:val="007350ED"/>
    <w:rsid w:val="007350FF"/>
    <w:rsid w:val="00735287"/>
    <w:rsid w:val="00735323"/>
    <w:rsid w:val="007354F7"/>
    <w:rsid w:val="007355AD"/>
    <w:rsid w:val="00735626"/>
    <w:rsid w:val="00735635"/>
    <w:rsid w:val="00735730"/>
    <w:rsid w:val="00735741"/>
    <w:rsid w:val="00735744"/>
    <w:rsid w:val="00735760"/>
    <w:rsid w:val="00735829"/>
    <w:rsid w:val="007359F9"/>
    <w:rsid w:val="007359FB"/>
    <w:rsid w:val="00735A90"/>
    <w:rsid w:val="00735B87"/>
    <w:rsid w:val="00735BCC"/>
    <w:rsid w:val="00735CE4"/>
    <w:rsid w:val="00735D2A"/>
    <w:rsid w:val="00735E2F"/>
    <w:rsid w:val="00735EB8"/>
    <w:rsid w:val="00735EBB"/>
    <w:rsid w:val="00735F1F"/>
    <w:rsid w:val="0073601A"/>
    <w:rsid w:val="00736086"/>
    <w:rsid w:val="00736190"/>
    <w:rsid w:val="00736232"/>
    <w:rsid w:val="00736259"/>
    <w:rsid w:val="0073630C"/>
    <w:rsid w:val="00736367"/>
    <w:rsid w:val="00736391"/>
    <w:rsid w:val="007363A1"/>
    <w:rsid w:val="007364D5"/>
    <w:rsid w:val="007365AE"/>
    <w:rsid w:val="007365C3"/>
    <w:rsid w:val="00736650"/>
    <w:rsid w:val="00736677"/>
    <w:rsid w:val="00736755"/>
    <w:rsid w:val="0073676A"/>
    <w:rsid w:val="00736902"/>
    <w:rsid w:val="0073698C"/>
    <w:rsid w:val="007369FB"/>
    <w:rsid w:val="00736AC1"/>
    <w:rsid w:val="00736D4F"/>
    <w:rsid w:val="00736DD8"/>
    <w:rsid w:val="00736EDD"/>
    <w:rsid w:val="0073709E"/>
    <w:rsid w:val="00737298"/>
    <w:rsid w:val="007372EE"/>
    <w:rsid w:val="007373B9"/>
    <w:rsid w:val="0073746B"/>
    <w:rsid w:val="0073747A"/>
    <w:rsid w:val="007374B3"/>
    <w:rsid w:val="007374B9"/>
    <w:rsid w:val="00737649"/>
    <w:rsid w:val="0073773E"/>
    <w:rsid w:val="007378E0"/>
    <w:rsid w:val="00737C5D"/>
    <w:rsid w:val="00737CC4"/>
    <w:rsid w:val="00737D61"/>
    <w:rsid w:val="00737E1D"/>
    <w:rsid w:val="00737F2E"/>
    <w:rsid w:val="0074000C"/>
    <w:rsid w:val="0074015D"/>
    <w:rsid w:val="00740260"/>
    <w:rsid w:val="007402C7"/>
    <w:rsid w:val="0074049B"/>
    <w:rsid w:val="007404FA"/>
    <w:rsid w:val="00740574"/>
    <w:rsid w:val="0074060F"/>
    <w:rsid w:val="0074062F"/>
    <w:rsid w:val="0074064E"/>
    <w:rsid w:val="0074067D"/>
    <w:rsid w:val="007406DB"/>
    <w:rsid w:val="0074073C"/>
    <w:rsid w:val="007407F0"/>
    <w:rsid w:val="00740932"/>
    <w:rsid w:val="00740A76"/>
    <w:rsid w:val="00740A83"/>
    <w:rsid w:val="00740AAA"/>
    <w:rsid w:val="00740AAD"/>
    <w:rsid w:val="00740C36"/>
    <w:rsid w:val="00740D04"/>
    <w:rsid w:val="00740D37"/>
    <w:rsid w:val="00740FA9"/>
    <w:rsid w:val="0074103E"/>
    <w:rsid w:val="007410AA"/>
    <w:rsid w:val="007410CB"/>
    <w:rsid w:val="0074129B"/>
    <w:rsid w:val="007412C2"/>
    <w:rsid w:val="00741379"/>
    <w:rsid w:val="007415E3"/>
    <w:rsid w:val="0074175D"/>
    <w:rsid w:val="00741974"/>
    <w:rsid w:val="00741AA8"/>
    <w:rsid w:val="00741AA9"/>
    <w:rsid w:val="00741ADB"/>
    <w:rsid w:val="00741ADD"/>
    <w:rsid w:val="00741B3F"/>
    <w:rsid w:val="00741B84"/>
    <w:rsid w:val="00741BF4"/>
    <w:rsid w:val="00741C2D"/>
    <w:rsid w:val="00741CCE"/>
    <w:rsid w:val="00741D29"/>
    <w:rsid w:val="00741F0A"/>
    <w:rsid w:val="00741F76"/>
    <w:rsid w:val="007422CB"/>
    <w:rsid w:val="007422FC"/>
    <w:rsid w:val="00742353"/>
    <w:rsid w:val="00742416"/>
    <w:rsid w:val="00742504"/>
    <w:rsid w:val="00742508"/>
    <w:rsid w:val="00742790"/>
    <w:rsid w:val="00742809"/>
    <w:rsid w:val="007428DF"/>
    <w:rsid w:val="00742DB8"/>
    <w:rsid w:val="00742E25"/>
    <w:rsid w:val="00742F5E"/>
    <w:rsid w:val="00743070"/>
    <w:rsid w:val="0074327A"/>
    <w:rsid w:val="00743438"/>
    <w:rsid w:val="007434D8"/>
    <w:rsid w:val="0074352F"/>
    <w:rsid w:val="007435CA"/>
    <w:rsid w:val="0074363D"/>
    <w:rsid w:val="00743825"/>
    <w:rsid w:val="00743885"/>
    <w:rsid w:val="00743956"/>
    <w:rsid w:val="00743A4F"/>
    <w:rsid w:val="00743A93"/>
    <w:rsid w:val="00743AA5"/>
    <w:rsid w:val="00743ABB"/>
    <w:rsid w:val="00743AC0"/>
    <w:rsid w:val="00743C24"/>
    <w:rsid w:val="00743CE0"/>
    <w:rsid w:val="00743D34"/>
    <w:rsid w:val="00743D63"/>
    <w:rsid w:val="00744133"/>
    <w:rsid w:val="0074413F"/>
    <w:rsid w:val="00744205"/>
    <w:rsid w:val="00744249"/>
    <w:rsid w:val="0074428B"/>
    <w:rsid w:val="00744454"/>
    <w:rsid w:val="007445E3"/>
    <w:rsid w:val="0074463B"/>
    <w:rsid w:val="007446E2"/>
    <w:rsid w:val="007447AC"/>
    <w:rsid w:val="007447DF"/>
    <w:rsid w:val="0074481A"/>
    <w:rsid w:val="0074481B"/>
    <w:rsid w:val="00744A00"/>
    <w:rsid w:val="00744A0E"/>
    <w:rsid w:val="00744AE7"/>
    <w:rsid w:val="00744B21"/>
    <w:rsid w:val="00744B95"/>
    <w:rsid w:val="00744E5E"/>
    <w:rsid w:val="00744EA8"/>
    <w:rsid w:val="00744EC0"/>
    <w:rsid w:val="00745032"/>
    <w:rsid w:val="0074516D"/>
    <w:rsid w:val="00745454"/>
    <w:rsid w:val="00745475"/>
    <w:rsid w:val="00745507"/>
    <w:rsid w:val="0074558D"/>
    <w:rsid w:val="00745649"/>
    <w:rsid w:val="00745739"/>
    <w:rsid w:val="007457AB"/>
    <w:rsid w:val="007457CE"/>
    <w:rsid w:val="007457F3"/>
    <w:rsid w:val="007458B0"/>
    <w:rsid w:val="007458E9"/>
    <w:rsid w:val="00745A07"/>
    <w:rsid w:val="00745B49"/>
    <w:rsid w:val="00745D8F"/>
    <w:rsid w:val="00745FD1"/>
    <w:rsid w:val="007460BE"/>
    <w:rsid w:val="0074634B"/>
    <w:rsid w:val="007464DE"/>
    <w:rsid w:val="0074654D"/>
    <w:rsid w:val="007465D9"/>
    <w:rsid w:val="00746744"/>
    <w:rsid w:val="00746843"/>
    <w:rsid w:val="007468B9"/>
    <w:rsid w:val="0074692D"/>
    <w:rsid w:val="007469E0"/>
    <w:rsid w:val="00746A31"/>
    <w:rsid w:val="00746B05"/>
    <w:rsid w:val="00746BD6"/>
    <w:rsid w:val="00746BE2"/>
    <w:rsid w:val="00746D5A"/>
    <w:rsid w:val="00746D86"/>
    <w:rsid w:val="00746DB8"/>
    <w:rsid w:val="00746F63"/>
    <w:rsid w:val="00747011"/>
    <w:rsid w:val="00747052"/>
    <w:rsid w:val="007470F2"/>
    <w:rsid w:val="00747101"/>
    <w:rsid w:val="0074722D"/>
    <w:rsid w:val="007474DB"/>
    <w:rsid w:val="007475D5"/>
    <w:rsid w:val="007475E1"/>
    <w:rsid w:val="007476A4"/>
    <w:rsid w:val="007476F8"/>
    <w:rsid w:val="00747735"/>
    <w:rsid w:val="0074779A"/>
    <w:rsid w:val="007477BB"/>
    <w:rsid w:val="007477EE"/>
    <w:rsid w:val="00747808"/>
    <w:rsid w:val="0074782A"/>
    <w:rsid w:val="007479C5"/>
    <w:rsid w:val="00747A38"/>
    <w:rsid w:val="00747A99"/>
    <w:rsid w:val="00747B1C"/>
    <w:rsid w:val="00747B4F"/>
    <w:rsid w:val="00747B86"/>
    <w:rsid w:val="00747C47"/>
    <w:rsid w:val="00747D10"/>
    <w:rsid w:val="00747D8C"/>
    <w:rsid w:val="00747DBE"/>
    <w:rsid w:val="00747E1B"/>
    <w:rsid w:val="00747EBA"/>
    <w:rsid w:val="00747F5D"/>
    <w:rsid w:val="00747F9C"/>
    <w:rsid w:val="00747FB1"/>
    <w:rsid w:val="00747FCF"/>
    <w:rsid w:val="00750197"/>
    <w:rsid w:val="00750260"/>
    <w:rsid w:val="00750331"/>
    <w:rsid w:val="0075039F"/>
    <w:rsid w:val="007503AD"/>
    <w:rsid w:val="007505CA"/>
    <w:rsid w:val="007505E5"/>
    <w:rsid w:val="007506FC"/>
    <w:rsid w:val="00750727"/>
    <w:rsid w:val="007507A9"/>
    <w:rsid w:val="00750925"/>
    <w:rsid w:val="00750971"/>
    <w:rsid w:val="00750AAB"/>
    <w:rsid w:val="00750BA7"/>
    <w:rsid w:val="00750CCC"/>
    <w:rsid w:val="00750CD9"/>
    <w:rsid w:val="00750D85"/>
    <w:rsid w:val="00750F1D"/>
    <w:rsid w:val="00751018"/>
    <w:rsid w:val="007512DC"/>
    <w:rsid w:val="007514C3"/>
    <w:rsid w:val="00751556"/>
    <w:rsid w:val="0075163C"/>
    <w:rsid w:val="0075183A"/>
    <w:rsid w:val="00751873"/>
    <w:rsid w:val="007519B2"/>
    <w:rsid w:val="00751A7B"/>
    <w:rsid w:val="00751C03"/>
    <w:rsid w:val="00751C62"/>
    <w:rsid w:val="00751CA2"/>
    <w:rsid w:val="00751DA7"/>
    <w:rsid w:val="00751EE9"/>
    <w:rsid w:val="00751F3E"/>
    <w:rsid w:val="00752030"/>
    <w:rsid w:val="00752077"/>
    <w:rsid w:val="007522A9"/>
    <w:rsid w:val="00752326"/>
    <w:rsid w:val="0075237C"/>
    <w:rsid w:val="00752573"/>
    <w:rsid w:val="00752861"/>
    <w:rsid w:val="00752A46"/>
    <w:rsid w:val="00752AE7"/>
    <w:rsid w:val="00752CF7"/>
    <w:rsid w:val="00752D1A"/>
    <w:rsid w:val="00752D21"/>
    <w:rsid w:val="00752DB2"/>
    <w:rsid w:val="00752E57"/>
    <w:rsid w:val="00752E66"/>
    <w:rsid w:val="00752ED2"/>
    <w:rsid w:val="00752ED4"/>
    <w:rsid w:val="00752EDB"/>
    <w:rsid w:val="00752EE1"/>
    <w:rsid w:val="00752F30"/>
    <w:rsid w:val="00752F46"/>
    <w:rsid w:val="00753129"/>
    <w:rsid w:val="0075319E"/>
    <w:rsid w:val="007531B7"/>
    <w:rsid w:val="0075353F"/>
    <w:rsid w:val="0075370A"/>
    <w:rsid w:val="00753736"/>
    <w:rsid w:val="00753782"/>
    <w:rsid w:val="00753861"/>
    <w:rsid w:val="007538DE"/>
    <w:rsid w:val="00753A48"/>
    <w:rsid w:val="00753AA9"/>
    <w:rsid w:val="00753B01"/>
    <w:rsid w:val="00753BDC"/>
    <w:rsid w:val="00753D75"/>
    <w:rsid w:val="00753E2B"/>
    <w:rsid w:val="00753E91"/>
    <w:rsid w:val="00753EC0"/>
    <w:rsid w:val="0075416F"/>
    <w:rsid w:val="0075428E"/>
    <w:rsid w:val="007542C0"/>
    <w:rsid w:val="007543F1"/>
    <w:rsid w:val="00754640"/>
    <w:rsid w:val="0075471D"/>
    <w:rsid w:val="00754840"/>
    <w:rsid w:val="00754AB2"/>
    <w:rsid w:val="00754AD1"/>
    <w:rsid w:val="00754AD4"/>
    <w:rsid w:val="00754C18"/>
    <w:rsid w:val="00754C68"/>
    <w:rsid w:val="00754C72"/>
    <w:rsid w:val="00754E2A"/>
    <w:rsid w:val="00754E43"/>
    <w:rsid w:val="00754E8B"/>
    <w:rsid w:val="00754F0D"/>
    <w:rsid w:val="00754F22"/>
    <w:rsid w:val="00754F56"/>
    <w:rsid w:val="00755133"/>
    <w:rsid w:val="00755179"/>
    <w:rsid w:val="007551B8"/>
    <w:rsid w:val="007551EB"/>
    <w:rsid w:val="007553A3"/>
    <w:rsid w:val="0075541F"/>
    <w:rsid w:val="0075546F"/>
    <w:rsid w:val="00755475"/>
    <w:rsid w:val="007554B0"/>
    <w:rsid w:val="007554E7"/>
    <w:rsid w:val="00755548"/>
    <w:rsid w:val="007556C3"/>
    <w:rsid w:val="007556F8"/>
    <w:rsid w:val="00755712"/>
    <w:rsid w:val="0075572E"/>
    <w:rsid w:val="0075579D"/>
    <w:rsid w:val="0075590F"/>
    <w:rsid w:val="00755A7C"/>
    <w:rsid w:val="00755AA1"/>
    <w:rsid w:val="00755AEC"/>
    <w:rsid w:val="00755B05"/>
    <w:rsid w:val="00755C81"/>
    <w:rsid w:val="00755D47"/>
    <w:rsid w:val="00755D76"/>
    <w:rsid w:val="00755EB6"/>
    <w:rsid w:val="00755F34"/>
    <w:rsid w:val="00755F3F"/>
    <w:rsid w:val="00755F50"/>
    <w:rsid w:val="00755FB3"/>
    <w:rsid w:val="00756018"/>
    <w:rsid w:val="0075605D"/>
    <w:rsid w:val="00756245"/>
    <w:rsid w:val="007562BA"/>
    <w:rsid w:val="007563BF"/>
    <w:rsid w:val="007563E3"/>
    <w:rsid w:val="00756490"/>
    <w:rsid w:val="007564FF"/>
    <w:rsid w:val="0075676C"/>
    <w:rsid w:val="007569E7"/>
    <w:rsid w:val="00756A33"/>
    <w:rsid w:val="00756CFD"/>
    <w:rsid w:val="00756D00"/>
    <w:rsid w:val="00756D35"/>
    <w:rsid w:val="00756FC8"/>
    <w:rsid w:val="00757140"/>
    <w:rsid w:val="00757167"/>
    <w:rsid w:val="007571E8"/>
    <w:rsid w:val="00757226"/>
    <w:rsid w:val="0075727F"/>
    <w:rsid w:val="00757365"/>
    <w:rsid w:val="00757378"/>
    <w:rsid w:val="007573CB"/>
    <w:rsid w:val="00757ACA"/>
    <w:rsid w:val="00757C56"/>
    <w:rsid w:val="00757C64"/>
    <w:rsid w:val="00757CEF"/>
    <w:rsid w:val="00757D4C"/>
    <w:rsid w:val="00757F47"/>
    <w:rsid w:val="00760080"/>
    <w:rsid w:val="007600A1"/>
    <w:rsid w:val="00760294"/>
    <w:rsid w:val="007602BB"/>
    <w:rsid w:val="007602F5"/>
    <w:rsid w:val="007604B9"/>
    <w:rsid w:val="00760647"/>
    <w:rsid w:val="007606BF"/>
    <w:rsid w:val="007607E3"/>
    <w:rsid w:val="00760846"/>
    <w:rsid w:val="007608FC"/>
    <w:rsid w:val="00760A78"/>
    <w:rsid w:val="00760A9A"/>
    <w:rsid w:val="00760B53"/>
    <w:rsid w:val="00760C38"/>
    <w:rsid w:val="00760C5C"/>
    <w:rsid w:val="00760C6A"/>
    <w:rsid w:val="00760CBD"/>
    <w:rsid w:val="00760CF3"/>
    <w:rsid w:val="00760D5D"/>
    <w:rsid w:val="00760D91"/>
    <w:rsid w:val="00760E7B"/>
    <w:rsid w:val="007611DA"/>
    <w:rsid w:val="007611E0"/>
    <w:rsid w:val="007613C0"/>
    <w:rsid w:val="00761484"/>
    <w:rsid w:val="007614A8"/>
    <w:rsid w:val="007614E5"/>
    <w:rsid w:val="00761500"/>
    <w:rsid w:val="0076162E"/>
    <w:rsid w:val="00761653"/>
    <w:rsid w:val="0076173C"/>
    <w:rsid w:val="0076190B"/>
    <w:rsid w:val="00761979"/>
    <w:rsid w:val="00761A9B"/>
    <w:rsid w:val="00761B17"/>
    <w:rsid w:val="00761B77"/>
    <w:rsid w:val="00761C38"/>
    <w:rsid w:val="00761D32"/>
    <w:rsid w:val="00761D87"/>
    <w:rsid w:val="00761EAE"/>
    <w:rsid w:val="00761EB1"/>
    <w:rsid w:val="00762104"/>
    <w:rsid w:val="007621CE"/>
    <w:rsid w:val="007621F3"/>
    <w:rsid w:val="007622FF"/>
    <w:rsid w:val="007623A1"/>
    <w:rsid w:val="00762638"/>
    <w:rsid w:val="00762642"/>
    <w:rsid w:val="0076264D"/>
    <w:rsid w:val="00762790"/>
    <w:rsid w:val="00762793"/>
    <w:rsid w:val="007627BA"/>
    <w:rsid w:val="007627FF"/>
    <w:rsid w:val="00762812"/>
    <w:rsid w:val="00762879"/>
    <w:rsid w:val="0076287D"/>
    <w:rsid w:val="00762954"/>
    <w:rsid w:val="00762955"/>
    <w:rsid w:val="00762C2C"/>
    <w:rsid w:val="00762D63"/>
    <w:rsid w:val="00763042"/>
    <w:rsid w:val="007630CF"/>
    <w:rsid w:val="00763163"/>
    <w:rsid w:val="007631B4"/>
    <w:rsid w:val="007631B5"/>
    <w:rsid w:val="0076322B"/>
    <w:rsid w:val="00763356"/>
    <w:rsid w:val="007633C5"/>
    <w:rsid w:val="00763496"/>
    <w:rsid w:val="007636E1"/>
    <w:rsid w:val="0076371E"/>
    <w:rsid w:val="0076374A"/>
    <w:rsid w:val="00763965"/>
    <w:rsid w:val="00763A7F"/>
    <w:rsid w:val="00763B6B"/>
    <w:rsid w:val="00763B8C"/>
    <w:rsid w:val="00763CD0"/>
    <w:rsid w:val="00763CF5"/>
    <w:rsid w:val="00763E26"/>
    <w:rsid w:val="00763ED9"/>
    <w:rsid w:val="00763EEB"/>
    <w:rsid w:val="00764003"/>
    <w:rsid w:val="00764021"/>
    <w:rsid w:val="00764268"/>
    <w:rsid w:val="0076433D"/>
    <w:rsid w:val="00764359"/>
    <w:rsid w:val="0076450F"/>
    <w:rsid w:val="0076457B"/>
    <w:rsid w:val="007645BD"/>
    <w:rsid w:val="00764692"/>
    <w:rsid w:val="007646F3"/>
    <w:rsid w:val="00764755"/>
    <w:rsid w:val="00764761"/>
    <w:rsid w:val="007647EE"/>
    <w:rsid w:val="00764B52"/>
    <w:rsid w:val="00764C06"/>
    <w:rsid w:val="00764E08"/>
    <w:rsid w:val="00764E99"/>
    <w:rsid w:val="00764F0B"/>
    <w:rsid w:val="00764F93"/>
    <w:rsid w:val="00764FE4"/>
    <w:rsid w:val="00765175"/>
    <w:rsid w:val="007651C4"/>
    <w:rsid w:val="00765372"/>
    <w:rsid w:val="00765380"/>
    <w:rsid w:val="0076548E"/>
    <w:rsid w:val="00765683"/>
    <w:rsid w:val="00765719"/>
    <w:rsid w:val="0076572A"/>
    <w:rsid w:val="007658FB"/>
    <w:rsid w:val="00765A04"/>
    <w:rsid w:val="00765A11"/>
    <w:rsid w:val="00765A60"/>
    <w:rsid w:val="00765BC2"/>
    <w:rsid w:val="00765C00"/>
    <w:rsid w:val="00765F40"/>
    <w:rsid w:val="007661AF"/>
    <w:rsid w:val="007661F7"/>
    <w:rsid w:val="00766405"/>
    <w:rsid w:val="00766558"/>
    <w:rsid w:val="00766666"/>
    <w:rsid w:val="0076667D"/>
    <w:rsid w:val="007666A8"/>
    <w:rsid w:val="007666D2"/>
    <w:rsid w:val="007666E8"/>
    <w:rsid w:val="00766707"/>
    <w:rsid w:val="007667BD"/>
    <w:rsid w:val="00766863"/>
    <w:rsid w:val="0076697F"/>
    <w:rsid w:val="00766998"/>
    <w:rsid w:val="00766B3A"/>
    <w:rsid w:val="00766B59"/>
    <w:rsid w:val="00766BE6"/>
    <w:rsid w:val="00766BEF"/>
    <w:rsid w:val="00766C3F"/>
    <w:rsid w:val="00766C86"/>
    <w:rsid w:val="00766E44"/>
    <w:rsid w:val="00766FC1"/>
    <w:rsid w:val="0076725A"/>
    <w:rsid w:val="00767289"/>
    <w:rsid w:val="007672A0"/>
    <w:rsid w:val="00767319"/>
    <w:rsid w:val="0076736F"/>
    <w:rsid w:val="00767382"/>
    <w:rsid w:val="0076741C"/>
    <w:rsid w:val="007675D3"/>
    <w:rsid w:val="00767639"/>
    <w:rsid w:val="00767701"/>
    <w:rsid w:val="0076772D"/>
    <w:rsid w:val="0076780D"/>
    <w:rsid w:val="00767854"/>
    <w:rsid w:val="007678D8"/>
    <w:rsid w:val="007679BE"/>
    <w:rsid w:val="007679DB"/>
    <w:rsid w:val="00767B47"/>
    <w:rsid w:val="00767D4A"/>
    <w:rsid w:val="00767E3B"/>
    <w:rsid w:val="00767EC0"/>
    <w:rsid w:val="00770203"/>
    <w:rsid w:val="00770460"/>
    <w:rsid w:val="007705A1"/>
    <w:rsid w:val="00770655"/>
    <w:rsid w:val="007707D0"/>
    <w:rsid w:val="00770887"/>
    <w:rsid w:val="007708D6"/>
    <w:rsid w:val="007709A6"/>
    <w:rsid w:val="00770BAA"/>
    <w:rsid w:val="00770C0B"/>
    <w:rsid w:val="00770C74"/>
    <w:rsid w:val="00770D11"/>
    <w:rsid w:val="00770D17"/>
    <w:rsid w:val="00770DB7"/>
    <w:rsid w:val="00770E65"/>
    <w:rsid w:val="00770E7F"/>
    <w:rsid w:val="00770F5C"/>
    <w:rsid w:val="007711C5"/>
    <w:rsid w:val="00771464"/>
    <w:rsid w:val="00771486"/>
    <w:rsid w:val="00771538"/>
    <w:rsid w:val="0077157C"/>
    <w:rsid w:val="007715E1"/>
    <w:rsid w:val="00771639"/>
    <w:rsid w:val="0077166E"/>
    <w:rsid w:val="0077178D"/>
    <w:rsid w:val="0077187F"/>
    <w:rsid w:val="00771903"/>
    <w:rsid w:val="0077195E"/>
    <w:rsid w:val="00771999"/>
    <w:rsid w:val="007719AD"/>
    <w:rsid w:val="007719D5"/>
    <w:rsid w:val="00771A98"/>
    <w:rsid w:val="00771AC2"/>
    <w:rsid w:val="00771BCA"/>
    <w:rsid w:val="00771D4B"/>
    <w:rsid w:val="00771DA2"/>
    <w:rsid w:val="00771F33"/>
    <w:rsid w:val="0077202C"/>
    <w:rsid w:val="0077203D"/>
    <w:rsid w:val="0077208E"/>
    <w:rsid w:val="0077213F"/>
    <w:rsid w:val="00772203"/>
    <w:rsid w:val="007723A9"/>
    <w:rsid w:val="00772495"/>
    <w:rsid w:val="007724B9"/>
    <w:rsid w:val="00772635"/>
    <w:rsid w:val="00772775"/>
    <w:rsid w:val="007727CB"/>
    <w:rsid w:val="0077284E"/>
    <w:rsid w:val="0077296C"/>
    <w:rsid w:val="00772B07"/>
    <w:rsid w:val="00772B0D"/>
    <w:rsid w:val="00772B0E"/>
    <w:rsid w:val="00772BDA"/>
    <w:rsid w:val="00772C54"/>
    <w:rsid w:val="00772CCB"/>
    <w:rsid w:val="00772DC4"/>
    <w:rsid w:val="00772E98"/>
    <w:rsid w:val="00773162"/>
    <w:rsid w:val="007731A1"/>
    <w:rsid w:val="007731D9"/>
    <w:rsid w:val="00773278"/>
    <w:rsid w:val="00773300"/>
    <w:rsid w:val="00773331"/>
    <w:rsid w:val="007734AF"/>
    <w:rsid w:val="007734D8"/>
    <w:rsid w:val="007734D9"/>
    <w:rsid w:val="007734E9"/>
    <w:rsid w:val="00773522"/>
    <w:rsid w:val="0077355D"/>
    <w:rsid w:val="0077377B"/>
    <w:rsid w:val="007737B2"/>
    <w:rsid w:val="007738A4"/>
    <w:rsid w:val="00773A13"/>
    <w:rsid w:val="00773A1D"/>
    <w:rsid w:val="00773A30"/>
    <w:rsid w:val="00773A57"/>
    <w:rsid w:val="00773D6E"/>
    <w:rsid w:val="00773D9A"/>
    <w:rsid w:val="00773F0E"/>
    <w:rsid w:val="00774300"/>
    <w:rsid w:val="00774372"/>
    <w:rsid w:val="007744C9"/>
    <w:rsid w:val="0077450F"/>
    <w:rsid w:val="00774520"/>
    <w:rsid w:val="0077457D"/>
    <w:rsid w:val="007745E3"/>
    <w:rsid w:val="007746F9"/>
    <w:rsid w:val="00774823"/>
    <w:rsid w:val="007748D9"/>
    <w:rsid w:val="00774F0D"/>
    <w:rsid w:val="00774F16"/>
    <w:rsid w:val="00774FBF"/>
    <w:rsid w:val="00775192"/>
    <w:rsid w:val="007751E8"/>
    <w:rsid w:val="007751F1"/>
    <w:rsid w:val="00775287"/>
    <w:rsid w:val="00775335"/>
    <w:rsid w:val="00775571"/>
    <w:rsid w:val="0077560C"/>
    <w:rsid w:val="007757B1"/>
    <w:rsid w:val="00775907"/>
    <w:rsid w:val="007759B2"/>
    <w:rsid w:val="00775B3C"/>
    <w:rsid w:val="00775BE9"/>
    <w:rsid w:val="00775CC6"/>
    <w:rsid w:val="00775CF8"/>
    <w:rsid w:val="00775D10"/>
    <w:rsid w:val="00775E22"/>
    <w:rsid w:val="00775E54"/>
    <w:rsid w:val="007760B8"/>
    <w:rsid w:val="00776187"/>
    <w:rsid w:val="00776264"/>
    <w:rsid w:val="00776329"/>
    <w:rsid w:val="00776396"/>
    <w:rsid w:val="00776595"/>
    <w:rsid w:val="00776695"/>
    <w:rsid w:val="0077683D"/>
    <w:rsid w:val="00776845"/>
    <w:rsid w:val="00776918"/>
    <w:rsid w:val="0077694A"/>
    <w:rsid w:val="0077697C"/>
    <w:rsid w:val="007769A9"/>
    <w:rsid w:val="007769CD"/>
    <w:rsid w:val="00776B4C"/>
    <w:rsid w:val="00776BA1"/>
    <w:rsid w:val="00776BAF"/>
    <w:rsid w:val="00776CCE"/>
    <w:rsid w:val="00776FE6"/>
    <w:rsid w:val="0077701E"/>
    <w:rsid w:val="007770AF"/>
    <w:rsid w:val="0077725D"/>
    <w:rsid w:val="007773AE"/>
    <w:rsid w:val="00777487"/>
    <w:rsid w:val="007775AE"/>
    <w:rsid w:val="007775D6"/>
    <w:rsid w:val="007775E2"/>
    <w:rsid w:val="007775FC"/>
    <w:rsid w:val="00777608"/>
    <w:rsid w:val="007777BB"/>
    <w:rsid w:val="00777887"/>
    <w:rsid w:val="007778EC"/>
    <w:rsid w:val="00777921"/>
    <w:rsid w:val="00777989"/>
    <w:rsid w:val="007779BC"/>
    <w:rsid w:val="00777B9F"/>
    <w:rsid w:val="00777D19"/>
    <w:rsid w:val="00777D7D"/>
    <w:rsid w:val="00777F32"/>
    <w:rsid w:val="00780001"/>
    <w:rsid w:val="00780024"/>
    <w:rsid w:val="007800A2"/>
    <w:rsid w:val="007802B4"/>
    <w:rsid w:val="007803A0"/>
    <w:rsid w:val="00780414"/>
    <w:rsid w:val="007804A4"/>
    <w:rsid w:val="007804CD"/>
    <w:rsid w:val="00780518"/>
    <w:rsid w:val="0078059A"/>
    <w:rsid w:val="00780708"/>
    <w:rsid w:val="0078075E"/>
    <w:rsid w:val="0078084D"/>
    <w:rsid w:val="00780862"/>
    <w:rsid w:val="007808A8"/>
    <w:rsid w:val="0078091E"/>
    <w:rsid w:val="00780A00"/>
    <w:rsid w:val="00780A22"/>
    <w:rsid w:val="00780A49"/>
    <w:rsid w:val="00780A6A"/>
    <w:rsid w:val="00780BC3"/>
    <w:rsid w:val="00780C1D"/>
    <w:rsid w:val="00780C69"/>
    <w:rsid w:val="00780F73"/>
    <w:rsid w:val="00781096"/>
    <w:rsid w:val="007813C1"/>
    <w:rsid w:val="007814BA"/>
    <w:rsid w:val="00781514"/>
    <w:rsid w:val="00781544"/>
    <w:rsid w:val="00781596"/>
    <w:rsid w:val="00781832"/>
    <w:rsid w:val="007819FB"/>
    <w:rsid w:val="00781B21"/>
    <w:rsid w:val="00781CF4"/>
    <w:rsid w:val="00781D13"/>
    <w:rsid w:val="00781D90"/>
    <w:rsid w:val="00781FB8"/>
    <w:rsid w:val="00781FBE"/>
    <w:rsid w:val="007820C6"/>
    <w:rsid w:val="0078217C"/>
    <w:rsid w:val="00782284"/>
    <w:rsid w:val="007822B7"/>
    <w:rsid w:val="0078238F"/>
    <w:rsid w:val="00782420"/>
    <w:rsid w:val="00782474"/>
    <w:rsid w:val="007825DD"/>
    <w:rsid w:val="0078262A"/>
    <w:rsid w:val="00782692"/>
    <w:rsid w:val="0078289B"/>
    <w:rsid w:val="0078289C"/>
    <w:rsid w:val="007828B8"/>
    <w:rsid w:val="00782B25"/>
    <w:rsid w:val="00782BC3"/>
    <w:rsid w:val="00782CD5"/>
    <w:rsid w:val="00782E97"/>
    <w:rsid w:val="00782EB1"/>
    <w:rsid w:val="00782FA3"/>
    <w:rsid w:val="00783044"/>
    <w:rsid w:val="00783047"/>
    <w:rsid w:val="0078309A"/>
    <w:rsid w:val="00783134"/>
    <w:rsid w:val="00783225"/>
    <w:rsid w:val="00783435"/>
    <w:rsid w:val="007834D9"/>
    <w:rsid w:val="00783585"/>
    <w:rsid w:val="00783600"/>
    <w:rsid w:val="00783656"/>
    <w:rsid w:val="007838AD"/>
    <w:rsid w:val="00783930"/>
    <w:rsid w:val="00783979"/>
    <w:rsid w:val="00783983"/>
    <w:rsid w:val="007839D7"/>
    <w:rsid w:val="007839DB"/>
    <w:rsid w:val="00783BAA"/>
    <w:rsid w:val="00783D73"/>
    <w:rsid w:val="00783F65"/>
    <w:rsid w:val="00784156"/>
    <w:rsid w:val="00784157"/>
    <w:rsid w:val="0078428E"/>
    <w:rsid w:val="007842F7"/>
    <w:rsid w:val="007843A0"/>
    <w:rsid w:val="00784405"/>
    <w:rsid w:val="0078450E"/>
    <w:rsid w:val="00784514"/>
    <w:rsid w:val="00784637"/>
    <w:rsid w:val="00784735"/>
    <w:rsid w:val="00784758"/>
    <w:rsid w:val="0078481D"/>
    <w:rsid w:val="007848BA"/>
    <w:rsid w:val="00784A46"/>
    <w:rsid w:val="00784A6E"/>
    <w:rsid w:val="00784BC7"/>
    <w:rsid w:val="00784C9F"/>
    <w:rsid w:val="00784E07"/>
    <w:rsid w:val="00784E0C"/>
    <w:rsid w:val="00784F2D"/>
    <w:rsid w:val="00784FBF"/>
    <w:rsid w:val="00784FC5"/>
    <w:rsid w:val="00785011"/>
    <w:rsid w:val="0078513E"/>
    <w:rsid w:val="007852EF"/>
    <w:rsid w:val="007855CD"/>
    <w:rsid w:val="0078575A"/>
    <w:rsid w:val="00785762"/>
    <w:rsid w:val="007857F3"/>
    <w:rsid w:val="0078599B"/>
    <w:rsid w:val="007859A0"/>
    <w:rsid w:val="00785B20"/>
    <w:rsid w:val="00785C42"/>
    <w:rsid w:val="00785D7E"/>
    <w:rsid w:val="00785EE1"/>
    <w:rsid w:val="00785FC7"/>
    <w:rsid w:val="00786190"/>
    <w:rsid w:val="0078630F"/>
    <w:rsid w:val="007863F4"/>
    <w:rsid w:val="00786517"/>
    <w:rsid w:val="0078654F"/>
    <w:rsid w:val="00786558"/>
    <w:rsid w:val="0078659B"/>
    <w:rsid w:val="007866AE"/>
    <w:rsid w:val="00786B01"/>
    <w:rsid w:val="00786B55"/>
    <w:rsid w:val="00786BA3"/>
    <w:rsid w:val="00786C46"/>
    <w:rsid w:val="00786DF6"/>
    <w:rsid w:val="00786EE7"/>
    <w:rsid w:val="00786F07"/>
    <w:rsid w:val="007871B2"/>
    <w:rsid w:val="007871D9"/>
    <w:rsid w:val="007871E6"/>
    <w:rsid w:val="00787218"/>
    <w:rsid w:val="0078725C"/>
    <w:rsid w:val="007873FE"/>
    <w:rsid w:val="00787483"/>
    <w:rsid w:val="007874B7"/>
    <w:rsid w:val="00787701"/>
    <w:rsid w:val="00787732"/>
    <w:rsid w:val="00787921"/>
    <w:rsid w:val="007879EC"/>
    <w:rsid w:val="00787A7C"/>
    <w:rsid w:val="00787AF7"/>
    <w:rsid w:val="00787DEA"/>
    <w:rsid w:val="00787DF4"/>
    <w:rsid w:val="00787E80"/>
    <w:rsid w:val="00787EEF"/>
    <w:rsid w:val="00787F4F"/>
    <w:rsid w:val="00787F70"/>
    <w:rsid w:val="00787F7E"/>
    <w:rsid w:val="00787FC4"/>
    <w:rsid w:val="00787FF8"/>
    <w:rsid w:val="00790031"/>
    <w:rsid w:val="007900A9"/>
    <w:rsid w:val="00790103"/>
    <w:rsid w:val="00790190"/>
    <w:rsid w:val="007901C7"/>
    <w:rsid w:val="00790234"/>
    <w:rsid w:val="0079029A"/>
    <w:rsid w:val="007902ED"/>
    <w:rsid w:val="007903CF"/>
    <w:rsid w:val="00790741"/>
    <w:rsid w:val="007908F4"/>
    <w:rsid w:val="0079093C"/>
    <w:rsid w:val="00790953"/>
    <w:rsid w:val="007909A1"/>
    <w:rsid w:val="007909DC"/>
    <w:rsid w:val="00790A89"/>
    <w:rsid w:val="00790D08"/>
    <w:rsid w:val="00790DC0"/>
    <w:rsid w:val="00790E4A"/>
    <w:rsid w:val="00790F1E"/>
    <w:rsid w:val="0079105B"/>
    <w:rsid w:val="00791211"/>
    <w:rsid w:val="00791381"/>
    <w:rsid w:val="007913E6"/>
    <w:rsid w:val="0079140A"/>
    <w:rsid w:val="00791449"/>
    <w:rsid w:val="007915D4"/>
    <w:rsid w:val="0079177B"/>
    <w:rsid w:val="00791812"/>
    <w:rsid w:val="00791892"/>
    <w:rsid w:val="0079189C"/>
    <w:rsid w:val="0079189D"/>
    <w:rsid w:val="00791991"/>
    <w:rsid w:val="00791A43"/>
    <w:rsid w:val="00791AD0"/>
    <w:rsid w:val="00791CB7"/>
    <w:rsid w:val="00791CB9"/>
    <w:rsid w:val="00791E26"/>
    <w:rsid w:val="00791E63"/>
    <w:rsid w:val="00791EC6"/>
    <w:rsid w:val="00791F66"/>
    <w:rsid w:val="00791F86"/>
    <w:rsid w:val="0079204E"/>
    <w:rsid w:val="00792110"/>
    <w:rsid w:val="007922EF"/>
    <w:rsid w:val="00792303"/>
    <w:rsid w:val="00792380"/>
    <w:rsid w:val="00792431"/>
    <w:rsid w:val="007924E2"/>
    <w:rsid w:val="0079259C"/>
    <w:rsid w:val="00792608"/>
    <w:rsid w:val="00792625"/>
    <w:rsid w:val="00792772"/>
    <w:rsid w:val="00792802"/>
    <w:rsid w:val="0079284A"/>
    <w:rsid w:val="007928E1"/>
    <w:rsid w:val="007928FE"/>
    <w:rsid w:val="00792966"/>
    <w:rsid w:val="00792B13"/>
    <w:rsid w:val="00792CA5"/>
    <w:rsid w:val="00792CCF"/>
    <w:rsid w:val="00792CFE"/>
    <w:rsid w:val="007930AE"/>
    <w:rsid w:val="00793213"/>
    <w:rsid w:val="00793244"/>
    <w:rsid w:val="007932EF"/>
    <w:rsid w:val="00793361"/>
    <w:rsid w:val="007933ED"/>
    <w:rsid w:val="0079352F"/>
    <w:rsid w:val="007935B7"/>
    <w:rsid w:val="007936B0"/>
    <w:rsid w:val="00793877"/>
    <w:rsid w:val="007938EB"/>
    <w:rsid w:val="00793B11"/>
    <w:rsid w:val="00793BE3"/>
    <w:rsid w:val="00793C05"/>
    <w:rsid w:val="00793CB7"/>
    <w:rsid w:val="00793D31"/>
    <w:rsid w:val="00793D41"/>
    <w:rsid w:val="00793E07"/>
    <w:rsid w:val="00793EC5"/>
    <w:rsid w:val="00793F82"/>
    <w:rsid w:val="00793F9F"/>
    <w:rsid w:val="00793FF8"/>
    <w:rsid w:val="007940D5"/>
    <w:rsid w:val="0079412C"/>
    <w:rsid w:val="007943B7"/>
    <w:rsid w:val="007943CE"/>
    <w:rsid w:val="00794471"/>
    <w:rsid w:val="00794524"/>
    <w:rsid w:val="007945AC"/>
    <w:rsid w:val="0079461F"/>
    <w:rsid w:val="0079464B"/>
    <w:rsid w:val="0079466E"/>
    <w:rsid w:val="0079467D"/>
    <w:rsid w:val="007948C0"/>
    <w:rsid w:val="00794C8A"/>
    <w:rsid w:val="00794CA8"/>
    <w:rsid w:val="00794EC7"/>
    <w:rsid w:val="00794EE1"/>
    <w:rsid w:val="00794FA8"/>
    <w:rsid w:val="007950E3"/>
    <w:rsid w:val="0079511E"/>
    <w:rsid w:val="00795147"/>
    <w:rsid w:val="0079519E"/>
    <w:rsid w:val="00795231"/>
    <w:rsid w:val="007952E9"/>
    <w:rsid w:val="00795429"/>
    <w:rsid w:val="007954D3"/>
    <w:rsid w:val="0079563B"/>
    <w:rsid w:val="007957F5"/>
    <w:rsid w:val="00795837"/>
    <w:rsid w:val="00795870"/>
    <w:rsid w:val="00795889"/>
    <w:rsid w:val="00795BC9"/>
    <w:rsid w:val="00795CAF"/>
    <w:rsid w:val="00795DE8"/>
    <w:rsid w:val="00795E5E"/>
    <w:rsid w:val="00795EAA"/>
    <w:rsid w:val="00795EB8"/>
    <w:rsid w:val="00795EE7"/>
    <w:rsid w:val="00796051"/>
    <w:rsid w:val="007961EB"/>
    <w:rsid w:val="007963E4"/>
    <w:rsid w:val="00796443"/>
    <w:rsid w:val="0079647B"/>
    <w:rsid w:val="007966C9"/>
    <w:rsid w:val="0079687E"/>
    <w:rsid w:val="007968C1"/>
    <w:rsid w:val="00796966"/>
    <w:rsid w:val="007969E4"/>
    <w:rsid w:val="00796A1B"/>
    <w:rsid w:val="00796A4A"/>
    <w:rsid w:val="00796B19"/>
    <w:rsid w:val="00796BD0"/>
    <w:rsid w:val="00796C08"/>
    <w:rsid w:val="00796D66"/>
    <w:rsid w:val="00796D88"/>
    <w:rsid w:val="0079732F"/>
    <w:rsid w:val="007973EB"/>
    <w:rsid w:val="00797549"/>
    <w:rsid w:val="00797603"/>
    <w:rsid w:val="0079765F"/>
    <w:rsid w:val="00797751"/>
    <w:rsid w:val="0079779E"/>
    <w:rsid w:val="0079785A"/>
    <w:rsid w:val="00797893"/>
    <w:rsid w:val="00797935"/>
    <w:rsid w:val="00797A1B"/>
    <w:rsid w:val="00797A28"/>
    <w:rsid w:val="00797A3F"/>
    <w:rsid w:val="00797A41"/>
    <w:rsid w:val="00797B44"/>
    <w:rsid w:val="00797B9D"/>
    <w:rsid w:val="00797BFC"/>
    <w:rsid w:val="00797CE9"/>
    <w:rsid w:val="00797CF0"/>
    <w:rsid w:val="00797D54"/>
    <w:rsid w:val="00797DFF"/>
    <w:rsid w:val="00797E12"/>
    <w:rsid w:val="00797F9B"/>
    <w:rsid w:val="007A0001"/>
    <w:rsid w:val="007A0029"/>
    <w:rsid w:val="007A00B6"/>
    <w:rsid w:val="007A0170"/>
    <w:rsid w:val="007A01B5"/>
    <w:rsid w:val="007A022A"/>
    <w:rsid w:val="007A029B"/>
    <w:rsid w:val="007A0398"/>
    <w:rsid w:val="007A03C0"/>
    <w:rsid w:val="007A0405"/>
    <w:rsid w:val="007A04D9"/>
    <w:rsid w:val="007A0583"/>
    <w:rsid w:val="007A0646"/>
    <w:rsid w:val="007A06E8"/>
    <w:rsid w:val="007A0950"/>
    <w:rsid w:val="007A0B8B"/>
    <w:rsid w:val="007A0DA1"/>
    <w:rsid w:val="007A0E2B"/>
    <w:rsid w:val="007A0FCE"/>
    <w:rsid w:val="007A108E"/>
    <w:rsid w:val="007A1099"/>
    <w:rsid w:val="007A12C7"/>
    <w:rsid w:val="007A13A2"/>
    <w:rsid w:val="007A1403"/>
    <w:rsid w:val="007A1410"/>
    <w:rsid w:val="007A144F"/>
    <w:rsid w:val="007A1499"/>
    <w:rsid w:val="007A180A"/>
    <w:rsid w:val="007A1810"/>
    <w:rsid w:val="007A188B"/>
    <w:rsid w:val="007A18C3"/>
    <w:rsid w:val="007A1988"/>
    <w:rsid w:val="007A19F1"/>
    <w:rsid w:val="007A1B24"/>
    <w:rsid w:val="007A1B70"/>
    <w:rsid w:val="007A1DD4"/>
    <w:rsid w:val="007A200C"/>
    <w:rsid w:val="007A2046"/>
    <w:rsid w:val="007A2150"/>
    <w:rsid w:val="007A22F5"/>
    <w:rsid w:val="007A23B2"/>
    <w:rsid w:val="007A25A8"/>
    <w:rsid w:val="007A25D3"/>
    <w:rsid w:val="007A278C"/>
    <w:rsid w:val="007A27BE"/>
    <w:rsid w:val="007A2817"/>
    <w:rsid w:val="007A2857"/>
    <w:rsid w:val="007A2873"/>
    <w:rsid w:val="007A2952"/>
    <w:rsid w:val="007A2A12"/>
    <w:rsid w:val="007A2A67"/>
    <w:rsid w:val="007A2BAB"/>
    <w:rsid w:val="007A2C9E"/>
    <w:rsid w:val="007A2CD0"/>
    <w:rsid w:val="007A2CE4"/>
    <w:rsid w:val="007A2E46"/>
    <w:rsid w:val="007A32C4"/>
    <w:rsid w:val="007A32D1"/>
    <w:rsid w:val="007A34BF"/>
    <w:rsid w:val="007A36CC"/>
    <w:rsid w:val="007A37B9"/>
    <w:rsid w:val="007A3B48"/>
    <w:rsid w:val="007A3DA2"/>
    <w:rsid w:val="007A3E1F"/>
    <w:rsid w:val="007A3F85"/>
    <w:rsid w:val="007A3FDD"/>
    <w:rsid w:val="007A4009"/>
    <w:rsid w:val="007A41C8"/>
    <w:rsid w:val="007A426B"/>
    <w:rsid w:val="007A42A4"/>
    <w:rsid w:val="007A42E8"/>
    <w:rsid w:val="007A4337"/>
    <w:rsid w:val="007A4374"/>
    <w:rsid w:val="007A440B"/>
    <w:rsid w:val="007A4533"/>
    <w:rsid w:val="007A4673"/>
    <w:rsid w:val="007A47EA"/>
    <w:rsid w:val="007A4861"/>
    <w:rsid w:val="007A4888"/>
    <w:rsid w:val="007A48AC"/>
    <w:rsid w:val="007A49A7"/>
    <w:rsid w:val="007A49F4"/>
    <w:rsid w:val="007A4A85"/>
    <w:rsid w:val="007A4ACE"/>
    <w:rsid w:val="007A4C3B"/>
    <w:rsid w:val="007A4CAC"/>
    <w:rsid w:val="007A4D06"/>
    <w:rsid w:val="007A4D11"/>
    <w:rsid w:val="007A4E5D"/>
    <w:rsid w:val="007A4EA9"/>
    <w:rsid w:val="007A5079"/>
    <w:rsid w:val="007A518B"/>
    <w:rsid w:val="007A51E8"/>
    <w:rsid w:val="007A51F9"/>
    <w:rsid w:val="007A52E9"/>
    <w:rsid w:val="007A532B"/>
    <w:rsid w:val="007A549E"/>
    <w:rsid w:val="007A549F"/>
    <w:rsid w:val="007A54B6"/>
    <w:rsid w:val="007A54F4"/>
    <w:rsid w:val="007A55A5"/>
    <w:rsid w:val="007A591E"/>
    <w:rsid w:val="007A5A69"/>
    <w:rsid w:val="007A5AAF"/>
    <w:rsid w:val="007A5AB1"/>
    <w:rsid w:val="007A5B86"/>
    <w:rsid w:val="007A5C12"/>
    <w:rsid w:val="007A5C76"/>
    <w:rsid w:val="007A5D4B"/>
    <w:rsid w:val="007A5D5C"/>
    <w:rsid w:val="007A601D"/>
    <w:rsid w:val="007A6084"/>
    <w:rsid w:val="007A60ED"/>
    <w:rsid w:val="007A635E"/>
    <w:rsid w:val="007A63D1"/>
    <w:rsid w:val="007A6474"/>
    <w:rsid w:val="007A6615"/>
    <w:rsid w:val="007A66AB"/>
    <w:rsid w:val="007A6715"/>
    <w:rsid w:val="007A6717"/>
    <w:rsid w:val="007A689F"/>
    <w:rsid w:val="007A68BD"/>
    <w:rsid w:val="007A694E"/>
    <w:rsid w:val="007A69E6"/>
    <w:rsid w:val="007A6C3A"/>
    <w:rsid w:val="007A6C57"/>
    <w:rsid w:val="007A6C68"/>
    <w:rsid w:val="007A6CA8"/>
    <w:rsid w:val="007A6D35"/>
    <w:rsid w:val="007A6ECC"/>
    <w:rsid w:val="007A6FC5"/>
    <w:rsid w:val="007A7195"/>
    <w:rsid w:val="007A71A5"/>
    <w:rsid w:val="007A7247"/>
    <w:rsid w:val="007A72C2"/>
    <w:rsid w:val="007A7308"/>
    <w:rsid w:val="007A7370"/>
    <w:rsid w:val="007A7396"/>
    <w:rsid w:val="007A7433"/>
    <w:rsid w:val="007A7518"/>
    <w:rsid w:val="007A764C"/>
    <w:rsid w:val="007A7A38"/>
    <w:rsid w:val="007A7A72"/>
    <w:rsid w:val="007A7B3F"/>
    <w:rsid w:val="007A7B43"/>
    <w:rsid w:val="007A7B55"/>
    <w:rsid w:val="007A7BE1"/>
    <w:rsid w:val="007A7C0A"/>
    <w:rsid w:val="007A7C9E"/>
    <w:rsid w:val="007A7D3C"/>
    <w:rsid w:val="007A7E2B"/>
    <w:rsid w:val="007A7F25"/>
    <w:rsid w:val="007A7F48"/>
    <w:rsid w:val="007A7F63"/>
    <w:rsid w:val="007A7F7D"/>
    <w:rsid w:val="007A7FAB"/>
    <w:rsid w:val="007B003D"/>
    <w:rsid w:val="007B00B6"/>
    <w:rsid w:val="007B027E"/>
    <w:rsid w:val="007B02D1"/>
    <w:rsid w:val="007B0461"/>
    <w:rsid w:val="007B05E0"/>
    <w:rsid w:val="007B0701"/>
    <w:rsid w:val="007B0752"/>
    <w:rsid w:val="007B0778"/>
    <w:rsid w:val="007B078F"/>
    <w:rsid w:val="007B0861"/>
    <w:rsid w:val="007B0866"/>
    <w:rsid w:val="007B09B7"/>
    <w:rsid w:val="007B0AAA"/>
    <w:rsid w:val="007B0ABC"/>
    <w:rsid w:val="007B0C32"/>
    <w:rsid w:val="007B0D1B"/>
    <w:rsid w:val="007B0D68"/>
    <w:rsid w:val="007B0EE0"/>
    <w:rsid w:val="007B0F62"/>
    <w:rsid w:val="007B0F9A"/>
    <w:rsid w:val="007B114E"/>
    <w:rsid w:val="007B117D"/>
    <w:rsid w:val="007B1227"/>
    <w:rsid w:val="007B1327"/>
    <w:rsid w:val="007B1342"/>
    <w:rsid w:val="007B1358"/>
    <w:rsid w:val="007B1440"/>
    <w:rsid w:val="007B1474"/>
    <w:rsid w:val="007B1672"/>
    <w:rsid w:val="007B1728"/>
    <w:rsid w:val="007B1861"/>
    <w:rsid w:val="007B186B"/>
    <w:rsid w:val="007B1923"/>
    <w:rsid w:val="007B1937"/>
    <w:rsid w:val="007B1949"/>
    <w:rsid w:val="007B19C8"/>
    <w:rsid w:val="007B19FE"/>
    <w:rsid w:val="007B1BE3"/>
    <w:rsid w:val="007B1C31"/>
    <w:rsid w:val="007B1D50"/>
    <w:rsid w:val="007B1D60"/>
    <w:rsid w:val="007B1DB2"/>
    <w:rsid w:val="007B1ED7"/>
    <w:rsid w:val="007B206C"/>
    <w:rsid w:val="007B213C"/>
    <w:rsid w:val="007B22B7"/>
    <w:rsid w:val="007B2389"/>
    <w:rsid w:val="007B25AF"/>
    <w:rsid w:val="007B25B2"/>
    <w:rsid w:val="007B2645"/>
    <w:rsid w:val="007B268A"/>
    <w:rsid w:val="007B2692"/>
    <w:rsid w:val="007B26DD"/>
    <w:rsid w:val="007B2710"/>
    <w:rsid w:val="007B2925"/>
    <w:rsid w:val="007B2A46"/>
    <w:rsid w:val="007B2AA4"/>
    <w:rsid w:val="007B2C11"/>
    <w:rsid w:val="007B2E00"/>
    <w:rsid w:val="007B2E63"/>
    <w:rsid w:val="007B3034"/>
    <w:rsid w:val="007B3068"/>
    <w:rsid w:val="007B3126"/>
    <w:rsid w:val="007B337D"/>
    <w:rsid w:val="007B346E"/>
    <w:rsid w:val="007B3484"/>
    <w:rsid w:val="007B349E"/>
    <w:rsid w:val="007B34BD"/>
    <w:rsid w:val="007B3678"/>
    <w:rsid w:val="007B379C"/>
    <w:rsid w:val="007B37B8"/>
    <w:rsid w:val="007B3878"/>
    <w:rsid w:val="007B38BB"/>
    <w:rsid w:val="007B39D2"/>
    <w:rsid w:val="007B3A2F"/>
    <w:rsid w:val="007B3A5A"/>
    <w:rsid w:val="007B3B32"/>
    <w:rsid w:val="007B3B5D"/>
    <w:rsid w:val="007B3BE8"/>
    <w:rsid w:val="007B3C02"/>
    <w:rsid w:val="007B3C17"/>
    <w:rsid w:val="007B3C27"/>
    <w:rsid w:val="007B3C5C"/>
    <w:rsid w:val="007B3D0C"/>
    <w:rsid w:val="007B3E15"/>
    <w:rsid w:val="007B3F12"/>
    <w:rsid w:val="007B3F1A"/>
    <w:rsid w:val="007B4062"/>
    <w:rsid w:val="007B4105"/>
    <w:rsid w:val="007B410D"/>
    <w:rsid w:val="007B432A"/>
    <w:rsid w:val="007B4375"/>
    <w:rsid w:val="007B43D3"/>
    <w:rsid w:val="007B43D8"/>
    <w:rsid w:val="007B4492"/>
    <w:rsid w:val="007B44E9"/>
    <w:rsid w:val="007B451C"/>
    <w:rsid w:val="007B453F"/>
    <w:rsid w:val="007B45D5"/>
    <w:rsid w:val="007B47AB"/>
    <w:rsid w:val="007B486A"/>
    <w:rsid w:val="007B497B"/>
    <w:rsid w:val="007B4A77"/>
    <w:rsid w:val="007B4AD8"/>
    <w:rsid w:val="007B4BEA"/>
    <w:rsid w:val="007B4DAB"/>
    <w:rsid w:val="007B4E2B"/>
    <w:rsid w:val="007B4E80"/>
    <w:rsid w:val="007B4EBE"/>
    <w:rsid w:val="007B4F4A"/>
    <w:rsid w:val="007B50BB"/>
    <w:rsid w:val="007B50CA"/>
    <w:rsid w:val="007B50E6"/>
    <w:rsid w:val="007B50F3"/>
    <w:rsid w:val="007B5123"/>
    <w:rsid w:val="007B5175"/>
    <w:rsid w:val="007B5249"/>
    <w:rsid w:val="007B5359"/>
    <w:rsid w:val="007B538A"/>
    <w:rsid w:val="007B5390"/>
    <w:rsid w:val="007B53A4"/>
    <w:rsid w:val="007B5437"/>
    <w:rsid w:val="007B5720"/>
    <w:rsid w:val="007B5821"/>
    <w:rsid w:val="007B58DA"/>
    <w:rsid w:val="007B58E9"/>
    <w:rsid w:val="007B5B19"/>
    <w:rsid w:val="007B5C89"/>
    <w:rsid w:val="007B5CCB"/>
    <w:rsid w:val="007B5D7A"/>
    <w:rsid w:val="007B5DE3"/>
    <w:rsid w:val="007B5E42"/>
    <w:rsid w:val="007B5FFB"/>
    <w:rsid w:val="007B6093"/>
    <w:rsid w:val="007B62BE"/>
    <w:rsid w:val="007B62C2"/>
    <w:rsid w:val="007B6319"/>
    <w:rsid w:val="007B63AD"/>
    <w:rsid w:val="007B63EA"/>
    <w:rsid w:val="007B6494"/>
    <w:rsid w:val="007B6528"/>
    <w:rsid w:val="007B676F"/>
    <w:rsid w:val="007B69A4"/>
    <w:rsid w:val="007B6AB2"/>
    <w:rsid w:val="007B6ADB"/>
    <w:rsid w:val="007B6B82"/>
    <w:rsid w:val="007B6D2A"/>
    <w:rsid w:val="007B6D68"/>
    <w:rsid w:val="007B6EDB"/>
    <w:rsid w:val="007B6EE8"/>
    <w:rsid w:val="007B6F32"/>
    <w:rsid w:val="007B6F3E"/>
    <w:rsid w:val="007B6FD0"/>
    <w:rsid w:val="007B6FD4"/>
    <w:rsid w:val="007B727C"/>
    <w:rsid w:val="007B732F"/>
    <w:rsid w:val="007B74B9"/>
    <w:rsid w:val="007B74E6"/>
    <w:rsid w:val="007B7542"/>
    <w:rsid w:val="007B755E"/>
    <w:rsid w:val="007B7613"/>
    <w:rsid w:val="007B7661"/>
    <w:rsid w:val="007B76A3"/>
    <w:rsid w:val="007B7713"/>
    <w:rsid w:val="007B7716"/>
    <w:rsid w:val="007B7871"/>
    <w:rsid w:val="007B7891"/>
    <w:rsid w:val="007B78DE"/>
    <w:rsid w:val="007B7A11"/>
    <w:rsid w:val="007B7A40"/>
    <w:rsid w:val="007B7B08"/>
    <w:rsid w:val="007B7B67"/>
    <w:rsid w:val="007B7C6E"/>
    <w:rsid w:val="007B7DB8"/>
    <w:rsid w:val="007C04E4"/>
    <w:rsid w:val="007C0702"/>
    <w:rsid w:val="007C094C"/>
    <w:rsid w:val="007C097E"/>
    <w:rsid w:val="007C0A04"/>
    <w:rsid w:val="007C0AD0"/>
    <w:rsid w:val="007C0B9A"/>
    <w:rsid w:val="007C0C83"/>
    <w:rsid w:val="007C0D32"/>
    <w:rsid w:val="007C0DAD"/>
    <w:rsid w:val="007C0E6C"/>
    <w:rsid w:val="007C0E81"/>
    <w:rsid w:val="007C0EFA"/>
    <w:rsid w:val="007C12F9"/>
    <w:rsid w:val="007C1359"/>
    <w:rsid w:val="007C13A1"/>
    <w:rsid w:val="007C13B3"/>
    <w:rsid w:val="007C13CB"/>
    <w:rsid w:val="007C1582"/>
    <w:rsid w:val="007C169F"/>
    <w:rsid w:val="007C17B5"/>
    <w:rsid w:val="007C18CD"/>
    <w:rsid w:val="007C194E"/>
    <w:rsid w:val="007C1DEE"/>
    <w:rsid w:val="007C1E51"/>
    <w:rsid w:val="007C1EAB"/>
    <w:rsid w:val="007C1F38"/>
    <w:rsid w:val="007C1F5F"/>
    <w:rsid w:val="007C1FC8"/>
    <w:rsid w:val="007C2113"/>
    <w:rsid w:val="007C23B8"/>
    <w:rsid w:val="007C23C3"/>
    <w:rsid w:val="007C23FA"/>
    <w:rsid w:val="007C249F"/>
    <w:rsid w:val="007C24FD"/>
    <w:rsid w:val="007C25A9"/>
    <w:rsid w:val="007C25D9"/>
    <w:rsid w:val="007C267C"/>
    <w:rsid w:val="007C26B1"/>
    <w:rsid w:val="007C2707"/>
    <w:rsid w:val="007C2810"/>
    <w:rsid w:val="007C29B4"/>
    <w:rsid w:val="007C2A2D"/>
    <w:rsid w:val="007C2A33"/>
    <w:rsid w:val="007C2A4A"/>
    <w:rsid w:val="007C2BBD"/>
    <w:rsid w:val="007C2CCA"/>
    <w:rsid w:val="007C2CD7"/>
    <w:rsid w:val="007C2D35"/>
    <w:rsid w:val="007C2DF9"/>
    <w:rsid w:val="007C2F7A"/>
    <w:rsid w:val="007C3008"/>
    <w:rsid w:val="007C30C9"/>
    <w:rsid w:val="007C3116"/>
    <w:rsid w:val="007C316F"/>
    <w:rsid w:val="007C3231"/>
    <w:rsid w:val="007C3239"/>
    <w:rsid w:val="007C325B"/>
    <w:rsid w:val="007C359E"/>
    <w:rsid w:val="007C35BD"/>
    <w:rsid w:val="007C365A"/>
    <w:rsid w:val="007C36D0"/>
    <w:rsid w:val="007C36F9"/>
    <w:rsid w:val="007C3791"/>
    <w:rsid w:val="007C39B3"/>
    <w:rsid w:val="007C39F6"/>
    <w:rsid w:val="007C3AE3"/>
    <w:rsid w:val="007C3B70"/>
    <w:rsid w:val="007C3C8F"/>
    <w:rsid w:val="007C3D8E"/>
    <w:rsid w:val="007C3DDC"/>
    <w:rsid w:val="007C3F1F"/>
    <w:rsid w:val="007C3F62"/>
    <w:rsid w:val="007C3FC4"/>
    <w:rsid w:val="007C3FD4"/>
    <w:rsid w:val="007C4017"/>
    <w:rsid w:val="007C4092"/>
    <w:rsid w:val="007C40D0"/>
    <w:rsid w:val="007C410F"/>
    <w:rsid w:val="007C426B"/>
    <w:rsid w:val="007C43B8"/>
    <w:rsid w:val="007C43BC"/>
    <w:rsid w:val="007C4424"/>
    <w:rsid w:val="007C445A"/>
    <w:rsid w:val="007C463A"/>
    <w:rsid w:val="007C4682"/>
    <w:rsid w:val="007C46DA"/>
    <w:rsid w:val="007C4770"/>
    <w:rsid w:val="007C48D8"/>
    <w:rsid w:val="007C4A09"/>
    <w:rsid w:val="007C4A8E"/>
    <w:rsid w:val="007C4AF9"/>
    <w:rsid w:val="007C4C8A"/>
    <w:rsid w:val="007C4D3A"/>
    <w:rsid w:val="007C4DE6"/>
    <w:rsid w:val="007C4E56"/>
    <w:rsid w:val="007C5088"/>
    <w:rsid w:val="007C508F"/>
    <w:rsid w:val="007C5099"/>
    <w:rsid w:val="007C50CA"/>
    <w:rsid w:val="007C510E"/>
    <w:rsid w:val="007C515F"/>
    <w:rsid w:val="007C51F5"/>
    <w:rsid w:val="007C5200"/>
    <w:rsid w:val="007C526E"/>
    <w:rsid w:val="007C52E9"/>
    <w:rsid w:val="007C546D"/>
    <w:rsid w:val="007C54E6"/>
    <w:rsid w:val="007C55CE"/>
    <w:rsid w:val="007C570A"/>
    <w:rsid w:val="007C57F7"/>
    <w:rsid w:val="007C5930"/>
    <w:rsid w:val="007C5ADB"/>
    <w:rsid w:val="007C5B77"/>
    <w:rsid w:val="007C5D0C"/>
    <w:rsid w:val="007C5D11"/>
    <w:rsid w:val="007C5D6B"/>
    <w:rsid w:val="007C5DFA"/>
    <w:rsid w:val="007C5EB7"/>
    <w:rsid w:val="007C5F31"/>
    <w:rsid w:val="007C5FF1"/>
    <w:rsid w:val="007C602D"/>
    <w:rsid w:val="007C61A8"/>
    <w:rsid w:val="007C62D3"/>
    <w:rsid w:val="007C633B"/>
    <w:rsid w:val="007C6542"/>
    <w:rsid w:val="007C6681"/>
    <w:rsid w:val="007C68F1"/>
    <w:rsid w:val="007C6936"/>
    <w:rsid w:val="007C6BFD"/>
    <w:rsid w:val="007C6C78"/>
    <w:rsid w:val="007C6CE2"/>
    <w:rsid w:val="007C6DDD"/>
    <w:rsid w:val="007C6E53"/>
    <w:rsid w:val="007C6E81"/>
    <w:rsid w:val="007C6EF9"/>
    <w:rsid w:val="007C6F63"/>
    <w:rsid w:val="007C70E2"/>
    <w:rsid w:val="007C71A5"/>
    <w:rsid w:val="007C7472"/>
    <w:rsid w:val="007C75D2"/>
    <w:rsid w:val="007C7622"/>
    <w:rsid w:val="007C778B"/>
    <w:rsid w:val="007C7817"/>
    <w:rsid w:val="007C786F"/>
    <w:rsid w:val="007C7909"/>
    <w:rsid w:val="007C795A"/>
    <w:rsid w:val="007C7989"/>
    <w:rsid w:val="007C7AA0"/>
    <w:rsid w:val="007C7B9A"/>
    <w:rsid w:val="007C7C1D"/>
    <w:rsid w:val="007C7CD5"/>
    <w:rsid w:val="007C7D78"/>
    <w:rsid w:val="007C7D7A"/>
    <w:rsid w:val="007C7EB1"/>
    <w:rsid w:val="007C7F35"/>
    <w:rsid w:val="007C7FAD"/>
    <w:rsid w:val="007D01AA"/>
    <w:rsid w:val="007D029D"/>
    <w:rsid w:val="007D0559"/>
    <w:rsid w:val="007D0577"/>
    <w:rsid w:val="007D05B7"/>
    <w:rsid w:val="007D05BA"/>
    <w:rsid w:val="007D0791"/>
    <w:rsid w:val="007D0839"/>
    <w:rsid w:val="007D087B"/>
    <w:rsid w:val="007D08A9"/>
    <w:rsid w:val="007D09FA"/>
    <w:rsid w:val="007D0A19"/>
    <w:rsid w:val="007D0A67"/>
    <w:rsid w:val="007D0AC0"/>
    <w:rsid w:val="007D0B96"/>
    <w:rsid w:val="007D0BFA"/>
    <w:rsid w:val="007D0CEF"/>
    <w:rsid w:val="007D0D98"/>
    <w:rsid w:val="007D0DF9"/>
    <w:rsid w:val="007D0E77"/>
    <w:rsid w:val="007D0F73"/>
    <w:rsid w:val="007D11FE"/>
    <w:rsid w:val="007D1200"/>
    <w:rsid w:val="007D126F"/>
    <w:rsid w:val="007D12DB"/>
    <w:rsid w:val="007D14C6"/>
    <w:rsid w:val="007D167C"/>
    <w:rsid w:val="007D1694"/>
    <w:rsid w:val="007D1717"/>
    <w:rsid w:val="007D17AD"/>
    <w:rsid w:val="007D17D2"/>
    <w:rsid w:val="007D190B"/>
    <w:rsid w:val="007D19F4"/>
    <w:rsid w:val="007D1A13"/>
    <w:rsid w:val="007D1AE8"/>
    <w:rsid w:val="007D1B67"/>
    <w:rsid w:val="007D1C09"/>
    <w:rsid w:val="007D1C77"/>
    <w:rsid w:val="007D1CD8"/>
    <w:rsid w:val="007D1D32"/>
    <w:rsid w:val="007D1F6F"/>
    <w:rsid w:val="007D1F72"/>
    <w:rsid w:val="007D1FCC"/>
    <w:rsid w:val="007D20FB"/>
    <w:rsid w:val="007D2208"/>
    <w:rsid w:val="007D2222"/>
    <w:rsid w:val="007D224E"/>
    <w:rsid w:val="007D2261"/>
    <w:rsid w:val="007D227A"/>
    <w:rsid w:val="007D22BB"/>
    <w:rsid w:val="007D23FB"/>
    <w:rsid w:val="007D25C9"/>
    <w:rsid w:val="007D276B"/>
    <w:rsid w:val="007D2850"/>
    <w:rsid w:val="007D287F"/>
    <w:rsid w:val="007D289C"/>
    <w:rsid w:val="007D2A6A"/>
    <w:rsid w:val="007D2B70"/>
    <w:rsid w:val="007D2BBE"/>
    <w:rsid w:val="007D2C39"/>
    <w:rsid w:val="007D2C4A"/>
    <w:rsid w:val="007D2D64"/>
    <w:rsid w:val="007D2DB1"/>
    <w:rsid w:val="007D2EC5"/>
    <w:rsid w:val="007D2FCE"/>
    <w:rsid w:val="007D2FF2"/>
    <w:rsid w:val="007D300D"/>
    <w:rsid w:val="007D304B"/>
    <w:rsid w:val="007D30B4"/>
    <w:rsid w:val="007D30D6"/>
    <w:rsid w:val="007D313B"/>
    <w:rsid w:val="007D31EC"/>
    <w:rsid w:val="007D33CE"/>
    <w:rsid w:val="007D351D"/>
    <w:rsid w:val="007D352E"/>
    <w:rsid w:val="007D3724"/>
    <w:rsid w:val="007D37F7"/>
    <w:rsid w:val="007D398C"/>
    <w:rsid w:val="007D3996"/>
    <w:rsid w:val="007D3A7A"/>
    <w:rsid w:val="007D3A8A"/>
    <w:rsid w:val="007D3B2B"/>
    <w:rsid w:val="007D3D05"/>
    <w:rsid w:val="007D3E86"/>
    <w:rsid w:val="007D3ED6"/>
    <w:rsid w:val="007D3F93"/>
    <w:rsid w:val="007D3FB5"/>
    <w:rsid w:val="007D4024"/>
    <w:rsid w:val="007D40C4"/>
    <w:rsid w:val="007D4233"/>
    <w:rsid w:val="007D42FB"/>
    <w:rsid w:val="007D43A6"/>
    <w:rsid w:val="007D4475"/>
    <w:rsid w:val="007D449E"/>
    <w:rsid w:val="007D44FB"/>
    <w:rsid w:val="007D4507"/>
    <w:rsid w:val="007D4527"/>
    <w:rsid w:val="007D47C0"/>
    <w:rsid w:val="007D4818"/>
    <w:rsid w:val="007D4921"/>
    <w:rsid w:val="007D4937"/>
    <w:rsid w:val="007D4B17"/>
    <w:rsid w:val="007D4C9A"/>
    <w:rsid w:val="007D4CF8"/>
    <w:rsid w:val="007D4D1A"/>
    <w:rsid w:val="007D4DE2"/>
    <w:rsid w:val="007D4E12"/>
    <w:rsid w:val="007D4F17"/>
    <w:rsid w:val="007D512C"/>
    <w:rsid w:val="007D52B7"/>
    <w:rsid w:val="007D5333"/>
    <w:rsid w:val="007D55B5"/>
    <w:rsid w:val="007D55D4"/>
    <w:rsid w:val="007D5690"/>
    <w:rsid w:val="007D58A8"/>
    <w:rsid w:val="007D58A9"/>
    <w:rsid w:val="007D58F9"/>
    <w:rsid w:val="007D5A69"/>
    <w:rsid w:val="007D5D07"/>
    <w:rsid w:val="007D5DB1"/>
    <w:rsid w:val="007D5E52"/>
    <w:rsid w:val="007D5F84"/>
    <w:rsid w:val="007D6044"/>
    <w:rsid w:val="007D604C"/>
    <w:rsid w:val="007D6072"/>
    <w:rsid w:val="007D609E"/>
    <w:rsid w:val="007D60FD"/>
    <w:rsid w:val="007D6101"/>
    <w:rsid w:val="007D618A"/>
    <w:rsid w:val="007D61E8"/>
    <w:rsid w:val="007D628B"/>
    <w:rsid w:val="007D6321"/>
    <w:rsid w:val="007D6408"/>
    <w:rsid w:val="007D6416"/>
    <w:rsid w:val="007D64F1"/>
    <w:rsid w:val="007D66E7"/>
    <w:rsid w:val="007D66EE"/>
    <w:rsid w:val="007D67D7"/>
    <w:rsid w:val="007D68F5"/>
    <w:rsid w:val="007D69CD"/>
    <w:rsid w:val="007D6A43"/>
    <w:rsid w:val="007D6ADE"/>
    <w:rsid w:val="007D6BB2"/>
    <w:rsid w:val="007D6E06"/>
    <w:rsid w:val="007D6E0C"/>
    <w:rsid w:val="007D6F23"/>
    <w:rsid w:val="007D6FF7"/>
    <w:rsid w:val="007D7090"/>
    <w:rsid w:val="007D7298"/>
    <w:rsid w:val="007D72E9"/>
    <w:rsid w:val="007D7319"/>
    <w:rsid w:val="007D733C"/>
    <w:rsid w:val="007D7475"/>
    <w:rsid w:val="007D7485"/>
    <w:rsid w:val="007D7521"/>
    <w:rsid w:val="007D771D"/>
    <w:rsid w:val="007D77A0"/>
    <w:rsid w:val="007D77CA"/>
    <w:rsid w:val="007D7867"/>
    <w:rsid w:val="007D78CF"/>
    <w:rsid w:val="007D7A59"/>
    <w:rsid w:val="007D7AC4"/>
    <w:rsid w:val="007D7B97"/>
    <w:rsid w:val="007D7BD7"/>
    <w:rsid w:val="007D7BF6"/>
    <w:rsid w:val="007D7C52"/>
    <w:rsid w:val="007D7D52"/>
    <w:rsid w:val="007D7D8E"/>
    <w:rsid w:val="007D7DCC"/>
    <w:rsid w:val="007D7FAD"/>
    <w:rsid w:val="007D7FBF"/>
    <w:rsid w:val="007E0025"/>
    <w:rsid w:val="007E0189"/>
    <w:rsid w:val="007E01A0"/>
    <w:rsid w:val="007E0273"/>
    <w:rsid w:val="007E0395"/>
    <w:rsid w:val="007E03B1"/>
    <w:rsid w:val="007E0447"/>
    <w:rsid w:val="007E0561"/>
    <w:rsid w:val="007E05B0"/>
    <w:rsid w:val="007E076B"/>
    <w:rsid w:val="007E078B"/>
    <w:rsid w:val="007E079B"/>
    <w:rsid w:val="007E0846"/>
    <w:rsid w:val="007E0868"/>
    <w:rsid w:val="007E0A43"/>
    <w:rsid w:val="007E0F80"/>
    <w:rsid w:val="007E0FF2"/>
    <w:rsid w:val="007E1223"/>
    <w:rsid w:val="007E1480"/>
    <w:rsid w:val="007E149E"/>
    <w:rsid w:val="007E1610"/>
    <w:rsid w:val="007E1750"/>
    <w:rsid w:val="007E175C"/>
    <w:rsid w:val="007E17E0"/>
    <w:rsid w:val="007E187D"/>
    <w:rsid w:val="007E18C2"/>
    <w:rsid w:val="007E1984"/>
    <w:rsid w:val="007E1995"/>
    <w:rsid w:val="007E199D"/>
    <w:rsid w:val="007E1C84"/>
    <w:rsid w:val="007E1D8B"/>
    <w:rsid w:val="007E1E45"/>
    <w:rsid w:val="007E1F26"/>
    <w:rsid w:val="007E222E"/>
    <w:rsid w:val="007E22EB"/>
    <w:rsid w:val="007E23FE"/>
    <w:rsid w:val="007E256F"/>
    <w:rsid w:val="007E25A9"/>
    <w:rsid w:val="007E2671"/>
    <w:rsid w:val="007E26D7"/>
    <w:rsid w:val="007E285E"/>
    <w:rsid w:val="007E28D8"/>
    <w:rsid w:val="007E2A67"/>
    <w:rsid w:val="007E2C78"/>
    <w:rsid w:val="007E3014"/>
    <w:rsid w:val="007E3017"/>
    <w:rsid w:val="007E3201"/>
    <w:rsid w:val="007E33FB"/>
    <w:rsid w:val="007E345A"/>
    <w:rsid w:val="007E3516"/>
    <w:rsid w:val="007E3540"/>
    <w:rsid w:val="007E36C3"/>
    <w:rsid w:val="007E3743"/>
    <w:rsid w:val="007E385A"/>
    <w:rsid w:val="007E38FE"/>
    <w:rsid w:val="007E3941"/>
    <w:rsid w:val="007E3A4C"/>
    <w:rsid w:val="007E3A7E"/>
    <w:rsid w:val="007E3AE1"/>
    <w:rsid w:val="007E3BA1"/>
    <w:rsid w:val="007E3BAC"/>
    <w:rsid w:val="007E3D9C"/>
    <w:rsid w:val="007E3DD8"/>
    <w:rsid w:val="007E3EC8"/>
    <w:rsid w:val="007E3FA8"/>
    <w:rsid w:val="007E3FD4"/>
    <w:rsid w:val="007E40B7"/>
    <w:rsid w:val="007E4108"/>
    <w:rsid w:val="007E4124"/>
    <w:rsid w:val="007E41E8"/>
    <w:rsid w:val="007E4215"/>
    <w:rsid w:val="007E4258"/>
    <w:rsid w:val="007E43A1"/>
    <w:rsid w:val="007E43E1"/>
    <w:rsid w:val="007E458B"/>
    <w:rsid w:val="007E458C"/>
    <w:rsid w:val="007E48DE"/>
    <w:rsid w:val="007E4903"/>
    <w:rsid w:val="007E4962"/>
    <w:rsid w:val="007E499D"/>
    <w:rsid w:val="007E4B66"/>
    <w:rsid w:val="007E4BBD"/>
    <w:rsid w:val="007E4C2A"/>
    <w:rsid w:val="007E4C2C"/>
    <w:rsid w:val="007E4C6A"/>
    <w:rsid w:val="007E4E0B"/>
    <w:rsid w:val="007E4E4B"/>
    <w:rsid w:val="007E4E6A"/>
    <w:rsid w:val="007E4EF3"/>
    <w:rsid w:val="007E4F94"/>
    <w:rsid w:val="007E50AD"/>
    <w:rsid w:val="007E50D5"/>
    <w:rsid w:val="007E50DF"/>
    <w:rsid w:val="007E5117"/>
    <w:rsid w:val="007E51AD"/>
    <w:rsid w:val="007E51B0"/>
    <w:rsid w:val="007E5212"/>
    <w:rsid w:val="007E5225"/>
    <w:rsid w:val="007E5315"/>
    <w:rsid w:val="007E532B"/>
    <w:rsid w:val="007E53FD"/>
    <w:rsid w:val="007E54BB"/>
    <w:rsid w:val="007E54D9"/>
    <w:rsid w:val="007E570A"/>
    <w:rsid w:val="007E57C8"/>
    <w:rsid w:val="007E592E"/>
    <w:rsid w:val="007E5997"/>
    <w:rsid w:val="007E5A7F"/>
    <w:rsid w:val="007E5DB3"/>
    <w:rsid w:val="007E5DDB"/>
    <w:rsid w:val="007E5E93"/>
    <w:rsid w:val="007E5EFF"/>
    <w:rsid w:val="007E5F29"/>
    <w:rsid w:val="007E5F77"/>
    <w:rsid w:val="007E61B9"/>
    <w:rsid w:val="007E637C"/>
    <w:rsid w:val="007E63FD"/>
    <w:rsid w:val="007E6563"/>
    <w:rsid w:val="007E6760"/>
    <w:rsid w:val="007E67AA"/>
    <w:rsid w:val="007E67F8"/>
    <w:rsid w:val="007E6815"/>
    <w:rsid w:val="007E683C"/>
    <w:rsid w:val="007E68A9"/>
    <w:rsid w:val="007E6A0B"/>
    <w:rsid w:val="007E6E2B"/>
    <w:rsid w:val="007E6EF0"/>
    <w:rsid w:val="007E7051"/>
    <w:rsid w:val="007E7138"/>
    <w:rsid w:val="007E73DE"/>
    <w:rsid w:val="007E741F"/>
    <w:rsid w:val="007E743E"/>
    <w:rsid w:val="007E7456"/>
    <w:rsid w:val="007E7768"/>
    <w:rsid w:val="007E77D1"/>
    <w:rsid w:val="007E7830"/>
    <w:rsid w:val="007E7857"/>
    <w:rsid w:val="007E7999"/>
    <w:rsid w:val="007E7BAF"/>
    <w:rsid w:val="007E7C11"/>
    <w:rsid w:val="007E7C42"/>
    <w:rsid w:val="007E7E2A"/>
    <w:rsid w:val="007E7E34"/>
    <w:rsid w:val="007E7EE1"/>
    <w:rsid w:val="007E7F5A"/>
    <w:rsid w:val="007E7FF6"/>
    <w:rsid w:val="007F0203"/>
    <w:rsid w:val="007F02FD"/>
    <w:rsid w:val="007F048C"/>
    <w:rsid w:val="007F0632"/>
    <w:rsid w:val="007F0715"/>
    <w:rsid w:val="007F074B"/>
    <w:rsid w:val="007F0773"/>
    <w:rsid w:val="007F0775"/>
    <w:rsid w:val="007F0841"/>
    <w:rsid w:val="007F09B4"/>
    <w:rsid w:val="007F0AE5"/>
    <w:rsid w:val="007F0C44"/>
    <w:rsid w:val="007F0C65"/>
    <w:rsid w:val="007F0E14"/>
    <w:rsid w:val="007F0E82"/>
    <w:rsid w:val="007F0EFB"/>
    <w:rsid w:val="007F0FC8"/>
    <w:rsid w:val="007F1080"/>
    <w:rsid w:val="007F1125"/>
    <w:rsid w:val="007F113F"/>
    <w:rsid w:val="007F1146"/>
    <w:rsid w:val="007F1259"/>
    <w:rsid w:val="007F12BD"/>
    <w:rsid w:val="007F157A"/>
    <w:rsid w:val="007F159B"/>
    <w:rsid w:val="007F166A"/>
    <w:rsid w:val="007F17E1"/>
    <w:rsid w:val="007F18E3"/>
    <w:rsid w:val="007F1A8D"/>
    <w:rsid w:val="007F1BB4"/>
    <w:rsid w:val="007F1C85"/>
    <w:rsid w:val="007F1CAD"/>
    <w:rsid w:val="007F1CB5"/>
    <w:rsid w:val="007F1EC1"/>
    <w:rsid w:val="007F1F2B"/>
    <w:rsid w:val="007F1F61"/>
    <w:rsid w:val="007F2057"/>
    <w:rsid w:val="007F2063"/>
    <w:rsid w:val="007F218A"/>
    <w:rsid w:val="007F21BA"/>
    <w:rsid w:val="007F236B"/>
    <w:rsid w:val="007F23F4"/>
    <w:rsid w:val="007F251C"/>
    <w:rsid w:val="007F2664"/>
    <w:rsid w:val="007F269A"/>
    <w:rsid w:val="007F2722"/>
    <w:rsid w:val="007F28CE"/>
    <w:rsid w:val="007F2933"/>
    <w:rsid w:val="007F29DA"/>
    <w:rsid w:val="007F2A8B"/>
    <w:rsid w:val="007F2DD2"/>
    <w:rsid w:val="007F2E17"/>
    <w:rsid w:val="007F2FB5"/>
    <w:rsid w:val="007F3124"/>
    <w:rsid w:val="007F3274"/>
    <w:rsid w:val="007F328B"/>
    <w:rsid w:val="007F32C2"/>
    <w:rsid w:val="007F34B2"/>
    <w:rsid w:val="007F35A9"/>
    <w:rsid w:val="007F368F"/>
    <w:rsid w:val="007F36D0"/>
    <w:rsid w:val="007F377D"/>
    <w:rsid w:val="007F37D0"/>
    <w:rsid w:val="007F37D1"/>
    <w:rsid w:val="007F3951"/>
    <w:rsid w:val="007F39A1"/>
    <w:rsid w:val="007F3CD8"/>
    <w:rsid w:val="007F3D05"/>
    <w:rsid w:val="007F3E81"/>
    <w:rsid w:val="007F3E84"/>
    <w:rsid w:val="007F4031"/>
    <w:rsid w:val="007F4181"/>
    <w:rsid w:val="007F419E"/>
    <w:rsid w:val="007F43AD"/>
    <w:rsid w:val="007F43B8"/>
    <w:rsid w:val="007F4538"/>
    <w:rsid w:val="007F45E9"/>
    <w:rsid w:val="007F461C"/>
    <w:rsid w:val="007F4687"/>
    <w:rsid w:val="007F48B4"/>
    <w:rsid w:val="007F4B92"/>
    <w:rsid w:val="007F4D24"/>
    <w:rsid w:val="007F4D3C"/>
    <w:rsid w:val="007F4DF8"/>
    <w:rsid w:val="007F4E3E"/>
    <w:rsid w:val="007F4E57"/>
    <w:rsid w:val="007F50F9"/>
    <w:rsid w:val="007F518C"/>
    <w:rsid w:val="007F5216"/>
    <w:rsid w:val="007F5273"/>
    <w:rsid w:val="007F5282"/>
    <w:rsid w:val="007F5283"/>
    <w:rsid w:val="007F542C"/>
    <w:rsid w:val="007F5441"/>
    <w:rsid w:val="007F54CB"/>
    <w:rsid w:val="007F54E3"/>
    <w:rsid w:val="007F55CD"/>
    <w:rsid w:val="007F563D"/>
    <w:rsid w:val="007F567B"/>
    <w:rsid w:val="007F56D3"/>
    <w:rsid w:val="007F5908"/>
    <w:rsid w:val="007F5935"/>
    <w:rsid w:val="007F5942"/>
    <w:rsid w:val="007F5A82"/>
    <w:rsid w:val="007F5B28"/>
    <w:rsid w:val="007F5B7E"/>
    <w:rsid w:val="007F5E99"/>
    <w:rsid w:val="007F600D"/>
    <w:rsid w:val="007F612F"/>
    <w:rsid w:val="007F61B7"/>
    <w:rsid w:val="007F61C9"/>
    <w:rsid w:val="007F6250"/>
    <w:rsid w:val="007F63CF"/>
    <w:rsid w:val="007F657C"/>
    <w:rsid w:val="007F6645"/>
    <w:rsid w:val="007F675D"/>
    <w:rsid w:val="007F67A4"/>
    <w:rsid w:val="007F6852"/>
    <w:rsid w:val="007F6902"/>
    <w:rsid w:val="007F6A25"/>
    <w:rsid w:val="007F6AAB"/>
    <w:rsid w:val="007F6AE3"/>
    <w:rsid w:val="007F6B6E"/>
    <w:rsid w:val="007F6C9C"/>
    <w:rsid w:val="007F6D41"/>
    <w:rsid w:val="007F6DCF"/>
    <w:rsid w:val="007F6F15"/>
    <w:rsid w:val="007F70DD"/>
    <w:rsid w:val="007F7319"/>
    <w:rsid w:val="007F74EB"/>
    <w:rsid w:val="007F77EB"/>
    <w:rsid w:val="007F7802"/>
    <w:rsid w:val="007F78F0"/>
    <w:rsid w:val="007F7945"/>
    <w:rsid w:val="007F7A3F"/>
    <w:rsid w:val="007F7DA0"/>
    <w:rsid w:val="007F7DF8"/>
    <w:rsid w:val="007F7E42"/>
    <w:rsid w:val="00800220"/>
    <w:rsid w:val="008002DE"/>
    <w:rsid w:val="00800506"/>
    <w:rsid w:val="008005A0"/>
    <w:rsid w:val="008005AE"/>
    <w:rsid w:val="00800696"/>
    <w:rsid w:val="008008E2"/>
    <w:rsid w:val="008009F2"/>
    <w:rsid w:val="00800B80"/>
    <w:rsid w:val="00800D2C"/>
    <w:rsid w:val="00800E69"/>
    <w:rsid w:val="008010F7"/>
    <w:rsid w:val="0080136B"/>
    <w:rsid w:val="00801397"/>
    <w:rsid w:val="00801538"/>
    <w:rsid w:val="0080157D"/>
    <w:rsid w:val="008017BD"/>
    <w:rsid w:val="00801A13"/>
    <w:rsid w:val="00801A34"/>
    <w:rsid w:val="00801C5C"/>
    <w:rsid w:val="00801C83"/>
    <w:rsid w:val="00801CCC"/>
    <w:rsid w:val="00801D3A"/>
    <w:rsid w:val="00801E97"/>
    <w:rsid w:val="00801F28"/>
    <w:rsid w:val="00801F2F"/>
    <w:rsid w:val="00802007"/>
    <w:rsid w:val="00802069"/>
    <w:rsid w:val="008020AB"/>
    <w:rsid w:val="008020FD"/>
    <w:rsid w:val="00802134"/>
    <w:rsid w:val="008021A5"/>
    <w:rsid w:val="008021F6"/>
    <w:rsid w:val="00802201"/>
    <w:rsid w:val="008022CE"/>
    <w:rsid w:val="00802377"/>
    <w:rsid w:val="00802475"/>
    <w:rsid w:val="00802523"/>
    <w:rsid w:val="0080258F"/>
    <w:rsid w:val="008025C9"/>
    <w:rsid w:val="0080261B"/>
    <w:rsid w:val="008026B2"/>
    <w:rsid w:val="008026BE"/>
    <w:rsid w:val="008026F4"/>
    <w:rsid w:val="008027BB"/>
    <w:rsid w:val="00802969"/>
    <w:rsid w:val="0080297B"/>
    <w:rsid w:val="008029A2"/>
    <w:rsid w:val="008029B3"/>
    <w:rsid w:val="00802A5F"/>
    <w:rsid w:val="00802BE7"/>
    <w:rsid w:val="00802D29"/>
    <w:rsid w:val="00802E89"/>
    <w:rsid w:val="00802EC3"/>
    <w:rsid w:val="00802F3C"/>
    <w:rsid w:val="00802F55"/>
    <w:rsid w:val="00802FB6"/>
    <w:rsid w:val="008030F8"/>
    <w:rsid w:val="008031E3"/>
    <w:rsid w:val="00803294"/>
    <w:rsid w:val="008032F3"/>
    <w:rsid w:val="008033E6"/>
    <w:rsid w:val="00803439"/>
    <w:rsid w:val="008035CE"/>
    <w:rsid w:val="00803626"/>
    <w:rsid w:val="00803687"/>
    <w:rsid w:val="008036AC"/>
    <w:rsid w:val="008036C3"/>
    <w:rsid w:val="00803727"/>
    <w:rsid w:val="0080390D"/>
    <w:rsid w:val="0080391D"/>
    <w:rsid w:val="008039DE"/>
    <w:rsid w:val="00803A67"/>
    <w:rsid w:val="00803AA9"/>
    <w:rsid w:val="00803B44"/>
    <w:rsid w:val="00803B87"/>
    <w:rsid w:val="00803C0E"/>
    <w:rsid w:val="00803C17"/>
    <w:rsid w:val="00803CF1"/>
    <w:rsid w:val="00803DCA"/>
    <w:rsid w:val="00803EB1"/>
    <w:rsid w:val="00803F0F"/>
    <w:rsid w:val="00803F33"/>
    <w:rsid w:val="00803FAF"/>
    <w:rsid w:val="00803FE2"/>
    <w:rsid w:val="00804147"/>
    <w:rsid w:val="00804158"/>
    <w:rsid w:val="00804212"/>
    <w:rsid w:val="0080421A"/>
    <w:rsid w:val="008042B7"/>
    <w:rsid w:val="00804439"/>
    <w:rsid w:val="0080449C"/>
    <w:rsid w:val="0080458E"/>
    <w:rsid w:val="008045E9"/>
    <w:rsid w:val="00804764"/>
    <w:rsid w:val="0080496E"/>
    <w:rsid w:val="00804989"/>
    <w:rsid w:val="00804A65"/>
    <w:rsid w:val="00804BFF"/>
    <w:rsid w:val="00804CD9"/>
    <w:rsid w:val="00804D1B"/>
    <w:rsid w:val="00804E6B"/>
    <w:rsid w:val="00804EA7"/>
    <w:rsid w:val="0080508B"/>
    <w:rsid w:val="008050CF"/>
    <w:rsid w:val="0080514C"/>
    <w:rsid w:val="0080517C"/>
    <w:rsid w:val="008051CC"/>
    <w:rsid w:val="00805242"/>
    <w:rsid w:val="0080530A"/>
    <w:rsid w:val="0080534F"/>
    <w:rsid w:val="008054F0"/>
    <w:rsid w:val="0080550D"/>
    <w:rsid w:val="00805597"/>
    <w:rsid w:val="008055DB"/>
    <w:rsid w:val="0080574C"/>
    <w:rsid w:val="0080575D"/>
    <w:rsid w:val="0080576E"/>
    <w:rsid w:val="00805836"/>
    <w:rsid w:val="0080583C"/>
    <w:rsid w:val="0080587F"/>
    <w:rsid w:val="008059ED"/>
    <w:rsid w:val="00805B24"/>
    <w:rsid w:val="00805B4A"/>
    <w:rsid w:val="00805C12"/>
    <w:rsid w:val="00805CAF"/>
    <w:rsid w:val="00805CF8"/>
    <w:rsid w:val="00805CFB"/>
    <w:rsid w:val="00805E52"/>
    <w:rsid w:val="00805EEE"/>
    <w:rsid w:val="00805F65"/>
    <w:rsid w:val="00805FA8"/>
    <w:rsid w:val="00806074"/>
    <w:rsid w:val="008060B5"/>
    <w:rsid w:val="00806155"/>
    <w:rsid w:val="00806211"/>
    <w:rsid w:val="008062C3"/>
    <w:rsid w:val="0080642F"/>
    <w:rsid w:val="00806502"/>
    <w:rsid w:val="00806692"/>
    <w:rsid w:val="00806A57"/>
    <w:rsid w:val="00806C69"/>
    <w:rsid w:val="00806CCF"/>
    <w:rsid w:val="00806FFD"/>
    <w:rsid w:val="00807041"/>
    <w:rsid w:val="00807126"/>
    <w:rsid w:val="008071F7"/>
    <w:rsid w:val="0080722F"/>
    <w:rsid w:val="00807233"/>
    <w:rsid w:val="0080727C"/>
    <w:rsid w:val="008073B1"/>
    <w:rsid w:val="008073CD"/>
    <w:rsid w:val="008074C4"/>
    <w:rsid w:val="008074F8"/>
    <w:rsid w:val="00807630"/>
    <w:rsid w:val="0080767C"/>
    <w:rsid w:val="008076BD"/>
    <w:rsid w:val="00807747"/>
    <w:rsid w:val="008077F9"/>
    <w:rsid w:val="00807806"/>
    <w:rsid w:val="0080787E"/>
    <w:rsid w:val="00807A3B"/>
    <w:rsid w:val="00807A46"/>
    <w:rsid w:val="00807B63"/>
    <w:rsid w:val="00807C45"/>
    <w:rsid w:val="00807D6B"/>
    <w:rsid w:val="00807E0F"/>
    <w:rsid w:val="00807E61"/>
    <w:rsid w:val="00807FDC"/>
    <w:rsid w:val="008101C3"/>
    <w:rsid w:val="0081028B"/>
    <w:rsid w:val="00810442"/>
    <w:rsid w:val="0081044C"/>
    <w:rsid w:val="00810669"/>
    <w:rsid w:val="008106D9"/>
    <w:rsid w:val="00810715"/>
    <w:rsid w:val="00810868"/>
    <w:rsid w:val="00810894"/>
    <w:rsid w:val="008109F4"/>
    <w:rsid w:val="00810AF1"/>
    <w:rsid w:val="00810B33"/>
    <w:rsid w:val="00810B51"/>
    <w:rsid w:val="00810BD7"/>
    <w:rsid w:val="00810C17"/>
    <w:rsid w:val="00810CCC"/>
    <w:rsid w:val="00810DDF"/>
    <w:rsid w:val="00810E9B"/>
    <w:rsid w:val="00810F1A"/>
    <w:rsid w:val="00810F5C"/>
    <w:rsid w:val="0081100E"/>
    <w:rsid w:val="0081156D"/>
    <w:rsid w:val="00811577"/>
    <w:rsid w:val="008116B1"/>
    <w:rsid w:val="008116ED"/>
    <w:rsid w:val="00811833"/>
    <w:rsid w:val="00811886"/>
    <w:rsid w:val="00811897"/>
    <w:rsid w:val="0081190B"/>
    <w:rsid w:val="00811C07"/>
    <w:rsid w:val="00811CF2"/>
    <w:rsid w:val="00811DAE"/>
    <w:rsid w:val="00811DE5"/>
    <w:rsid w:val="00811E66"/>
    <w:rsid w:val="00811EED"/>
    <w:rsid w:val="00811F7A"/>
    <w:rsid w:val="00812059"/>
    <w:rsid w:val="00812071"/>
    <w:rsid w:val="008120EB"/>
    <w:rsid w:val="0081212A"/>
    <w:rsid w:val="008121A8"/>
    <w:rsid w:val="008122D5"/>
    <w:rsid w:val="00812444"/>
    <w:rsid w:val="00812461"/>
    <w:rsid w:val="008125CB"/>
    <w:rsid w:val="00812633"/>
    <w:rsid w:val="0081280B"/>
    <w:rsid w:val="0081286E"/>
    <w:rsid w:val="00812A05"/>
    <w:rsid w:val="00812AAB"/>
    <w:rsid w:val="00812B9A"/>
    <w:rsid w:val="00812C0F"/>
    <w:rsid w:val="00812C29"/>
    <w:rsid w:val="00812CB2"/>
    <w:rsid w:val="00812E46"/>
    <w:rsid w:val="00812F54"/>
    <w:rsid w:val="008130FA"/>
    <w:rsid w:val="008131D8"/>
    <w:rsid w:val="008132A4"/>
    <w:rsid w:val="00813426"/>
    <w:rsid w:val="00813498"/>
    <w:rsid w:val="008134CD"/>
    <w:rsid w:val="0081352E"/>
    <w:rsid w:val="00813584"/>
    <w:rsid w:val="008135A7"/>
    <w:rsid w:val="008135C9"/>
    <w:rsid w:val="00813604"/>
    <w:rsid w:val="00813800"/>
    <w:rsid w:val="00813A03"/>
    <w:rsid w:val="00813A64"/>
    <w:rsid w:val="00813BAC"/>
    <w:rsid w:val="00813DA7"/>
    <w:rsid w:val="00813DDD"/>
    <w:rsid w:val="00813E5A"/>
    <w:rsid w:val="00814016"/>
    <w:rsid w:val="00814038"/>
    <w:rsid w:val="008140B6"/>
    <w:rsid w:val="00814142"/>
    <w:rsid w:val="00814254"/>
    <w:rsid w:val="0081428B"/>
    <w:rsid w:val="00814383"/>
    <w:rsid w:val="0081439C"/>
    <w:rsid w:val="00814496"/>
    <w:rsid w:val="0081454E"/>
    <w:rsid w:val="008145C5"/>
    <w:rsid w:val="00814679"/>
    <w:rsid w:val="00814926"/>
    <w:rsid w:val="0081498B"/>
    <w:rsid w:val="00814A27"/>
    <w:rsid w:val="00814B19"/>
    <w:rsid w:val="00814B41"/>
    <w:rsid w:val="00814C72"/>
    <w:rsid w:val="00814D09"/>
    <w:rsid w:val="00814E4F"/>
    <w:rsid w:val="00814FCB"/>
    <w:rsid w:val="00814FEF"/>
    <w:rsid w:val="0081501B"/>
    <w:rsid w:val="008151A0"/>
    <w:rsid w:val="008151D8"/>
    <w:rsid w:val="0081521D"/>
    <w:rsid w:val="00815225"/>
    <w:rsid w:val="008152D0"/>
    <w:rsid w:val="00815395"/>
    <w:rsid w:val="008153BE"/>
    <w:rsid w:val="008153C4"/>
    <w:rsid w:val="00815478"/>
    <w:rsid w:val="00815534"/>
    <w:rsid w:val="0081562F"/>
    <w:rsid w:val="00815698"/>
    <w:rsid w:val="00815777"/>
    <w:rsid w:val="008157AC"/>
    <w:rsid w:val="008158D5"/>
    <w:rsid w:val="00815973"/>
    <w:rsid w:val="008159D0"/>
    <w:rsid w:val="00815AFA"/>
    <w:rsid w:val="00815B42"/>
    <w:rsid w:val="00815BEB"/>
    <w:rsid w:val="00815CE5"/>
    <w:rsid w:val="00815E67"/>
    <w:rsid w:val="00815FF1"/>
    <w:rsid w:val="0081616C"/>
    <w:rsid w:val="00816174"/>
    <w:rsid w:val="008161C8"/>
    <w:rsid w:val="008161D1"/>
    <w:rsid w:val="008161F1"/>
    <w:rsid w:val="0081629D"/>
    <w:rsid w:val="00816317"/>
    <w:rsid w:val="008163D6"/>
    <w:rsid w:val="00816482"/>
    <w:rsid w:val="00816518"/>
    <w:rsid w:val="0081655A"/>
    <w:rsid w:val="008165A3"/>
    <w:rsid w:val="00816615"/>
    <w:rsid w:val="0081665D"/>
    <w:rsid w:val="008167BC"/>
    <w:rsid w:val="0081687F"/>
    <w:rsid w:val="008168AC"/>
    <w:rsid w:val="008168B0"/>
    <w:rsid w:val="008168D2"/>
    <w:rsid w:val="008168FE"/>
    <w:rsid w:val="008169C1"/>
    <w:rsid w:val="00816A4C"/>
    <w:rsid w:val="00816A51"/>
    <w:rsid w:val="00816A74"/>
    <w:rsid w:val="00816ACF"/>
    <w:rsid w:val="00816BCF"/>
    <w:rsid w:val="00816C06"/>
    <w:rsid w:val="00816CA5"/>
    <w:rsid w:val="00816CD0"/>
    <w:rsid w:val="00816D4C"/>
    <w:rsid w:val="00816E07"/>
    <w:rsid w:val="00816E46"/>
    <w:rsid w:val="00816EC2"/>
    <w:rsid w:val="00816ED9"/>
    <w:rsid w:val="00816F6F"/>
    <w:rsid w:val="00816F99"/>
    <w:rsid w:val="00817018"/>
    <w:rsid w:val="008170DA"/>
    <w:rsid w:val="0081721C"/>
    <w:rsid w:val="008173F5"/>
    <w:rsid w:val="00817818"/>
    <w:rsid w:val="0081782D"/>
    <w:rsid w:val="00817837"/>
    <w:rsid w:val="008178B0"/>
    <w:rsid w:val="008178E8"/>
    <w:rsid w:val="00817A98"/>
    <w:rsid w:val="00817B05"/>
    <w:rsid w:val="00817B2C"/>
    <w:rsid w:val="00817BCE"/>
    <w:rsid w:val="00817DE0"/>
    <w:rsid w:val="00817DF5"/>
    <w:rsid w:val="00817E0A"/>
    <w:rsid w:val="00817E62"/>
    <w:rsid w:val="00817F06"/>
    <w:rsid w:val="00817F35"/>
    <w:rsid w:val="00817FD4"/>
    <w:rsid w:val="008200B9"/>
    <w:rsid w:val="008202B1"/>
    <w:rsid w:val="00820302"/>
    <w:rsid w:val="008203E4"/>
    <w:rsid w:val="0082044D"/>
    <w:rsid w:val="0082045D"/>
    <w:rsid w:val="00820495"/>
    <w:rsid w:val="0082051E"/>
    <w:rsid w:val="0082060B"/>
    <w:rsid w:val="008206EB"/>
    <w:rsid w:val="00820752"/>
    <w:rsid w:val="008207C2"/>
    <w:rsid w:val="00820876"/>
    <w:rsid w:val="00820982"/>
    <w:rsid w:val="008209BC"/>
    <w:rsid w:val="00820A13"/>
    <w:rsid w:val="00820AF2"/>
    <w:rsid w:val="00820AF5"/>
    <w:rsid w:val="00820AFC"/>
    <w:rsid w:val="00820B45"/>
    <w:rsid w:val="00820B8F"/>
    <w:rsid w:val="00820C2D"/>
    <w:rsid w:val="00820CCB"/>
    <w:rsid w:val="00820D2A"/>
    <w:rsid w:val="00820D60"/>
    <w:rsid w:val="00820DA6"/>
    <w:rsid w:val="00820DDC"/>
    <w:rsid w:val="00820E78"/>
    <w:rsid w:val="00820EB7"/>
    <w:rsid w:val="00820EF4"/>
    <w:rsid w:val="00820FB8"/>
    <w:rsid w:val="00821147"/>
    <w:rsid w:val="008212F4"/>
    <w:rsid w:val="008214C9"/>
    <w:rsid w:val="00821535"/>
    <w:rsid w:val="008215B5"/>
    <w:rsid w:val="00821663"/>
    <w:rsid w:val="0082173B"/>
    <w:rsid w:val="00821798"/>
    <w:rsid w:val="00821810"/>
    <w:rsid w:val="008219BD"/>
    <w:rsid w:val="00821AC5"/>
    <w:rsid w:val="00821AF4"/>
    <w:rsid w:val="00821B8E"/>
    <w:rsid w:val="00821BC8"/>
    <w:rsid w:val="00821BC9"/>
    <w:rsid w:val="00821BCD"/>
    <w:rsid w:val="00821BE1"/>
    <w:rsid w:val="00821BF1"/>
    <w:rsid w:val="00821C84"/>
    <w:rsid w:val="00821C96"/>
    <w:rsid w:val="00821CF9"/>
    <w:rsid w:val="00821CFA"/>
    <w:rsid w:val="00821E35"/>
    <w:rsid w:val="00821E51"/>
    <w:rsid w:val="00821F6D"/>
    <w:rsid w:val="00821FC2"/>
    <w:rsid w:val="00822213"/>
    <w:rsid w:val="008222D5"/>
    <w:rsid w:val="008223B4"/>
    <w:rsid w:val="008223F9"/>
    <w:rsid w:val="008225FD"/>
    <w:rsid w:val="00822642"/>
    <w:rsid w:val="008226B2"/>
    <w:rsid w:val="0082284B"/>
    <w:rsid w:val="00822854"/>
    <w:rsid w:val="008228DE"/>
    <w:rsid w:val="00822A98"/>
    <w:rsid w:val="00822AAD"/>
    <w:rsid w:val="00822BF3"/>
    <w:rsid w:val="00822BF7"/>
    <w:rsid w:val="00822C1A"/>
    <w:rsid w:val="00822C70"/>
    <w:rsid w:val="00822C9E"/>
    <w:rsid w:val="00822D10"/>
    <w:rsid w:val="00822F46"/>
    <w:rsid w:val="0082300B"/>
    <w:rsid w:val="00823026"/>
    <w:rsid w:val="00823037"/>
    <w:rsid w:val="00823066"/>
    <w:rsid w:val="008230A7"/>
    <w:rsid w:val="0082316B"/>
    <w:rsid w:val="008231F0"/>
    <w:rsid w:val="008231F8"/>
    <w:rsid w:val="00823257"/>
    <w:rsid w:val="00823402"/>
    <w:rsid w:val="0082345C"/>
    <w:rsid w:val="008234DF"/>
    <w:rsid w:val="008234E9"/>
    <w:rsid w:val="00823625"/>
    <w:rsid w:val="008236B9"/>
    <w:rsid w:val="0082376E"/>
    <w:rsid w:val="008237A2"/>
    <w:rsid w:val="0082386B"/>
    <w:rsid w:val="0082398B"/>
    <w:rsid w:val="00823A28"/>
    <w:rsid w:val="00823B2E"/>
    <w:rsid w:val="00823B30"/>
    <w:rsid w:val="00823C9A"/>
    <w:rsid w:val="00823CDD"/>
    <w:rsid w:val="00823DDD"/>
    <w:rsid w:val="00823EF2"/>
    <w:rsid w:val="00824088"/>
    <w:rsid w:val="008241BF"/>
    <w:rsid w:val="00824378"/>
    <w:rsid w:val="00824588"/>
    <w:rsid w:val="00824650"/>
    <w:rsid w:val="0082490C"/>
    <w:rsid w:val="008249C7"/>
    <w:rsid w:val="008249FA"/>
    <w:rsid w:val="00824A74"/>
    <w:rsid w:val="00824A7C"/>
    <w:rsid w:val="00824AC4"/>
    <w:rsid w:val="00824B84"/>
    <w:rsid w:val="00824CB3"/>
    <w:rsid w:val="00824CC6"/>
    <w:rsid w:val="00824E99"/>
    <w:rsid w:val="00824F55"/>
    <w:rsid w:val="00824FAB"/>
    <w:rsid w:val="00824FD1"/>
    <w:rsid w:val="00825059"/>
    <w:rsid w:val="008250BA"/>
    <w:rsid w:val="00825172"/>
    <w:rsid w:val="008251D4"/>
    <w:rsid w:val="00825245"/>
    <w:rsid w:val="00825345"/>
    <w:rsid w:val="0082543B"/>
    <w:rsid w:val="0082548C"/>
    <w:rsid w:val="008254F4"/>
    <w:rsid w:val="00825503"/>
    <w:rsid w:val="0082566D"/>
    <w:rsid w:val="00825753"/>
    <w:rsid w:val="008257EF"/>
    <w:rsid w:val="00825AD5"/>
    <w:rsid w:val="00825BC4"/>
    <w:rsid w:val="00825BE3"/>
    <w:rsid w:val="00825C52"/>
    <w:rsid w:val="00825CAC"/>
    <w:rsid w:val="00825CD7"/>
    <w:rsid w:val="00825E2A"/>
    <w:rsid w:val="00825F18"/>
    <w:rsid w:val="00825F19"/>
    <w:rsid w:val="00825F6A"/>
    <w:rsid w:val="00826038"/>
    <w:rsid w:val="00826405"/>
    <w:rsid w:val="0082641A"/>
    <w:rsid w:val="0082641F"/>
    <w:rsid w:val="00826495"/>
    <w:rsid w:val="00826692"/>
    <w:rsid w:val="008266E6"/>
    <w:rsid w:val="00826786"/>
    <w:rsid w:val="00826974"/>
    <w:rsid w:val="00826C0D"/>
    <w:rsid w:val="00826D6B"/>
    <w:rsid w:val="00826E9A"/>
    <w:rsid w:val="00826FCD"/>
    <w:rsid w:val="00826FD1"/>
    <w:rsid w:val="00827050"/>
    <w:rsid w:val="00827082"/>
    <w:rsid w:val="008270D3"/>
    <w:rsid w:val="008272F5"/>
    <w:rsid w:val="008273A6"/>
    <w:rsid w:val="0082747A"/>
    <w:rsid w:val="008274D8"/>
    <w:rsid w:val="008278B2"/>
    <w:rsid w:val="00827B11"/>
    <w:rsid w:val="00827CB9"/>
    <w:rsid w:val="00827CDA"/>
    <w:rsid w:val="00827D32"/>
    <w:rsid w:val="00827EAA"/>
    <w:rsid w:val="00827EB9"/>
    <w:rsid w:val="00827F68"/>
    <w:rsid w:val="0083000E"/>
    <w:rsid w:val="00830225"/>
    <w:rsid w:val="00830381"/>
    <w:rsid w:val="00830552"/>
    <w:rsid w:val="008305DD"/>
    <w:rsid w:val="00830656"/>
    <w:rsid w:val="0083067C"/>
    <w:rsid w:val="00830894"/>
    <w:rsid w:val="008308C0"/>
    <w:rsid w:val="008308F4"/>
    <w:rsid w:val="008309DD"/>
    <w:rsid w:val="00830A3B"/>
    <w:rsid w:val="00830A95"/>
    <w:rsid w:val="00830B28"/>
    <w:rsid w:val="00830C16"/>
    <w:rsid w:val="00830E1E"/>
    <w:rsid w:val="00830F47"/>
    <w:rsid w:val="00830F72"/>
    <w:rsid w:val="00830F83"/>
    <w:rsid w:val="00830F8C"/>
    <w:rsid w:val="00830FA3"/>
    <w:rsid w:val="008310A4"/>
    <w:rsid w:val="00831151"/>
    <w:rsid w:val="008312BD"/>
    <w:rsid w:val="00831347"/>
    <w:rsid w:val="00831517"/>
    <w:rsid w:val="00831529"/>
    <w:rsid w:val="0083156F"/>
    <w:rsid w:val="00831663"/>
    <w:rsid w:val="00831772"/>
    <w:rsid w:val="00831817"/>
    <w:rsid w:val="008318C4"/>
    <w:rsid w:val="008318DF"/>
    <w:rsid w:val="008318F9"/>
    <w:rsid w:val="00831901"/>
    <w:rsid w:val="00831A9E"/>
    <w:rsid w:val="00831CA5"/>
    <w:rsid w:val="00831CFB"/>
    <w:rsid w:val="00831EC6"/>
    <w:rsid w:val="00831ECA"/>
    <w:rsid w:val="00831EDB"/>
    <w:rsid w:val="00831F9F"/>
    <w:rsid w:val="00832005"/>
    <w:rsid w:val="00832188"/>
    <w:rsid w:val="00832444"/>
    <w:rsid w:val="00832460"/>
    <w:rsid w:val="008325AE"/>
    <w:rsid w:val="008325D8"/>
    <w:rsid w:val="0083272B"/>
    <w:rsid w:val="008327D9"/>
    <w:rsid w:val="0083284A"/>
    <w:rsid w:val="00832984"/>
    <w:rsid w:val="008329F2"/>
    <w:rsid w:val="00832A3C"/>
    <w:rsid w:val="00832C9A"/>
    <w:rsid w:val="00832D57"/>
    <w:rsid w:val="008331B9"/>
    <w:rsid w:val="008333D0"/>
    <w:rsid w:val="008334BD"/>
    <w:rsid w:val="008334D4"/>
    <w:rsid w:val="0083354F"/>
    <w:rsid w:val="008337C0"/>
    <w:rsid w:val="008338E5"/>
    <w:rsid w:val="00833969"/>
    <w:rsid w:val="0083399A"/>
    <w:rsid w:val="00833ADD"/>
    <w:rsid w:val="00833B3F"/>
    <w:rsid w:val="00833B54"/>
    <w:rsid w:val="00833BA2"/>
    <w:rsid w:val="00833C86"/>
    <w:rsid w:val="00833CEC"/>
    <w:rsid w:val="0083400F"/>
    <w:rsid w:val="00834029"/>
    <w:rsid w:val="008340B9"/>
    <w:rsid w:val="008340BE"/>
    <w:rsid w:val="008341E2"/>
    <w:rsid w:val="008341F2"/>
    <w:rsid w:val="00834213"/>
    <w:rsid w:val="00834246"/>
    <w:rsid w:val="00834279"/>
    <w:rsid w:val="00834300"/>
    <w:rsid w:val="0083438A"/>
    <w:rsid w:val="0083438D"/>
    <w:rsid w:val="008344D8"/>
    <w:rsid w:val="00834534"/>
    <w:rsid w:val="00834580"/>
    <w:rsid w:val="008346C3"/>
    <w:rsid w:val="00834795"/>
    <w:rsid w:val="00834822"/>
    <w:rsid w:val="00834914"/>
    <w:rsid w:val="00834AA4"/>
    <w:rsid w:val="00834AF1"/>
    <w:rsid w:val="00834C9D"/>
    <w:rsid w:val="00834D3D"/>
    <w:rsid w:val="00834F76"/>
    <w:rsid w:val="00834FDC"/>
    <w:rsid w:val="0083502A"/>
    <w:rsid w:val="008350AE"/>
    <w:rsid w:val="00835108"/>
    <w:rsid w:val="00835137"/>
    <w:rsid w:val="0083515F"/>
    <w:rsid w:val="00835251"/>
    <w:rsid w:val="00835390"/>
    <w:rsid w:val="00835430"/>
    <w:rsid w:val="0083562E"/>
    <w:rsid w:val="008357D8"/>
    <w:rsid w:val="00835858"/>
    <w:rsid w:val="00835861"/>
    <w:rsid w:val="00835999"/>
    <w:rsid w:val="00835C59"/>
    <w:rsid w:val="00835D87"/>
    <w:rsid w:val="00835EEA"/>
    <w:rsid w:val="008360D7"/>
    <w:rsid w:val="0083610A"/>
    <w:rsid w:val="0083616F"/>
    <w:rsid w:val="008363E2"/>
    <w:rsid w:val="008364D1"/>
    <w:rsid w:val="00836546"/>
    <w:rsid w:val="00836569"/>
    <w:rsid w:val="008366AD"/>
    <w:rsid w:val="00836753"/>
    <w:rsid w:val="00836785"/>
    <w:rsid w:val="0083679A"/>
    <w:rsid w:val="00836827"/>
    <w:rsid w:val="00836846"/>
    <w:rsid w:val="00836861"/>
    <w:rsid w:val="0083687D"/>
    <w:rsid w:val="00836DF6"/>
    <w:rsid w:val="00836E71"/>
    <w:rsid w:val="00836FC3"/>
    <w:rsid w:val="00837312"/>
    <w:rsid w:val="0083746E"/>
    <w:rsid w:val="008374AB"/>
    <w:rsid w:val="00837586"/>
    <w:rsid w:val="008375A6"/>
    <w:rsid w:val="0083763F"/>
    <w:rsid w:val="00837704"/>
    <w:rsid w:val="0083791F"/>
    <w:rsid w:val="00837969"/>
    <w:rsid w:val="00837B83"/>
    <w:rsid w:val="00837BD8"/>
    <w:rsid w:val="00837E2D"/>
    <w:rsid w:val="00837EC8"/>
    <w:rsid w:val="00840038"/>
    <w:rsid w:val="008401B4"/>
    <w:rsid w:val="008405CE"/>
    <w:rsid w:val="0084069D"/>
    <w:rsid w:val="008406B1"/>
    <w:rsid w:val="00840796"/>
    <w:rsid w:val="0084083E"/>
    <w:rsid w:val="008408F4"/>
    <w:rsid w:val="00840942"/>
    <w:rsid w:val="00840A14"/>
    <w:rsid w:val="00840A77"/>
    <w:rsid w:val="00840B9A"/>
    <w:rsid w:val="00840D83"/>
    <w:rsid w:val="00840E5C"/>
    <w:rsid w:val="00840E8C"/>
    <w:rsid w:val="00840E9A"/>
    <w:rsid w:val="00840EA7"/>
    <w:rsid w:val="00840ECC"/>
    <w:rsid w:val="00840EED"/>
    <w:rsid w:val="00840F1A"/>
    <w:rsid w:val="00841077"/>
    <w:rsid w:val="0084119A"/>
    <w:rsid w:val="0084121E"/>
    <w:rsid w:val="00841389"/>
    <w:rsid w:val="00841498"/>
    <w:rsid w:val="00841520"/>
    <w:rsid w:val="0084164C"/>
    <w:rsid w:val="00841678"/>
    <w:rsid w:val="008416FA"/>
    <w:rsid w:val="008418BB"/>
    <w:rsid w:val="00841930"/>
    <w:rsid w:val="008419AF"/>
    <w:rsid w:val="008419D2"/>
    <w:rsid w:val="00841A89"/>
    <w:rsid w:val="00841B73"/>
    <w:rsid w:val="00841CBB"/>
    <w:rsid w:val="00841CC5"/>
    <w:rsid w:val="00841D52"/>
    <w:rsid w:val="00841E44"/>
    <w:rsid w:val="00842025"/>
    <w:rsid w:val="008420AB"/>
    <w:rsid w:val="0084221A"/>
    <w:rsid w:val="00842375"/>
    <w:rsid w:val="008428B6"/>
    <w:rsid w:val="0084296E"/>
    <w:rsid w:val="008429D5"/>
    <w:rsid w:val="00842AAD"/>
    <w:rsid w:val="00842AEC"/>
    <w:rsid w:val="00842C4A"/>
    <w:rsid w:val="00842C56"/>
    <w:rsid w:val="00842D3C"/>
    <w:rsid w:val="00842EE0"/>
    <w:rsid w:val="00842F43"/>
    <w:rsid w:val="00842F89"/>
    <w:rsid w:val="00843082"/>
    <w:rsid w:val="008430C4"/>
    <w:rsid w:val="008430F1"/>
    <w:rsid w:val="00843106"/>
    <w:rsid w:val="00843198"/>
    <w:rsid w:val="00843203"/>
    <w:rsid w:val="0084320E"/>
    <w:rsid w:val="00843216"/>
    <w:rsid w:val="0084327C"/>
    <w:rsid w:val="0084339F"/>
    <w:rsid w:val="008433FB"/>
    <w:rsid w:val="0084343E"/>
    <w:rsid w:val="008435CC"/>
    <w:rsid w:val="008435ED"/>
    <w:rsid w:val="00843693"/>
    <w:rsid w:val="008439A2"/>
    <w:rsid w:val="008439C9"/>
    <w:rsid w:val="00843C01"/>
    <w:rsid w:val="00843D1F"/>
    <w:rsid w:val="00843DAE"/>
    <w:rsid w:val="00843F72"/>
    <w:rsid w:val="00843FB5"/>
    <w:rsid w:val="00844180"/>
    <w:rsid w:val="0084428A"/>
    <w:rsid w:val="008442B5"/>
    <w:rsid w:val="008444A7"/>
    <w:rsid w:val="008444E8"/>
    <w:rsid w:val="008445B9"/>
    <w:rsid w:val="00844714"/>
    <w:rsid w:val="0084476F"/>
    <w:rsid w:val="008447DF"/>
    <w:rsid w:val="00844909"/>
    <w:rsid w:val="00844922"/>
    <w:rsid w:val="00844953"/>
    <w:rsid w:val="008449DE"/>
    <w:rsid w:val="00844A3D"/>
    <w:rsid w:val="00844A84"/>
    <w:rsid w:val="00844B67"/>
    <w:rsid w:val="00844BA1"/>
    <w:rsid w:val="00844BF7"/>
    <w:rsid w:val="00844FBD"/>
    <w:rsid w:val="00844FF3"/>
    <w:rsid w:val="00844FF6"/>
    <w:rsid w:val="0084507F"/>
    <w:rsid w:val="00845152"/>
    <w:rsid w:val="00845158"/>
    <w:rsid w:val="008451F9"/>
    <w:rsid w:val="008452CB"/>
    <w:rsid w:val="008452F0"/>
    <w:rsid w:val="0084534A"/>
    <w:rsid w:val="008453FF"/>
    <w:rsid w:val="00845434"/>
    <w:rsid w:val="0084556A"/>
    <w:rsid w:val="0084592D"/>
    <w:rsid w:val="0084599F"/>
    <w:rsid w:val="00845C90"/>
    <w:rsid w:val="00845D4C"/>
    <w:rsid w:val="00845DE4"/>
    <w:rsid w:val="00845E95"/>
    <w:rsid w:val="00845F6E"/>
    <w:rsid w:val="0084604B"/>
    <w:rsid w:val="00846051"/>
    <w:rsid w:val="008460AC"/>
    <w:rsid w:val="008460B1"/>
    <w:rsid w:val="008460C7"/>
    <w:rsid w:val="00846191"/>
    <w:rsid w:val="008461C8"/>
    <w:rsid w:val="008462D1"/>
    <w:rsid w:val="0084635C"/>
    <w:rsid w:val="008463F4"/>
    <w:rsid w:val="008464DB"/>
    <w:rsid w:val="00846538"/>
    <w:rsid w:val="008465A4"/>
    <w:rsid w:val="0084663D"/>
    <w:rsid w:val="00846665"/>
    <w:rsid w:val="00846690"/>
    <w:rsid w:val="008466D8"/>
    <w:rsid w:val="00846800"/>
    <w:rsid w:val="008468D1"/>
    <w:rsid w:val="008469C5"/>
    <w:rsid w:val="00846A5F"/>
    <w:rsid w:val="00846AC6"/>
    <w:rsid w:val="00846AE3"/>
    <w:rsid w:val="00846B06"/>
    <w:rsid w:val="00846BE2"/>
    <w:rsid w:val="00846BFD"/>
    <w:rsid w:val="00846E64"/>
    <w:rsid w:val="00846F0C"/>
    <w:rsid w:val="00846F65"/>
    <w:rsid w:val="00847245"/>
    <w:rsid w:val="008472A4"/>
    <w:rsid w:val="00847339"/>
    <w:rsid w:val="00847382"/>
    <w:rsid w:val="00847449"/>
    <w:rsid w:val="008474AD"/>
    <w:rsid w:val="008474DC"/>
    <w:rsid w:val="0084764C"/>
    <w:rsid w:val="00847682"/>
    <w:rsid w:val="0084768F"/>
    <w:rsid w:val="008476B4"/>
    <w:rsid w:val="008476D8"/>
    <w:rsid w:val="00847703"/>
    <w:rsid w:val="008477C8"/>
    <w:rsid w:val="00847893"/>
    <w:rsid w:val="00847A74"/>
    <w:rsid w:val="00847A9F"/>
    <w:rsid w:val="00847AD0"/>
    <w:rsid w:val="00847AEC"/>
    <w:rsid w:val="00847B31"/>
    <w:rsid w:val="00847BBE"/>
    <w:rsid w:val="00847BC8"/>
    <w:rsid w:val="00847BCF"/>
    <w:rsid w:val="00847C59"/>
    <w:rsid w:val="00847CAA"/>
    <w:rsid w:val="00847E6B"/>
    <w:rsid w:val="00847EC2"/>
    <w:rsid w:val="00847F87"/>
    <w:rsid w:val="00847FAC"/>
    <w:rsid w:val="008502C0"/>
    <w:rsid w:val="00850328"/>
    <w:rsid w:val="00850356"/>
    <w:rsid w:val="008503B8"/>
    <w:rsid w:val="008506B8"/>
    <w:rsid w:val="008506DF"/>
    <w:rsid w:val="008507CC"/>
    <w:rsid w:val="008507EC"/>
    <w:rsid w:val="008508E4"/>
    <w:rsid w:val="00850A0D"/>
    <w:rsid w:val="00850AB1"/>
    <w:rsid w:val="00850DC6"/>
    <w:rsid w:val="00850EDC"/>
    <w:rsid w:val="00850FAF"/>
    <w:rsid w:val="00851066"/>
    <w:rsid w:val="008510F9"/>
    <w:rsid w:val="00851107"/>
    <w:rsid w:val="0085111C"/>
    <w:rsid w:val="008511AA"/>
    <w:rsid w:val="008511B8"/>
    <w:rsid w:val="008511CB"/>
    <w:rsid w:val="00851214"/>
    <w:rsid w:val="00851497"/>
    <w:rsid w:val="008514BE"/>
    <w:rsid w:val="008515E1"/>
    <w:rsid w:val="00851644"/>
    <w:rsid w:val="008516AD"/>
    <w:rsid w:val="00851767"/>
    <w:rsid w:val="0085181D"/>
    <w:rsid w:val="008519C5"/>
    <w:rsid w:val="008519D9"/>
    <w:rsid w:val="00851B4C"/>
    <w:rsid w:val="00851BA5"/>
    <w:rsid w:val="00851D80"/>
    <w:rsid w:val="00851DE2"/>
    <w:rsid w:val="00851E26"/>
    <w:rsid w:val="00851E64"/>
    <w:rsid w:val="00851EA3"/>
    <w:rsid w:val="00851FDF"/>
    <w:rsid w:val="00851FFE"/>
    <w:rsid w:val="008520AC"/>
    <w:rsid w:val="0085216B"/>
    <w:rsid w:val="0085219F"/>
    <w:rsid w:val="00852232"/>
    <w:rsid w:val="0085226C"/>
    <w:rsid w:val="008522B4"/>
    <w:rsid w:val="008522C8"/>
    <w:rsid w:val="008522D8"/>
    <w:rsid w:val="00852325"/>
    <w:rsid w:val="00852336"/>
    <w:rsid w:val="008524FA"/>
    <w:rsid w:val="00852600"/>
    <w:rsid w:val="00852779"/>
    <w:rsid w:val="008529C7"/>
    <w:rsid w:val="008529CB"/>
    <w:rsid w:val="008529E7"/>
    <w:rsid w:val="00852A3B"/>
    <w:rsid w:val="00852E33"/>
    <w:rsid w:val="008530A8"/>
    <w:rsid w:val="008531E3"/>
    <w:rsid w:val="00853205"/>
    <w:rsid w:val="00853215"/>
    <w:rsid w:val="008533E5"/>
    <w:rsid w:val="0085351E"/>
    <w:rsid w:val="00853587"/>
    <w:rsid w:val="00853666"/>
    <w:rsid w:val="0085384E"/>
    <w:rsid w:val="00853851"/>
    <w:rsid w:val="0085386E"/>
    <w:rsid w:val="00853918"/>
    <w:rsid w:val="0085392C"/>
    <w:rsid w:val="0085394E"/>
    <w:rsid w:val="00853993"/>
    <w:rsid w:val="00853A3F"/>
    <w:rsid w:val="00853AD3"/>
    <w:rsid w:val="00853B33"/>
    <w:rsid w:val="00853BB5"/>
    <w:rsid w:val="00853BD1"/>
    <w:rsid w:val="00853BE9"/>
    <w:rsid w:val="00853D06"/>
    <w:rsid w:val="00853E48"/>
    <w:rsid w:val="0085404B"/>
    <w:rsid w:val="0085414E"/>
    <w:rsid w:val="0085419C"/>
    <w:rsid w:val="0085441B"/>
    <w:rsid w:val="008544A9"/>
    <w:rsid w:val="008544B5"/>
    <w:rsid w:val="008544BD"/>
    <w:rsid w:val="0085465A"/>
    <w:rsid w:val="00854885"/>
    <w:rsid w:val="00854A72"/>
    <w:rsid w:val="00854A7A"/>
    <w:rsid w:val="00854B30"/>
    <w:rsid w:val="00854BC7"/>
    <w:rsid w:val="00854E60"/>
    <w:rsid w:val="00854F39"/>
    <w:rsid w:val="0085503E"/>
    <w:rsid w:val="00855145"/>
    <w:rsid w:val="00855478"/>
    <w:rsid w:val="008557F5"/>
    <w:rsid w:val="008558D9"/>
    <w:rsid w:val="008558EB"/>
    <w:rsid w:val="008559F7"/>
    <w:rsid w:val="00855B5E"/>
    <w:rsid w:val="00855C03"/>
    <w:rsid w:val="00855C0C"/>
    <w:rsid w:val="00855E7B"/>
    <w:rsid w:val="00856091"/>
    <w:rsid w:val="00856124"/>
    <w:rsid w:val="0085614F"/>
    <w:rsid w:val="008561B8"/>
    <w:rsid w:val="008562D7"/>
    <w:rsid w:val="008562E8"/>
    <w:rsid w:val="00856350"/>
    <w:rsid w:val="00856363"/>
    <w:rsid w:val="0085642D"/>
    <w:rsid w:val="008564EB"/>
    <w:rsid w:val="0085658A"/>
    <w:rsid w:val="008566EC"/>
    <w:rsid w:val="008566F5"/>
    <w:rsid w:val="0085677A"/>
    <w:rsid w:val="00856837"/>
    <w:rsid w:val="0085696B"/>
    <w:rsid w:val="00856AC9"/>
    <w:rsid w:val="00856AE1"/>
    <w:rsid w:val="00856BF6"/>
    <w:rsid w:val="00856C11"/>
    <w:rsid w:val="00856E9B"/>
    <w:rsid w:val="00856F37"/>
    <w:rsid w:val="00856F38"/>
    <w:rsid w:val="0085704E"/>
    <w:rsid w:val="00857097"/>
    <w:rsid w:val="008570DA"/>
    <w:rsid w:val="008571E6"/>
    <w:rsid w:val="00857216"/>
    <w:rsid w:val="00857341"/>
    <w:rsid w:val="00857374"/>
    <w:rsid w:val="008573DE"/>
    <w:rsid w:val="008573E4"/>
    <w:rsid w:val="008574B6"/>
    <w:rsid w:val="008575B4"/>
    <w:rsid w:val="008576FC"/>
    <w:rsid w:val="00857708"/>
    <w:rsid w:val="00857727"/>
    <w:rsid w:val="0085776D"/>
    <w:rsid w:val="00857805"/>
    <w:rsid w:val="008578E9"/>
    <w:rsid w:val="00857913"/>
    <w:rsid w:val="00857928"/>
    <w:rsid w:val="00857999"/>
    <w:rsid w:val="008579AB"/>
    <w:rsid w:val="00857A9B"/>
    <w:rsid w:val="00857B53"/>
    <w:rsid w:val="00857C04"/>
    <w:rsid w:val="00857D9C"/>
    <w:rsid w:val="00857EA1"/>
    <w:rsid w:val="00857F5A"/>
    <w:rsid w:val="00860054"/>
    <w:rsid w:val="00860100"/>
    <w:rsid w:val="008602DA"/>
    <w:rsid w:val="0086040D"/>
    <w:rsid w:val="008604CC"/>
    <w:rsid w:val="00860536"/>
    <w:rsid w:val="0086054B"/>
    <w:rsid w:val="00860574"/>
    <w:rsid w:val="008605D1"/>
    <w:rsid w:val="008605F7"/>
    <w:rsid w:val="0086071B"/>
    <w:rsid w:val="008607DC"/>
    <w:rsid w:val="008608BE"/>
    <w:rsid w:val="008608F2"/>
    <w:rsid w:val="008608F3"/>
    <w:rsid w:val="00860919"/>
    <w:rsid w:val="008609C8"/>
    <w:rsid w:val="00860A88"/>
    <w:rsid w:val="00860BDE"/>
    <w:rsid w:val="00860C88"/>
    <w:rsid w:val="00860C9E"/>
    <w:rsid w:val="00860D7E"/>
    <w:rsid w:val="00861009"/>
    <w:rsid w:val="008610A7"/>
    <w:rsid w:val="0086118A"/>
    <w:rsid w:val="008612B0"/>
    <w:rsid w:val="008612BE"/>
    <w:rsid w:val="008613FE"/>
    <w:rsid w:val="0086142E"/>
    <w:rsid w:val="00861457"/>
    <w:rsid w:val="008614E7"/>
    <w:rsid w:val="008615AD"/>
    <w:rsid w:val="00861700"/>
    <w:rsid w:val="008617DB"/>
    <w:rsid w:val="00861997"/>
    <w:rsid w:val="008619A4"/>
    <w:rsid w:val="00861A70"/>
    <w:rsid w:val="00861B33"/>
    <w:rsid w:val="00861C6B"/>
    <w:rsid w:val="00861C82"/>
    <w:rsid w:val="00861DDD"/>
    <w:rsid w:val="00861E65"/>
    <w:rsid w:val="00861EF7"/>
    <w:rsid w:val="00861F99"/>
    <w:rsid w:val="00862091"/>
    <w:rsid w:val="0086219A"/>
    <w:rsid w:val="00862234"/>
    <w:rsid w:val="0086223F"/>
    <w:rsid w:val="00862304"/>
    <w:rsid w:val="0086231D"/>
    <w:rsid w:val="00862370"/>
    <w:rsid w:val="008623AE"/>
    <w:rsid w:val="008624AE"/>
    <w:rsid w:val="0086268E"/>
    <w:rsid w:val="00862700"/>
    <w:rsid w:val="00862750"/>
    <w:rsid w:val="00862763"/>
    <w:rsid w:val="0086277D"/>
    <w:rsid w:val="008627A8"/>
    <w:rsid w:val="008627C5"/>
    <w:rsid w:val="008628F1"/>
    <w:rsid w:val="00862905"/>
    <w:rsid w:val="00862914"/>
    <w:rsid w:val="00862938"/>
    <w:rsid w:val="00862960"/>
    <w:rsid w:val="008629EB"/>
    <w:rsid w:val="00862B8D"/>
    <w:rsid w:val="00862CBE"/>
    <w:rsid w:val="00862CDF"/>
    <w:rsid w:val="00862D6A"/>
    <w:rsid w:val="00862DAD"/>
    <w:rsid w:val="00862FC4"/>
    <w:rsid w:val="008630BE"/>
    <w:rsid w:val="00863107"/>
    <w:rsid w:val="00863180"/>
    <w:rsid w:val="00863301"/>
    <w:rsid w:val="008634FA"/>
    <w:rsid w:val="008635F8"/>
    <w:rsid w:val="008636A6"/>
    <w:rsid w:val="00863703"/>
    <w:rsid w:val="00863753"/>
    <w:rsid w:val="0086375E"/>
    <w:rsid w:val="0086380B"/>
    <w:rsid w:val="00863819"/>
    <w:rsid w:val="0086391F"/>
    <w:rsid w:val="008639CE"/>
    <w:rsid w:val="00863A24"/>
    <w:rsid w:val="00863A5D"/>
    <w:rsid w:val="00863B0E"/>
    <w:rsid w:val="00863E0A"/>
    <w:rsid w:val="00863EF3"/>
    <w:rsid w:val="00863F18"/>
    <w:rsid w:val="00863F8A"/>
    <w:rsid w:val="00864040"/>
    <w:rsid w:val="00864046"/>
    <w:rsid w:val="008640DA"/>
    <w:rsid w:val="00864135"/>
    <w:rsid w:val="00864321"/>
    <w:rsid w:val="008643B6"/>
    <w:rsid w:val="0086448A"/>
    <w:rsid w:val="008644C1"/>
    <w:rsid w:val="00864561"/>
    <w:rsid w:val="008645D9"/>
    <w:rsid w:val="0086460A"/>
    <w:rsid w:val="00864660"/>
    <w:rsid w:val="00864AD1"/>
    <w:rsid w:val="00864B61"/>
    <w:rsid w:val="00864B91"/>
    <w:rsid w:val="00864C4D"/>
    <w:rsid w:val="00864D82"/>
    <w:rsid w:val="00864D95"/>
    <w:rsid w:val="00864F15"/>
    <w:rsid w:val="008650C0"/>
    <w:rsid w:val="00865178"/>
    <w:rsid w:val="008652AE"/>
    <w:rsid w:val="0086544C"/>
    <w:rsid w:val="0086558C"/>
    <w:rsid w:val="008655E7"/>
    <w:rsid w:val="0086579F"/>
    <w:rsid w:val="0086584A"/>
    <w:rsid w:val="00865855"/>
    <w:rsid w:val="008659AE"/>
    <w:rsid w:val="008659D2"/>
    <w:rsid w:val="00865A5B"/>
    <w:rsid w:val="00865AC1"/>
    <w:rsid w:val="00865AF4"/>
    <w:rsid w:val="00865B39"/>
    <w:rsid w:val="00865B7C"/>
    <w:rsid w:val="00865BA4"/>
    <w:rsid w:val="00865C03"/>
    <w:rsid w:val="00865C2B"/>
    <w:rsid w:val="00865CDE"/>
    <w:rsid w:val="00865DD8"/>
    <w:rsid w:val="00865EC5"/>
    <w:rsid w:val="00866027"/>
    <w:rsid w:val="008662BC"/>
    <w:rsid w:val="0086636E"/>
    <w:rsid w:val="008664A6"/>
    <w:rsid w:val="008665C7"/>
    <w:rsid w:val="008665EC"/>
    <w:rsid w:val="0086665E"/>
    <w:rsid w:val="0086670D"/>
    <w:rsid w:val="00866857"/>
    <w:rsid w:val="008668B1"/>
    <w:rsid w:val="0086691C"/>
    <w:rsid w:val="00866937"/>
    <w:rsid w:val="0086698F"/>
    <w:rsid w:val="00866A4D"/>
    <w:rsid w:val="00866A84"/>
    <w:rsid w:val="00866C69"/>
    <w:rsid w:val="00866EB4"/>
    <w:rsid w:val="00866F16"/>
    <w:rsid w:val="00866FE5"/>
    <w:rsid w:val="00867014"/>
    <w:rsid w:val="00867022"/>
    <w:rsid w:val="0086736B"/>
    <w:rsid w:val="008674C2"/>
    <w:rsid w:val="00867780"/>
    <w:rsid w:val="008677BA"/>
    <w:rsid w:val="00867899"/>
    <w:rsid w:val="00867928"/>
    <w:rsid w:val="00867A59"/>
    <w:rsid w:val="00867A6A"/>
    <w:rsid w:val="00867AB6"/>
    <w:rsid w:val="00867B16"/>
    <w:rsid w:val="00867EC7"/>
    <w:rsid w:val="00867EE4"/>
    <w:rsid w:val="00867F76"/>
    <w:rsid w:val="00867F9C"/>
    <w:rsid w:val="00870046"/>
    <w:rsid w:val="0087049D"/>
    <w:rsid w:val="008704B8"/>
    <w:rsid w:val="008705A2"/>
    <w:rsid w:val="008705EA"/>
    <w:rsid w:val="00870664"/>
    <w:rsid w:val="008707D6"/>
    <w:rsid w:val="00870864"/>
    <w:rsid w:val="00870A86"/>
    <w:rsid w:val="00870B0F"/>
    <w:rsid w:val="00870CCE"/>
    <w:rsid w:val="00870D00"/>
    <w:rsid w:val="00870D01"/>
    <w:rsid w:val="00870DB4"/>
    <w:rsid w:val="00870E9D"/>
    <w:rsid w:val="00870EA6"/>
    <w:rsid w:val="00870EC3"/>
    <w:rsid w:val="00870FBF"/>
    <w:rsid w:val="00871013"/>
    <w:rsid w:val="008710CF"/>
    <w:rsid w:val="0087113D"/>
    <w:rsid w:val="0087117A"/>
    <w:rsid w:val="008711EE"/>
    <w:rsid w:val="0087131F"/>
    <w:rsid w:val="00871444"/>
    <w:rsid w:val="008714D4"/>
    <w:rsid w:val="0087170D"/>
    <w:rsid w:val="0087171A"/>
    <w:rsid w:val="00871745"/>
    <w:rsid w:val="00871874"/>
    <w:rsid w:val="00871879"/>
    <w:rsid w:val="008718EA"/>
    <w:rsid w:val="00871A5F"/>
    <w:rsid w:val="00871B1E"/>
    <w:rsid w:val="00871BBD"/>
    <w:rsid w:val="00871C4D"/>
    <w:rsid w:val="00871CA3"/>
    <w:rsid w:val="00871D0E"/>
    <w:rsid w:val="00871E30"/>
    <w:rsid w:val="00871EE8"/>
    <w:rsid w:val="008720B9"/>
    <w:rsid w:val="008721F7"/>
    <w:rsid w:val="0087224B"/>
    <w:rsid w:val="00872303"/>
    <w:rsid w:val="0087241B"/>
    <w:rsid w:val="008725FA"/>
    <w:rsid w:val="00872612"/>
    <w:rsid w:val="00872624"/>
    <w:rsid w:val="00872672"/>
    <w:rsid w:val="008727F4"/>
    <w:rsid w:val="00872975"/>
    <w:rsid w:val="00872A37"/>
    <w:rsid w:val="00872AA3"/>
    <w:rsid w:val="00872ADE"/>
    <w:rsid w:val="00872CFE"/>
    <w:rsid w:val="00872F51"/>
    <w:rsid w:val="008730C0"/>
    <w:rsid w:val="008730CB"/>
    <w:rsid w:val="008730E2"/>
    <w:rsid w:val="00873154"/>
    <w:rsid w:val="00873235"/>
    <w:rsid w:val="008734FD"/>
    <w:rsid w:val="00873531"/>
    <w:rsid w:val="008736BF"/>
    <w:rsid w:val="0087371D"/>
    <w:rsid w:val="008737B4"/>
    <w:rsid w:val="008737BF"/>
    <w:rsid w:val="008738B8"/>
    <w:rsid w:val="008738BA"/>
    <w:rsid w:val="00873978"/>
    <w:rsid w:val="00873AF4"/>
    <w:rsid w:val="00873D61"/>
    <w:rsid w:val="00873D83"/>
    <w:rsid w:val="00873D9F"/>
    <w:rsid w:val="00873DE5"/>
    <w:rsid w:val="00873F06"/>
    <w:rsid w:val="00873F1C"/>
    <w:rsid w:val="00873F70"/>
    <w:rsid w:val="00873F9C"/>
    <w:rsid w:val="00874073"/>
    <w:rsid w:val="0087408F"/>
    <w:rsid w:val="008741A2"/>
    <w:rsid w:val="008742A1"/>
    <w:rsid w:val="00874488"/>
    <w:rsid w:val="0087464E"/>
    <w:rsid w:val="008746A9"/>
    <w:rsid w:val="0087498F"/>
    <w:rsid w:val="008749C0"/>
    <w:rsid w:val="00874A3C"/>
    <w:rsid w:val="00874B62"/>
    <w:rsid w:val="00874CFD"/>
    <w:rsid w:val="00874D22"/>
    <w:rsid w:val="00874DF3"/>
    <w:rsid w:val="00874EC5"/>
    <w:rsid w:val="00875036"/>
    <w:rsid w:val="00875053"/>
    <w:rsid w:val="00875130"/>
    <w:rsid w:val="008751FA"/>
    <w:rsid w:val="0087526E"/>
    <w:rsid w:val="008752A0"/>
    <w:rsid w:val="00875364"/>
    <w:rsid w:val="008753FF"/>
    <w:rsid w:val="00875428"/>
    <w:rsid w:val="00875543"/>
    <w:rsid w:val="008755FF"/>
    <w:rsid w:val="00875623"/>
    <w:rsid w:val="008757F7"/>
    <w:rsid w:val="00875884"/>
    <w:rsid w:val="008758E8"/>
    <w:rsid w:val="00875A8F"/>
    <w:rsid w:val="00875B48"/>
    <w:rsid w:val="00875BA4"/>
    <w:rsid w:val="00875BE5"/>
    <w:rsid w:val="00875CFF"/>
    <w:rsid w:val="00875EB8"/>
    <w:rsid w:val="00875FFC"/>
    <w:rsid w:val="00876089"/>
    <w:rsid w:val="0087615E"/>
    <w:rsid w:val="008762D4"/>
    <w:rsid w:val="008763E4"/>
    <w:rsid w:val="0087643C"/>
    <w:rsid w:val="00876494"/>
    <w:rsid w:val="008766BA"/>
    <w:rsid w:val="00876715"/>
    <w:rsid w:val="008767D5"/>
    <w:rsid w:val="008768BF"/>
    <w:rsid w:val="008768F8"/>
    <w:rsid w:val="00876952"/>
    <w:rsid w:val="00876AE6"/>
    <w:rsid w:val="00876B5D"/>
    <w:rsid w:val="00876BB4"/>
    <w:rsid w:val="00876BF7"/>
    <w:rsid w:val="00876C6E"/>
    <w:rsid w:val="00876CE6"/>
    <w:rsid w:val="00876CE9"/>
    <w:rsid w:val="00876D8C"/>
    <w:rsid w:val="00876E03"/>
    <w:rsid w:val="00876E27"/>
    <w:rsid w:val="00876E60"/>
    <w:rsid w:val="00876F92"/>
    <w:rsid w:val="0087702D"/>
    <w:rsid w:val="0087728D"/>
    <w:rsid w:val="008773C1"/>
    <w:rsid w:val="008773F0"/>
    <w:rsid w:val="00877408"/>
    <w:rsid w:val="008775C9"/>
    <w:rsid w:val="0087776C"/>
    <w:rsid w:val="008777C6"/>
    <w:rsid w:val="00877937"/>
    <w:rsid w:val="0087796B"/>
    <w:rsid w:val="00877BE6"/>
    <w:rsid w:val="00877C02"/>
    <w:rsid w:val="00877C7A"/>
    <w:rsid w:val="00877DAD"/>
    <w:rsid w:val="00880032"/>
    <w:rsid w:val="00880061"/>
    <w:rsid w:val="00880336"/>
    <w:rsid w:val="00880552"/>
    <w:rsid w:val="0088065A"/>
    <w:rsid w:val="00880695"/>
    <w:rsid w:val="008806A5"/>
    <w:rsid w:val="0088072D"/>
    <w:rsid w:val="008808A5"/>
    <w:rsid w:val="008809AC"/>
    <w:rsid w:val="008809EC"/>
    <w:rsid w:val="00880B0C"/>
    <w:rsid w:val="00880C63"/>
    <w:rsid w:val="00880DB7"/>
    <w:rsid w:val="00880E88"/>
    <w:rsid w:val="00880ED9"/>
    <w:rsid w:val="00880EFD"/>
    <w:rsid w:val="00880F46"/>
    <w:rsid w:val="00880FB9"/>
    <w:rsid w:val="00880FEA"/>
    <w:rsid w:val="0088102B"/>
    <w:rsid w:val="00881069"/>
    <w:rsid w:val="00881109"/>
    <w:rsid w:val="00881170"/>
    <w:rsid w:val="0088149B"/>
    <w:rsid w:val="00881520"/>
    <w:rsid w:val="00881582"/>
    <w:rsid w:val="008815E5"/>
    <w:rsid w:val="008815E9"/>
    <w:rsid w:val="00881605"/>
    <w:rsid w:val="00881651"/>
    <w:rsid w:val="0088166A"/>
    <w:rsid w:val="008817C2"/>
    <w:rsid w:val="008819B2"/>
    <w:rsid w:val="00881ABE"/>
    <w:rsid w:val="00881B14"/>
    <w:rsid w:val="00881B9E"/>
    <w:rsid w:val="00881BAB"/>
    <w:rsid w:val="00881C11"/>
    <w:rsid w:val="00881CB1"/>
    <w:rsid w:val="00881CBC"/>
    <w:rsid w:val="00881F2C"/>
    <w:rsid w:val="0088209B"/>
    <w:rsid w:val="008820DB"/>
    <w:rsid w:val="008820E1"/>
    <w:rsid w:val="008820E5"/>
    <w:rsid w:val="00882346"/>
    <w:rsid w:val="00882369"/>
    <w:rsid w:val="008823F2"/>
    <w:rsid w:val="0088297C"/>
    <w:rsid w:val="00882D65"/>
    <w:rsid w:val="00882D93"/>
    <w:rsid w:val="00882DFC"/>
    <w:rsid w:val="00882E3C"/>
    <w:rsid w:val="00882F57"/>
    <w:rsid w:val="0088306F"/>
    <w:rsid w:val="008830EE"/>
    <w:rsid w:val="00883130"/>
    <w:rsid w:val="0088316C"/>
    <w:rsid w:val="008831D6"/>
    <w:rsid w:val="0088323C"/>
    <w:rsid w:val="008833A9"/>
    <w:rsid w:val="00883470"/>
    <w:rsid w:val="00883541"/>
    <w:rsid w:val="00883657"/>
    <w:rsid w:val="0088371D"/>
    <w:rsid w:val="0088372D"/>
    <w:rsid w:val="00883761"/>
    <w:rsid w:val="0088388A"/>
    <w:rsid w:val="008839A2"/>
    <w:rsid w:val="008839C0"/>
    <w:rsid w:val="00883A8A"/>
    <w:rsid w:val="00883BE5"/>
    <w:rsid w:val="00883C2F"/>
    <w:rsid w:val="00883C40"/>
    <w:rsid w:val="00883C46"/>
    <w:rsid w:val="00883CFC"/>
    <w:rsid w:val="00883E8F"/>
    <w:rsid w:val="00883F3C"/>
    <w:rsid w:val="0088404D"/>
    <w:rsid w:val="00884240"/>
    <w:rsid w:val="008842A0"/>
    <w:rsid w:val="00884840"/>
    <w:rsid w:val="00884A18"/>
    <w:rsid w:val="00884A2E"/>
    <w:rsid w:val="00884CE9"/>
    <w:rsid w:val="00884E26"/>
    <w:rsid w:val="00884E34"/>
    <w:rsid w:val="00884F10"/>
    <w:rsid w:val="00884F15"/>
    <w:rsid w:val="00885026"/>
    <w:rsid w:val="008851D9"/>
    <w:rsid w:val="0088538D"/>
    <w:rsid w:val="008854BF"/>
    <w:rsid w:val="00885519"/>
    <w:rsid w:val="00885540"/>
    <w:rsid w:val="008855F5"/>
    <w:rsid w:val="008856A6"/>
    <w:rsid w:val="008856EA"/>
    <w:rsid w:val="00885732"/>
    <w:rsid w:val="008857C0"/>
    <w:rsid w:val="00885891"/>
    <w:rsid w:val="008858D0"/>
    <w:rsid w:val="00885948"/>
    <w:rsid w:val="0088598F"/>
    <w:rsid w:val="00885A66"/>
    <w:rsid w:val="00885B0D"/>
    <w:rsid w:val="00885B29"/>
    <w:rsid w:val="00885B47"/>
    <w:rsid w:val="00885B90"/>
    <w:rsid w:val="00885D5D"/>
    <w:rsid w:val="00885D6C"/>
    <w:rsid w:val="00885DD6"/>
    <w:rsid w:val="00885E0A"/>
    <w:rsid w:val="00886108"/>
    <w:rsid w:val="00886138"/>
    <w:rsid w:val="00886227"/>
    <w:rsid w:val="00886273"/>
    <w:rsid w:val="008862BC"/>
    <w:rsid w:val="00886303"/>
    <w:rsid w:val="00886410"/>
    <w:rsid w:val="00886438"/>
    <w:rsid w:val="008864DF"/>
    <w:rsid w:val="008866AB"/>
    <w:rsid w:val="008866CE"/>
    <w:rsid w:val="00886727"/>
    <w:rsid w:val="00886796"/>
    <w:rsid w:val="008869E6"/>
    <w:rsid w:val="00886A1E"/>
    <w:rsid w:val="00886AA9"/>
    <w:rsid w:val="00886ACA"/>
    <w:rsid w:val="00886B1B"/>
    <w:rsid w:val="00886B20"/>
    <w:rsid w:val="00886C14"/>
    <w:rsid w:val="00886E08"/>
    <w:rsid w:val="00887111"/>
    <w:rsid w:val="0088713C"/>
    <w:rsid w:val="00887321"/>
    <w:rsid w:val="00887525"/>
    <w:rsid w:val="008875B7"/>
    <w:rsid w:val="008875BF"/>
    <w:rsid w:val="008875D9"/>
    <w:rsid w:val="008875ED"/>
    <w:rsid w:val="0088772F"/>
    <w:rsid w:val="0088776C"/>
    <w:rsid w:val="00887837"/>
    <w:rsid w:val="0088789A"/>
    <w:rsid w:val="008878F1"/>
    <w:rsid w:val="00887935"/>
    <w:rsid w:val="008879EE"/>
    <w:rsid w:val="00887A24"/>
    <w:rsid w:val="00887A8D"/>
    <w:rsid w:val="00887AFD"/>
    <w:rsid w:val="00887BB0"/>
    <w:rsid w:val="00887BFC"/>
    <w:rsid w:val="00887CAD"/>
    <w:rsid w:val="00887CFF"/>
    <w:rsid w:val="00887D2F"/>
    <w:rsid w:val="00887DE6"/>
    <w:rsid w:val="00887EE8"/>
    <w:rsid w:val="008900DE"/>
    <w:rsid w:val="00890228"/>
    <w:rsid w:val="0089022D"/>
    <w:rsid w:val="0089023E"/>
    <w:rsid w:val="0089026A"/>
    <w:rsid w:val="00890281"/>
    <w:rsid w:val="00890398"/>
    <w:rsid w:val="00890457"/>
    <w:rsid w:val="00890619"/>
    <w:rsid w:val="008907D4"/>
    <w:rsid w:val="008909A0"/>
    <w:rsid w:val="008909FC"/>
    <w:rsid w:val="00890A21"/>
    <w:rsid w:val="00890A4D"/>
    <w:rsid w:val="00890A63"/>
    <w:rsid w:val="00890A67"/>
    <w:rsid w:val="00890A79"/>
    <w:rsid w:val="00890AAB"/>
    <w:rsid w:val="00890B71"/>
    <w:rsid w:val="00890CE7"/>
    <w:rsid w:val="00890DDB"/>
    <w:rsid w:val="00890DE3"/>
    <w:rsid w:val="00890DE6"/>
    <w:rsid w:val="00890DED"/>
    <w:rsid w:val="00890E10"/>
    <w:rsid w:val="00890E3C"/>
    <w:rsid w:val="00890EA8"/>
    <w:rsid w:val="00890EB2"/>
    <w:rsid w:val="00890FF5"/>
    <w:rsid w:val="0089101B"/>
    <w:rsid w:val="0089110F"/>
    <w:rsid w:val="00891189"/>
    <w:rsid w:val="008912BF"/>
    <w:rsid w:val="008915D0"/>
    <w:rsid w:val="00891647"/>
    <w:rsid w:val="00891771"/>
    <w:rsid w:val="008917D8"/>
    <w:rsid w:val="00891814"/>
    <w:rsid w:val="00891857"/>
    <w:rsid w:val="00891992"/>
    <w:rsid w:val="00891A4C"/>
    <w:rsid w:val="00891A51"/>
    <w:rsid w:val="00891A80"/>
    <w:rsid w:val="00891AED"/>
    <w:rsid w:val="00891B41"/>
    <w:rsid w:val="00891B98"/>
    <w:rsid w:val="00891BA0"/>
    <w:rsid w:val="00891CFE"/>
    <w:rsid w:val="00891F90"/>
    <w:rsid w:val="00892037"/>
    <w:rsid w:val="00892045"/>
    <w:rsid w:val="00892052"/>
    <w:rsid w:val="008920D8"/>
    <w:rsid w:val="0089228D"/>
    <w:rsid w:val="0089245A"/>
    <w:rsid w:val="00892461"/>
    <w:rsid w:val="008924A0"/>
    <w:rsid w:val="008924D2"/>
    <w:rsid w:val="008924E4"/>
    <w:rsid w:val="00892537"/>
    <w:rsid w:val="008925F4"/>
    <w:rsid w:val="008926BE"/>
    <w:rsid w:val="00892798"/>
    <w:rsid w:val="008928DC"/>
    <w:rsid w:val="008929A0"/>
    <w:rsid w:val="00892A2C"/>
    <w:rsid w:val="00892ABF"/>
    <w:rsid w:val="00892B70"/>
    <w:rsid w:val="00892BC3"/>
    <w:rsid w:val="00892CC9"/>
    <w:rsid w:val="00892D06"/>
    <w:rsid w:val="00892DE7"/>
    <w:rsid w:val="00892E32"/>
    <w:rsid w:val="00892E83"/>
    <w:rsid w:val="00892ED7"/>
    <w:rsid w:val="00892EF3"/>
    <w:rsid w:val="00892FD9"/>
    <w:rsid w:val="00893184"/>
    <w:rsid w:val="008931C2"/>
    <w:rsid w:val="008931D4"/>
    <w:rsid w:val="008932FF"/>
    <w:rsid w:val="00893313"/>
    <w:rsid w:val="00893314"/>
    <w:rsid w:val="00893477"/>
    <w:rsid w:val="008934C6"/>
    <w:rsid w:val="00893501"/>
    <w:rsid w:val="008935E0"/>
    <w:rsid w:val="00893636"/>
    <w:rsid w:val="00893744"/>
    <w:rsid w:val="00893815"/>
    <w:rsid w:val="008938AA"/>
    <w:rsid w:val="008939E1"/>
    <w:rsid w:val="00893A31"/>
    <w:rsid w:val="00893B58"/>
    <w:rsid w:val="00893C58"/>
    <w:rsid w:val="00893C5C"/>
    <w:rsid w:val="00893CB1"/>
    <w:rsid w:val="00893D7F"/>
    <w:rsid w:val="00893DE0"/>
    <w:rsid w:val="00893E62"/>
    <w:rsid w:val="00893ED3"/>
    <w:rsid w:val="00894021"/>
    <w:rsid w:val="0089417B"/>
    <w:rsid w:val="00894181"/>
    <w:rsid w:val="008941C3"/>
    <w:rsid w:val="00894312"/>
    <w:rsid w:val="0089445E"/>
    <w:rsid w:val="008944FD"/>
    <w:rsid w:val="0089451E"/>
    <w:rsid w:val="008945E2"/>
    <w:rsid w:val="008946DC"/>
    <w:rsid w:val="0089479E"/>
    <w:rsid w:val="0089493A"/>
    <w:rsid w:val="00894BB5"/>
    <w:rsid w:val="00894BD8"/>
    <w:rsid w:val="00894C7F"/>
    <w:rsid w:val="00894C94"/>
    <w:rsid w:val="00894FD8"/>
    <w:rsid w:val="008952BA"/>
    <w:rsid w:val="00895368"/>
    <w:rsid w:val="00895435"/>
    <w:rsid w:val="008955B9"/>
    <w:rsid w:val="00895631"/>
    <w:rsid w:val="008956AD"/>
    <w:rsid w:val="00895A6B"/>
    <w:rsid w:val="00895AEE"/>
    <w:rsid w:val="00895B2D"/>
    <w:rsid w:val="00895B70"/>
    <w:rsid w:val="00895D3D"/>
    <w:rsid w:val="00895D7D"/>
    <w:rsid w:val="00895D9D"/>
    <w:rsid w:val="00895DA2"/>
    <w:rsid w:val="00895E61"/>
    <w:rsid w:val="00895FCC"/>
    <w:rsid w:val="0089607B"/>
    <w:rsid w:val="0089614A"/>
    <w:rsid w:val="0089616F"/>
    <w:rsid w:val="00896185"/>
    <w:rsid w:val="008963B5"/>
    <w:rsid w:val="00896401"/>
    <w:rsid w:val="00896503"/>
    <w:rsid w:val="0089655C"/>
    <w:rsid w:val="008966C1"/>
    <w:rsid w:val="008966D4"/>
    <w:rsid w:val="008966F8"/>
    <w:rsid w:val="0089689A"/>
    <w:rsid w:val="00896964"/>
    <w:rsid w:val="0089696D"/>
    <w:rsid w:val="00896B72"/>
    <w:rsid w:val="00896C40"/>
    <w:rsid w:val="00896C8F"/>
    <w:rsid w:val="00896CAE"/>
    <w:rsid w:val="00896CD4"/>
    <w:rsid w:val="00896DCF"/>
    <w:rsid w:val="00896E08"/>
    <w:rsid w:val="00896EC7"/>
    <w:rsid w:val="00896F3B"/>
    <w:rsid w:val="00897062"/>
    <w:rsid w:val="008970A8"/>
    <w:rsid w:val="008972AF"/>
    <w:rsid w:val="008972D5"/>
    <w:rsid w:val="00897704"/>
    <w:rsid w:val="00897748"/>
    <w:rsid w:val="0089783E"/>
    <w:rsid w:val="008978BA"/>
    <w:rsid w:val="008978D1"/>
    <w:rsid w:val="0089798A"/>
    <w:rsid w:val="00897A83"/>
    <w:rsid w:val="00897B14"/>
    <w:rsid w:val="00897B9F"/>
    <w:rsid w:val="00897C33"/>
    <w:rsid w:val="00897C79"/>
    <w:rsid w:val="00897D47"/>
    <w:rsid w:val="00897DD5"/>
    <w:rsid w:val="00897F93"/>
    <w:rsid w:val="00897FD2"/>
    <w:rsid w:val="00897FDD"/>
    <w:rsid w:val="008A00EB"/>
    <w:rsid w:val="008A00EE"/>
    <w:rsid w:val="008A013E"/>
    <w:rsid w:val="008A04BF"/>
    <w:rsid w:val="008A0513"/>
    <w:rsid w:val="008A0835"/>
    <w:rsid w:val="008A0901"/>
    <w:rsid w:val="008A098E"/>
    <w:rsid w:val="008A0AFE"/>
    <w:rsid w:val="008A0BA2"/>
    <w:rsid w:val="008A0BD0"/>
    <w:rsid w:val="008A0C19"/>
    <w:rsid w:val="008A0C77"/>
    <w:rsid w:val="008A0E42"/>
    <w:rsid w:val="008A0E52"/>
    <w:rsid w:val="008A0E87"/>
    <w:rsid w:val="008A1008"/>
    <w:rsid w:val="008A1024"/>
    <w:rsid w:val="008A1054"/>
    <w:rsid w:val="008A12A2"/>
    <w:rsid w:val="008A1367"/>
    <w:rsid w:val="008A1396"/>
    <w:rsid w:val="008A1447"/>
    <w:rsid w:val="008A146D"/>
    <w:rsid w:val="008A14AB"/>
    <w:rsid w:val="008A1520"/>
    <w:rsid w:val="008A15A4"/>
    <w:rsid w:val="008A1653"/>
    <w:rsid w:val="008A173A"/>
    <w:rsid w:val="008A17E8"/>
    <w:rsid w:val="008A18AD"/>
    <w:rsid w:val="008A18B8"/>
    <w:rsid w:val="008A19ED"/>
    <w:rsid w:val="008A1A31"/>
    <w:rsid w:val="008A1A8B"/>
    <w:rsid w:val="008A1ACB"/>
    <w:rsid w:val="008A1AE5"/>
    <w:rsid w:val="008A1B0D"/>
    <w:rsid w:val="008A1B36"/>
    <w:rsid w:val="008A1B6B"/>
    <w:rsid w:val="008A1C47"/>
    <w:rsid w:val="008A1CE9"/>
    <w:rsid w:val="008A1D92"/>
    <w:rsid w:val="008A1E27"/>
    <w:rsid w:val="008A1ED5"/>
    <w:rsid w:val="008A1F2F"/>
    <w:rsid w:val="008A2026"/>
    <w:rsid w:val="008A21E1"/>
    <w:rsid w:val="008A2221"/>
    <w:rsid w:val="008A226D"/>
    <w:rsid w:val="008A228E"/>
    <w:rsid w:val="008A22A8"/>
    <w:rsid w:val="008A22B5"/>
    <w:rsid w:val="008A2432"/>
    <w:rsid w:val="008A251D"/>
    <w:rsid w:val="008A2579"/>
    <w:rsid w:val="008A25A2"/>
    <w:rsid w:val="008A2721"/>
    <w:rsid w:val="008A276D"/>
    <w:rsid w:val="008A27C8"/>
    <w:rsid w:val="008A28AD"/>
    <w:rsid w:val="008A28AF"/>
    <w:rsid w:val="008A2904"/>
    <w:rsid w:val="008A2914"/>
    <w:rsid w:val="008A2B28"/>
    <w:rsid w:val="008A2C21"/>
    <w:rsid w:val="008A2C2F"/>
    <w:rsid w:val="008A2C7D"/>
    <w:rsid w:val="008A2D50"/>
    <w:rsid w:val="008A2DBF"/>
    <w:rsid w:val="008A2F72"/>
    <w:rsid w:val="008A30AE"/>
    <w:rsid w:val="008A3130"/>
    <w:rsid w:val="008A3201"/>
    <w:rsid w:val="008A3206"/>
    <w:rsid w:val="008A3246"/>
    <w:rsid w:val="008A338D"/>
    <w:rsid w:val="008A3411"/>
    <w:rsid w:val="008A35A5"/>
    <w:rsid w:val="008A3754"/>
    <w:rsid w:val="008A3765"/>
    <w:rsid w:val="008A3794"/>
    <w:rsid w:val="008A390C"/>
    <w:rsid w:val="008A39BD"/>
    <w:rsid w:val="008A39F7"/>
    <w:rsid w:val="008A3A7C"/>
    <w:rsid w:val="008A3C1F"/>
    <w:rsid w:val="008A3D79"/>
    <w:rsid w:val="008A3D91"/>
    <w:rsid w:val="008A3E16"/>
    <w:rsid w:val="008A3E5C"/>
    <w:rsid w:val="008A3E7E"/>
    <w:rsid w:val="008A4316"/>
    <w:rsid w:val="008A43BF"/>
    <w:rsid w:val="008A43DC"/>
    <w:rsid w:val="008A4472"/>
    <w:rsid w:val="008A44CF"/>
    <w:rsid w:val="008A44DE"/>
    <w:rsid w:val="008A44E0"/>
    <w:rsid w:val="008A44FA"/>
    <w:rsid w:val="008A4523"/>
    <w:rsid w:val="008A4531"/>
    <w:rsid w:val="008A4657"/>
    <w:rsid w:val="008A4695"/>
    <w:rsid w:val="008A46FC"/>
    <w:rsid w:val="008A4782"/>
    <w:rsid w:val="008A48A6"/>
    <w:rsid w:val="008A492E"/>
    <w:rsid w:val="008A4936"/>
    <w:rsid w:val="008A4A5E"/>
    <w:rsid w:val="008A4B96"/>
    <w:rsid w:val="008A4BF6"/>
    <w:rsid w:val="008A4C80"/>
    <w:rsid w:val="008A4D20"/>
    <w:rsid w:val="008A4D39"/>
    <w:rsid w:val="008A4DC1"/>
    <w:rsid w:val="008A4E77"/>
    <w:rsid w:val="008A4E79"/>
    <w:rsid w:val="008A50A1"/>
    <w:rsid w:val="008A5133"/>
    <w:rsid w:val="008A514F"/>
    <w:rsid w:val="008A518C"/>
    <w:rsid w:val="008A523A"/>
    <w:rsid w:val="008A524E"/>
    <w:rsid w:val="008A526B"/>
    <w:rsid w:val="008A52C8"/>
    <w:rsid w:val="008A53FF"/>
    <w:rsid w:val="008A540A"/>
    <w:rsid w:val="008A5431"/>
    <w:rsid w:val="008A55F4"/>
    <w:rsid w:val="008A56F9"/>
    <w:rsid w:val="008A5743"/>
    <w:rsid w:val="008A574F"/>
    <w:rsid w:val="008A5762"/>
    <w:rsid w:val="008A5770"/>
    <w:rsid w:val="008A5855"/>
    <w:rsid w:val="008A58E3"/>
    <w:rsid w:val="008A594E"/>
    <w:rsid w:val="008A598C"/>
    <w:rsid w:val="008A59B7"/>
    <w:rsid w:val="008A5A3D"/>
    <w:rsid w:val="008A5AA8"/>
    <w:rsid w:val="008A5BDF"/>
    <w:rsid w:val="008A5CE9"/>
    <w:rsid w:val="008A5E2F"/>
    <w:rsid w:val="008A5ED7"/>
    <w:rsid w:val="008A5FDD"/>
    <w:rsid w:val="008A60BA"/>
    <w:rsid w:val="008A640E"/>
    <w:rsid w:val="008A641F"/>
    <w:rsid w:val="008A6460"/>
    <w:rsid w:val="008A64BC"/>
    <w:rsid w:val="008A64CE"/>
    <w:rsid w:val="008A650B"/>
    <w:rsid w:val="008A65AF"/>
    <w:rsid w:val="008A668B"/>
    <w:rsid w:val="008A66A6"/>
    <w:rsid w:val="008A6720"/>
    <w:rsid w:val="008A6762"/>
    <w:rsid w:val="008A678A"/>
    <w:rsid w:val="008A67BB"/>
    <w:rsid w:val="008A68F3"/>
    <w:rsid w:val="008A6994"/>
    <w:rsid w:val="008A69DB"/>
    <w:rsid w:val="008A6A1E"/>
    <w:rsid w:val="008A6A68"/>
    <w:rsid w:val="008A6A7E"/>
    <w:rsid w:val="008A6D8F"/>
    <w:rsid w:val="008A6ED9"/>
    <w:rsid w:val="008A6FEC"/>
    <w:rsid w:val="008A70C2"/>
    <w:rsid w:val="008A71D1"/>
    <w:rsid w:val="008A7233"/>
    <w:rsid w:val="008A72FD"/>
    <w:rsid w:val="008A7306"/>
    <w:rsid w:val="008A734A"/>
    <w:rsid w:val="008A73B4"/>
    <w:rsid w:val="008A7439"/>
    <w:rsid w:val="008A746C"/>
    <w:rsid w:val="008A7578"/>
    <w:rsid w:val="008A78B0"/>
    <w:rsid w:val="008A7A73"/>
    <w:rsid w:val="008A7A81"/>
    <w:rsid w:val="008A7BFD"/>
    <w:rsid w:val="008A7C82"/>
    <w:rsid w:val="008A7D42"/>
    <w:rsid w:val="008A7EDC"/>
    <w:rsid w:val="008A7EE0"/>
    <w:rsid w:val="008A7EF4"/>
    <w:rsid w:val="008A7F30"/>
    <w:rsid w:val="008B009B"/>
    <w:rsid w:val="008B020D"/>
    <w:rsid w:val="008B0213"/>
    <w:rsid w:val="008B0234"/>
    <w:rsid w:val="008B0299"/>
    <w:rsid w:val="008B03FB"/>
    <w:rsid w:val="008B04B4"/>
    <w:rsid w:val="008B05B0"/>
    <w:rsid w:val="008B061B"/>
    <w:rsid w:val="008B0626"/>
    <w:rsid w:val="008B06BA"/>
    <w:rsid w:val="008B07CA"/>
    <w:rsid w:val="008B07DD"/>
    <w:rsid w:val="008B0808"/>
    <w:rsid w:val="008B088A"/>
    <w:rsid w:val="008B0915"/>
    <w:rsid w:val="008B0A99"/>
    <w:rsid w:val="008B0AC7"/>
    <w:rsid w:val="008B0B5D"/>
    <w:rsid w:val="008B0BD4"/>
    <w:rsid w:val="008B0C85"/>
    <w:rsid w:val="008B0D95"/>
    <w:rsid w:val="008B0E9B"/>
    <w:rsid w:val="008B0FF2"/>
    <w:rsid w:val="008B1019"/>
    <w:rsid w:val="008B1037"/>
    <w:rsid w:val="008B1117"/>
    <w:rsid w:val="008B114D"/>
    <w:rsid w:val="008B1181"/>
    <w:rsid w:val="008B11A6"/>
    <w:rsid w:val="008B120B"/>
    <w:rsid w:val="008B126B"/>
    <w:rsid w:val="008B1472"/>
    <w:rsid w:val="008B14B1"/>
    <w:rsid w:val="008B14B7"/>
    <w:rsid w:val="008B1692"/>
    <w:rsid w:val="008B16B5"/>
    <w:rsid w:val="008B183D"/>
    <w:rsid w:val="008B1840"/>
    <w:rsid w:val="008B1905"/>
    <w:rsid w:val="008B191E"/>
    <w:rsid w:val="008B1A2D"/>
    <w:rsid w:val="008B1ADB"/>
    <w:rsid w:val="008B1B27"/>
    <w:rsid w:val="008B1D75"/>
    <w:rsid w:val="008B1E09"/>
    <w:rsid w:val="008B1EF4"/>
    <w:rsid w:val="008B201D"/>
    <w:rsid w:val="008B2116"/>
    <w:rsid w:val="008B23BC"/>
    <w:rsid w:val="008B2446"/>
    <w:rsid w:val="008B2784"/>
    <w:rsid w:val="008B2880"/>
    <w:rsid w:val="008B2898"/>
    <w:rsid w:val="008B2A3C"/>
    <w:rsid w:val="008B2BB6"/>
    <w:rsid w:val="008B2C33"/>
    <w:rsid w:val="008B2CA5"/>
    <w:rsid w:val="008B2DCB"/>
    <w:rsid w:val="008B2E08"/>
    <w:rsid w:val="008B2E32"/>
    <w:rsid w:val="008B2E9B"/>
    <w:rsid w:val="008B2EB5"/>
    <w:rsid w:val="008B2EF7"/>
    <w:rsid w:val="008B3040"/>
    <w:rsid w:val="008B3067"/>
    <w:rsid w:val="008B306A"/>
    <w:rsid w:val="008B30E3"/>
    <w:rsid w:val="008B3150"/>
    <w:rsid w:val="008B32DA"/>
    <w:rsid w:val="008B330D"/>
    <w:rsid w:val="008B3402"/>
    <w:rsid w:val="008B35C7"/>
    <w:rsid w:val="008B35EA"/>
    <w:rsid w:val="008B3669"/>
    <w:rsid w:val="008B3866"/>
    <w:rsid w:val="008B38DB"/>
    <w:rsid w:val="008B3AF0"/>
    <w:rsid w:val="008B3C1F"/>
    <w:rsid w:val="008B3D2E"/>
    <w:rsid w:val="008B3DDE"/>
    <w:rsid w:val="008B4072"/>
    <w:rsid w:val="008B40B2"/>
    <w:rsid w:val="008B40FD"/>
    <w:rsid w:val="008B418C"/>
    <w:rsid w:val="008B41A8"/>
    <w:rsid w:val="008B4241"/>
    <w:rsid w:val="008B427E"/>
    <w:rsid w:val="008B44E4"/>
    <w:rsid w:val="008B45C7"/>
    <w:rsid w:val="008B4805"/>
    <w:rsid w:val="008B4841"/>
    <w:rsid w:val="008B48FC"/>
    <w:rsid w:val="008B4D86"/>
    <w:rsid w:val="008B4E06"/>
    <w:rsid w:val="008B4E91"/>
    <w:rsid w:val="008B4F06"/>
    <w:rsid w:val="008B4F1B"/>
    <w:rsid w:val="008B4F77"/>
    <w:rsid w:val="008B5066"/>
    <w:rsid w:val="008B50DB"/>
    <w:rsid w:val="008B50FC"/>
    <w:rsid w:val="008B52BB"/>
    <w:rsid w:val="008B52CE"/>
    <w:rsid w:val="008B53E2"/>
    <w:rsid w:val="008B53FE"/>
    <w:rsid w:val="008B541C"/>
    <w:rsid w:val="008B5496"/>
    <w:rsid w:val="008B570E"/>
    <w:rsid w:val="008B5756"/>
    <w:rsid w:val="008B5781"/>
    <w:rsid w:val="008B5954"/>
    <w:rsid w:val="008B59B4"/>
    <w:rsid w:val="008B5A0E"/>
    <w:rsid w:val="008B5AF7"/>
    <w:rsid w:val="008B5B7D"/>
    <w:rsid w:val="008B5B8A"/>
    <w:rsid w:val="008B5C20"/>
    <w:rsid w:val="008B5D85"/>
    <w:rsid w:val="008B5DA2"/>
    <w:rsid w:val="008B5E3C"/>
    <w:rsid w:val="008B61D0"/>
    <w:rsid w:val="008B620D"/>
    <w:rsid w:val="008B6286"/>
    <w:rsid w:val="008B64C0"/>
    <w:rsid w:val="008B650D"/>
    <w:rsid w:val="008B65CC"/>
    <w:rsid w:val="008B6637"/>
    <w:rsid w:val="008B6641"/>
    <w:rsid w:val="008B66A5"/>
    <w:rsid w:val="008B6763"/>
    <w:rsid w:val="008B6872"/>
    <w:rsid w:val="008B6A0F"/>
    <w:rsid w:val="008B6B3D"/>
    <w:rsid w:val="008B6BFD"/>
    <w:rsid w:val="008B6C7C"/>
    <w:rsid w:val="008B6F7A"/>
    <w:rsid w:val="008B704D"/>
    <w:rsid w:val="008B71F8"/>
    <w:rsid w:val="008B734F"/>
    <w:rsid w:val="008B73A1"/>
    <w:rsid w:val="008B73DB"/>
    <w:rsid w:val="008B73F1"/>
    <w:rsid w:val="008B7420"/>
    <w:rsid w:val="008B7526"/>
    <w:rsid w:val="008B7566"/>
    <w:rsid w:val="008B7640"/>
    <w:rsid w:val="008B7669"/>
    <w:rsid w:val="008B7682"/>
    <w:rsid w:val="008B7686"/>
    <w:rsid w:val="008B779E"/>
    <w:rsid w:val="008B77C4"/>
    <w:rsid w:val="008B78B3"/>
    <w:rsid w:val="008B797C"/>
    <w:rsid w:val="008B7A13"/>
    <w:rsid w:val="008B7A45"/>
    <w:rsid w:val="008B7A52"/>
    <w:rsid w:val="008B7AC0"/>
    <w:rsid w:val="008B7B6B"/>
    <w:rsid w:val="008B7C2C"/>
    <w:rsid w:val="008B7CBD"/>
    <w:rsid w:val="008B7D46"/>
    <w:rsid w:val="008B7E8C"/>
    <w:rsid w:val="008B7EA7"/>
    <w:rsid w:val="008B7EC3"/>
    <w:rsid w:val="008C00C5"/>
    <w:rsid w:val="008C00D7"/>
    <w:rsid w:val="008C00E3"/>
    <w:rsid w:val="008C0126"/>
    <w:rsid w:val="008C019D"/>
    <w:rsid w:val="008C0330"/>
    <w:rsid w:val="008C03AC"/>
    <w:rsid w:val="008C042E"/>
    <w:rsid w:val="008C0542"/>
    <w:rsid w:val="008C0774"/>
    <w:rsid w:val="008C0902"/>
    <w:rsid w:val="008C0908"/>
    <w:rsid w:val="008C0B00"/>
    <w:rsid w:val="008C0B32"/>
    <w:rsid w:val="008C0BA6"/>
    <w:rsid w:val="008C0C90"/>
    <w:rsid w:val="008C0D28"/>
    <w:rsid w:val="008C0D50"/>
    <w:rsid w:val="008C118E"/>
    <w:rsid w:val="008C1267"/>
    <w:rsid w:val="008C135B"/>
    <w:rsid w:val="008C1395"/>
    <w:rsid w:val="008C1524"/>
    <w:rsid w:val="008C1561"/>
    <w:rsid w:val="008C1743"/>
    <w:rsid w:val="008C1842"/>
    <w:rsid w:val="008C186C"/>
    <w:rsid w:val="008C1903"/>
    <w:rsid w:val="008C19E7"/>
    <w:rsid w:val="008C1A2D"/>
    <w:rsid w:val="008C1A40"/>
    <w:rsid w:val="008C1A7E"/>
    <w:rsid w:val="008C1B34"/>
    <w:rsid w:val="008C1B61"/>
    <w:rsid w:val="008C1B9F"/>
    <w:rsid w:val="008C1D25"/>
    <w:rsid w:val="008C1D4F"/>
    <w:rsid w:val="008C1DA6"/>
    <w:rsid w:val="008C1EAD"/>
    <w:rsid w:val="008C200A"/>
    <w:rsid w:val="008C2090"/>
    <w:rsid w:val="008C210F"/>
    <w:rsid w:val="008C2116"/>
    <w:rsid w:val="008C21E3"/>
    <w:rsid w:val="008C21E9"/>
    <w:rsid w:val="008C2437"/>
    <w:rsid w:val="008C2556"/>
    <w:rsid w:val="008C25A7"/>
    <w:rsid w:val="008C265F"/>
    <w:rsid w:val="008C26C5"/>
    <w:rsid w:val="008C271A"/>
    <w:rsid w:val="008C27B4"/>
    <w:rsid w:val="008C27B9"/>
    <w:rsid w:val="008C27F6"/>
    <w:rsid w:val="008C2993"/>
    <w:rsid w:val="008C2A5E"/>
    <w:rsid w:val="008C2A89"/>
    <w:rsid w:val="008C2AC6"/>
    <w:rsid w:val="008C2B83"/>
    <w:rsid w:val="008C2CE8"/>
    <w:rsid w:val="008C2D0B"/>
    <w:rsid w:val="008C2D69"/>
    <w:rsid w:val="008C2E73"/>
    <w:rsid w:val="008C2F0C"/>
    <w:rsid w:val="008C30B9"/>
    <w:rsid w:val="008C3497"/>
    <w:rsid w:val="008C34E7"/>
    <w:rsid w:val="008C364B"/>
    <w:rsid w:val="008C3655"/>
    <w:rsid w:val="008C3795"/>
    <w:rsid w:val="008C37D6"/>
    <w:rsid w:val="008C3846"/>
    <w:rsid w:val="008C3A9E"/>
    <w:rsid w:val="008C3ACC"/>
    <w:rsid w:val="008C3CB7"/>
    <w:rsid w:val="008C3CD7"/>
    <w:rsid w:val="008C3D22"/>
    <w:rsid w:val="008C3D7A"/>
    <w:rsid w:val="008C3DE5"/>
    <w:rsid w:val="008C3E53"/>
    <w:rsid w:val="008C3E68"/>
    <w:rsid w:val="008C3F14"/>
    <w:rsid w:val="008C4033"/>
    <w:rsid w:val="008C4052"/>
    <w:rsid w:val="008C4280"/>
    <w:rsid w:val="008C4432"/>
    <w:rsid w:val="008C4484"/>
    <w:rsid w:val="008C44DA"/>
    <w:rsid w:val="008C4520"/>
    <w:rsid w:val="008C457A"/>
    <w:rsid w:val="008C45A6"/>
    <w:rsid w:val="008C464D"/>
    <w:rsid w:val="008C4695"/>
    <w:rsid w:val="008C46D1"/>
    <w:rsid w:val="008C47C4"/>
    <w:rsid w:val="008C4918"/>
    <w:rsid w:val="008C492E"/>
    <w:rsid w:val="008C49C1"/>
    <w:rsid w:val="008C49F5"/>
    <w:rsid w:val="008C4B09"/>
    <w:rsid w:val="008C4BBE"/>
    <w:rsid w:val="008C4BF6"/>
    <w:rsid w:val="008C4C02"/>
    <w:rsid w:val="008C4C47"/>
    <w:rsid w:val="008C4C52"/>
    <w:rsid w:val="008C4C53"/>
    <w:rsid w:val="008C4D50"/>
    <w:rsid w:val="008C4E2A"/>
    <w:rsid w:val="008C4EB9"/>
    <w:rsid w:val="008C50A7"/>
    <w:rsid w:val="008C51C3"/>
    <w:rsid w:val="008C5267"/>
    <w:rsid w:val="008C52BA"/>
    <w:rsid w:val="008C5328"/>
    <w:rsid w:val="008C5361"/>
    <w:rsid w:val="008C536E"/>
    <w:rsid w:val="008C5572"/>
    <w:rsid w:val="008C55D3"/>
    <w:rsid w:val="008C583E"/>
    <w:rsid w:val="008C597E"/>
    <w:rsid w:val="008C5A04"/>
    <w:rsid w:val="008C5A34"/>
    <w:rsid w:val="008C5ACF"/>
    <w:rsid w:val="008C5C93"/>
    <w:rsid w:val="008C5C98"/>
    <w:rsid w:val="008C5CEC"/>
    <w:rsid w:val="008C5D1C"/>
    <w:rsid w:val="008C5D65"/>
    <w:rsid w:val="008C5E64"/>
    <w:rsid w:val="008C5E96"/>
    <w:rsid w:val="008C5EC3"/>
    <w:rsid w:val="008C5FA8"/>
    <w:rsid w:val="008C60FF"/>
    <w:rsid w:val="008C613F"/>
    <w:rsid w:val="008C6179"/>
    <w:rsid w:val="008C6233"/>
    <w:rsid w:val="008C624B"/>
    <w:rsid w:val="008C6257"/>
    <w:rsid w:val="008C6269"/>
    <w:rsid w:val="008C626C"/>
    <w:rsid w:val="008C667B"/>
    <w:rsid w:val="008C686E"/>
    <w:rsid w:val="008C687E"/>
    <w:rsid w:val="008C6880"/>
    <w:rsid w:val="008C6AFA"/>
    <w:rsid w:val="008C6C00"/>
    <w:rsid w:val="008C6C3D"/>
    <w:rsid w:val="008C6CB2"/>
    <w:rsid w:val="008C6D1A"/>
    <w:rsid w:val="008C6D2E"/>
    <w:rsid w:val="008C6D38"/>
    <w:rsid w:val="008C6D75"/>
    <w:rsid w:val="008C6E32"/>
    <w:rsid w:val="008C6EC4"/>
    <w:rsid w:val="008C6F2B"/>
    <w:rsid w:val="008C6FB5"/>
    <w:rsid w:val="008C6FC4"/>
    <w:rsid w:val="008C700F"/>
    <w:rsid w:val="008C721F"/>
    <w:rsid w:val="008C72F9"/>
    <w:rsid w:val="008C7336"/>
    <w:rsid w:val="008C743C"/>
    <w:rsid w:val="008C74B0"/>
    <w:rsid w:val="008C775F"/>
    <w:rsid w:val="008C77AC"/>
    <w:rsid w:val="008C7A16"/>
    <w:rsid w:val="008C7A54"/>
    <w:rsid w:val="008C7AAF"/>
    <w:rsid w:val="008C7D30"/>
    <w:rsid w:val="008C7D31"/>
    <w:rsid w:val="008C7DBF"/>
    <w:rsid w:val="008C7F77"/>
    <w:rsid w:val="008C7FAE"/>
    <w:rsid w:val="008C7FC1"/>
    <w:rsid w:val="008C7FDF"/>
    <w:rsid w:val="008D0060"/>
    <w:rsid w:val="008D016D"/>
    <w:rsid w:val="008D0181"/>
    <w:rsid w:val="008D034B"/>
    <w:rsid w:val="008D03CC"/>
    <w:rsid w:val="008D05AC"/>
    <w:rsid w:val="008D06A7"/>
    <w:rsid w:val="008D0942"/>
    <w:rsid w:val="008D09AC"/>
    <w:rsid w:val="008D0A3C"/>
    <w:rsid w:val="008D0A40"/>
    <w:rsid w:val="008D0A7A"/>
    <w:rsid w:val="008D0ACA"/>
    <w:rsid w:val="008D0B1B"/>
    <w:rsid w:val="008D0E0F"/>
    <w:rsid w:val="008D0EF5"/>
    <w:rsid w:val="008D0F9C"/>
    <w:rsid w:val="008D1041"/>
    <w:rsid w:val="008D107B"/>
    <w:rsid w:val="008D111C"/>
    <w:rsid w:val="008D1129"/>
    <w:rsid w:val="008D1140"/>
    <w:rsid w:val="008D14FE"/>
    <w:rsid w:val="008D1522"/>
    <w:rsid w:val="008D15D0"/>
    <w:rsid w:val="008D1604"/>
    <w:rsid w:val="008D1621"/>
    <w:rsid w:val="008D16EF"/>
    <w:rsid w:val="008D186E"/>
    <w:rsid w:val="008D187B"/>
    <w:rsid w:val="008D18F8"/>
    <w:rsid w:val="008D1927"/>
    <w:rsid w:val="008D197C"/>
    <w:rsid w:val="008D19A5"/>
    <w:rsid w:val="008D19BA"/>
    <w:rsid w:val="008D19F2"/>
    <w:rsid w:val="008D1DE0"/>
    <w:rsid w:val="008D1F01"/>
    <w:rsid w:val="008D1F7B"/>
    <w:rsid w:val="008D20AC"/>
    <w:rsid w:val="008D2186"/>
    <w:rsid w:val="008D21B7"/>
    <w:rsid w:val="008D23B4"/>
    <w:rsid w:val="008D241F"/>
    <w:rsid w:val="008D2433"/>
    <w:rsid w:val="008D2448"/>
    <w:rsid w:val="008D24CF"/>
    <w:rsid w:val="008D24D4"/>
    <w:rsid w:val="008D24E9"/>
    <w:rsid w:val="008D24F0"/>
    <w:rsid w:val="008D25AE"/>
    <w:rsid w:val="008D2688"/>
    <w:rsid w:val="008D2690"/>
    <w:rsid w:val="008D269A"/>
    <w:rsid w:val="008D2811"/>
    <w:rsid w:val="008D2900"/>
    <w:rsid w:val="008D2960"/>
    <w:rsid w:val="008D2988"/>
    <w:rsid w:val="008D29B6"/>
    <w:rsid w:val="008D2A9D"/>
    <w:rsid w:val="008D2B26"/>
    <w:rsid w:val="008D2B6F"/>
    <w:rsid w:val="008D2CEE"/>
    <w:rsid w:val="008D2E0B"/>
    <w:rsid w:val="008D2E0F"/>
    <w:rsid w:val="008D306A"/>
    <w:rsid w:val="008D310F"/>
    <w:rsid w:val="008D3187"/>
    <w:rsid w:val="008D3287"/>
    <w:rsid w:val="008D331B"/>
    <w:rsid w:val="008D3410"/>
    <w:rsid w:val="008D3442"/>
    <w:rsid w:val="008D3474"/>
    <w:rsid w:val="008D358C"/>
    <w:rsid w:val="008D35B8"/>
    <w:rsid w:val="008D3676"/>
    <w:rsid w:val="008D3685"/>
    <w:rsid w:val="008D374C"/>
    <w:rsid w:val="008D3854"/>
    <w:rsid w:val="008D396B"/>
    <w:rsid w:val="008D3BF0"/>
    <w:rsid w:val="008D3D64"/>
    <w:rsid w:val="008D3DA2"/>
    <w:rsid w:val="008D3EE9"/>
    <w:rsid w:val="008D3F7F"/>
    <w:rsid w:val="008D40B1"/>
    <w:rsid w:val="008D41C9"/>
    <w:rsid w:val="008D4267"/>
    <w:rsid w:val="008D42D0"/>
    <w:rsid w:val="008D4303"/>
    <w:rsid w:val="008D4415"/>
    <w:rsid w:val="008D4435"/>
    <w:rsid w:val="008D445C"/>
    <w:rsid w:val="008D44BA"/>
    <w:rsid w:val="008D4548"/>
    <w:rsid w:val="008D4597"/>
    <w:rsid w:val="008D464B"/>
    <w:rsid w:val="008D476C"/>
    <w:rsid w:val="008D47CE"/>
    <w:rsid w:val="008D480E"/>
    <w:rsid w:val="008D48F3"/>
    <w:rsid w:val="008D4934"/>
    <w:rsid w:val="008D4A02"/>
    <w:rsid w:val="008D4A60"/>
    <w:rsid w:val="008D4ACC"/>
    <w:rsid w:val="008D4AF0"/>
    <w:rsid w:val="008D4B9C"/>
    <w:rsid w:val="008D4CBA"/>
    <w:rsid w:val="008D4CD9"/>
    <w:rsid w:val="008D4D0C"/>
    <w:rsid w:val="008D4DBA"/>
    <w:rsid w:val="008D4F14"/>
    <w:rsid w:val="008D4FA9"/>
    <w:rsid w:val="008D50C2"/>
    <w:rsid w:val="008D50CE"/>
    <w:rsid w:val="008D518A"/>
    <w:rsid w:val="008D5258"/>
    <w:rsid w:val="008D533D"/>
    <w:rsid w:val="008D5486"/>
    <w:rsid w:val="008D54F6"/>
    <w:rsid w:val="008D558C"/>
    <w:rsid w:val="008D55BF"/>
    <w:rsid w:val="008D5627"/>
    <w:rsid w:val="008D576D"/>
    <w:rsid w:val="008D5843"/>
    <w:rsid w:val="008D5973"/>
    <w:rsid w:val="008D597B"/>
    <w:rsid w:val="008D5A03"/>
    <w:rsid w:val="008D5AF0"/>
    <w:rsid w:val="008D5AF3"/>
    <w:rsid w:val="008D5E30"/>
    <w:rsid w:val="008D5F4E"/>
    <w:rsid w:val="008D6001"/>
    <w:rsid w:val="008D6191"/>
    <w:rsid w:val="008D61B0"/>
    <w:rsid w:val="008D6250"/>
    <w:rsid w:val="008D63EF"/>
    <w:rsid w:val="008D6460"/>
    <w:rsid w:val="008D6561"/>
    <w:rsid w:val="008D6582"/>
    <w:rsid w:val="008D6652"/>
    <w:rsid w:val="008D68C4"/>
    <w:rsid w:val="008D6A10"/>
    <w:rsid w:val="008D6DD9"/>
    <w:rsid w:val="008D6E55"/>
    <w:rsid w:val="008D6F27"/>
    <w:rsid w:val="008D6F41"/>
    <w:rsid w:val="008D6F4D"/>
    <w:rsid w:val="008D6FA4"/>
    <w:rsid w:val="008D7007"/>
    <w:rsid w:val="008D728F"/>
    <w:rsid w:val="008D729F"/>
    <w:rsid w:val="008D73F0"/>
    <w:rsid w:val="008D740F"/>
    <w:rsid w:val="008D7539"/>
    <w:rsid w:val="008D75C5"/>
    <w:rsid w:val="008D7647"/>
    <w:rsid w:val="008D770F"/>
    <w:rsid w:val="008D7713"/>
    <w:rsid w:val="008D772E"/>
    <w:rsid w:val="008D77CE"/>
    <w:rsid w:val="008D79B5"/>
    <w:rsid w:val="008D7A2C"/>
    <w:rsid w:val="008D7AC2"/>
    <w:rsid w:val="008D7B9A"/>
    <w:rsid w:val="008D7C6C"/>
    <w:rsid w:val="008D7C90"/>
    <w:rsid w:val="008D7CB9"/>
    <w:rsid w:val="008D7CDD"/>
    <w:rsid w:val="008D7D0D"/>
    <w:rsid w:val="008D7D9B"/>
    <w:rsid w:val="008D7DD6"/>
    <w:rsid w:val="008D7F2D"/>
    <w:rsid w:val="008D7F68"/>
    <w:rsid w:val="008E0023"/>
    <w:rsid w:val="008E0056"/>
    <w:rsid w:val="008E0057"/>
    <w:rsid w:val="008E0215"/>
    <w:rsid w:val="008E034C"/>
    <w:rsid w:val="008E049E"/>
    <w:rsid w:val="008E04AA"/>
    <w:rsid w:val="008E04AE"/>
    <w:rsid w:val="008E0599"/>
    <w:rsid w:val="008E05FB"/>
    <w:rsid w:val="008E0907"/>
    <w:rsid w:val="008E0933"/>
    <w:rsid w:val="008E0987"/>
    <w:rsid w:val="008E09C1"/>
    <w:rsid w:val="008E0A3F"/>
    <w:rsid w:val="008E0A5F"/>
    <w:rsid w:val="008E0B99"/>
    <w:rsid w:val="008E0D2D"/>
    <w:rsid w:val="008E0D7E"/>
    <w:rsid w:val="008E0EE6"/>
    <w:rsid w:val="008E0F1B"/>
    <w:rsid w:val="008E108E"/>
    <w:rsid w:val="008E10C9"/>
    <w:rsid w:val="008E1101"/>
    <w:rsid w:val="008E110F"/>
    <w:rsid w:val="008E133A"/>
    <w:rsid w:val="008E144D"/>
    <w:rsid w:val="008E145A"/>
    <w:rsid w:val="008E14A6"/>
    <w:rsid w:val="008E156A"/>
    <w:rsid w:val="008E15AC"/>
    <w:rsid w:val="008E15DD"/>
    <w:rsid w:val="008E16EC"/>
    <w:rsid w:val="008E174E"/>
    <w:rsid w:val="008E179D"/>
    <w:rsid w:val="008E186A"/>
    <w:rsid w:val="008E188C"/>
    <w:rsid w:val="008E1986"/>
    <w:rsid w:val="008E19DA"/>
    <w:rsid w:val="008E1A50"/>
    <w:rsid w:val="008E1BDC"/>
    <w:rsid w:val="008E1C8E"/>
    <w:rsid w:val="008E1CA8"/>
    <w:rsid w:val="008E1CF5"/>
    <w:rsid w:val="008E1D23"/>
    <w:rsid w:val="008E1D38"/>
    <w:rsid w:val="008E1DBA"/>
    <w:rsid w:val="008E1E0E"/>
    <w:rsid w:val="008E1ECE"/>
    <w:rsid w:val="008E1F3B"/>
    <w:rsid w:val="008E2048"/>
    <w:rsid w:val="008E2240"/>
    <w:rsid w:val="008E22DD"/>
    <w:rsid w:val="008E242C"/>
    <w:rsid w:val="008E2662"/>
    <w:rsid w:val="008E26E3"/>
    <w:rsid w:val="008E2760"/>
    <w:rsid w:val="008E28C3"/>
    <w:rsid w:val="008E28DE"/>
    <w:rsid w:val="008E28EE"/>
    <w:rsid w:val="008E2A29"/>
    <w:rsid w:val="008E2A8F"/>
    <w:rsid w:val="008E2B0F"/>
    <w:rsid w:val="008E2B3D"/>
    <w:rsid w:val="008E2D17"/>
    <w:rsid w:val="008E2DED"/>
    <w:rsid w:val="008E2EA5"/>
    <w:rsid w:val="008E2EFA"/>
    <w:rsid w:val="008E2FF1"/>
    <w:rsid w:val="008E3079"/>
    <w:rsid w:val="008E310E"/>
    <w:rsid w:val="008E317E"/>
    <w:rsid w:val="008E318C"/>
    <w:rsid w:val="008E34FB"/>
    <w:rsid w:val="008E3535"/>
    <w:rsid w:val="008E35DB"/>
    <w:rsid w:val="008E36C6"/>
    <w:rsid w:val="008E37AE"/>
    <w:rsid w:val="008E386A"/>
    <w:rsid w:val="008E38FC"/>
    <w:rsid w:val="008E3B33"/>
    <w:rsid w:val="008E3C1D"/>
    <w:rsid w:val="008E3CE9"/>
    <w:rsid w:val="008E3D40"/>
    <w:rsid w:val="008E3F97"/>
    <w:rsid w:val="008E3FBE"/>
    <w:rsid w:val="008E401E"/>
    <w:rsid w:val="008E406B"/>
    <w:rsid w:val="008E40A1"/>
    <w:rsid w:val="008E40D5"/>
    <w:rsid w:val="008E4186"/>
    <w:rsid w:val="008E41CF"/>
    <w:rsid w:val="008E4251"/>
    <w:rsid w:val="008E4269"/>
    <w:rsid w:val="008E42C8"/>
    <w:rsid w:val="008E4306"/>
    <w:rsid w:val="008E4385"/>
    <w:rsid w:val="008E4413"/>
    <w:rsid w:val="008E4489"/>
    <w:rsid w:val="008E44FD"/>
    <w:rsid w:val="008E49F7"/>
    <w:rsid w:val="008E4B2D"/>
    <w:rsid w:val="008E4C43"/>
    <w:rsid w:val="008E4C7B"/>
    <w:rsid w:val="008E4D20"/>
    <w:rsid w:val="008E4D37"/>
    <w:rsid w:val="008E4D8E"/>
    <w:rsid w:val="008E4D9F"/>
    <w:rsid w:val="008E4E11"/>
    <w:rsid w:val="008E4E3C"/>
    <w:rsid w:val="008E4ED1"/>
    <w:rsid w:val="008E4F11"/>
    <w:rsid w:val="008E4F1B"/>
    <w:rsid w:val="008E4F63"/>
    <w:rsid w:val="008E4FBB"/>
    <w:rsid w:val="008E5027"/>
    <w:rsid w:val="008E51C8"/>
    <w:rsid w:val="008E51CC"/>
    <w:rsid w:val="008E5235"/>
    <w:rsid w:val="008E52D2"/>
    <w:rsid w:val="008E5584"/>
    <w:rsid w:val="008E5655"/>
    <w:rsid w:val="008E5680"/>
    <w:rsid w:val="008E56FF"/>
    <w:rsid w:val="008E590E"/>
    <w:rsid w:val="008E5910"/>
    <w:rsid w:val="008E5A99"/>
    <w:rsid w:val="008E5C35"/>
    <w:rsid w:val="008E5C68"/>
    <w:rsid w:val="008E5D86"/>
    <w:rsid w:val="008E5D8A"/>
    <w:rsid w:val="008E5EDD"/>
    <w:rsid w:val="008E5FAF"/>
    <w:rsid w:val="008E5FEF"/>
    <w:rsid w:val="008E617D"/>
    <w:rsid w:val="008E61BD"/>
    <w:rsid w:val="008E6224"/>
    <w:rsid w:val="008E623E"/>
    <w:rsid w:val="008E62CC"/>
    <w:rsid w:val="008E62E3"/>
    <w:rsid w:val="008E6307"/>
    <w:rsid w:val="008E644D"/>
    <w:rsid w:val="008E6504"/>
    <w:rsid w:val="008E65EA"/>
    <w:rsid w:val="008E661C"/>
    <w:rsid w:val="008E66A1"/>
    <w:rsid w:val="008E673A"/>
    <w:rsid w:val="008E67AE"/>
    <w:rsid w:val="008E691E"/>
    <w:rsid w:val="008E6A62"/>
    <w:rsid w:val="008E6CFA"/>
    <w:rsid w:val="008E6F3A"/>
    <w:rsid w:val="008E6F73"/>
    <w:rsid w:val="008E707E"/>
    <w:rsid w:val="008E71E9"/>
    <w:rsid w:val="008E7273"/>
    <w:rsid w:val="008E737D"/>
    <w:rsid w:val="008E75F7"/>
    <w:rsid w:val="008E77AB"/>
    <w:rsid w:val="008E7881"/>
    <w:rsid w:val="008E78A9"/>
    <w:rsid w:val="008E78CF"/>
    <w:rsid w:val="008E7A2C"/>
    <w:rsid w:val="008E7A4B"/>
    <w:rsid w:val="008E7A69"/>
    <w:rsid w:val="008E7A94"/>
    <w:rsid w:val="008E7AD9"/>
    <w:rsid w:val="008E7D37"/>
    <w:rsid w:val="008E7DE2"/>
    <w:rsid w:val="008F003C"/>
    <w:rsid w:val="008F016F"/>
    <w:rsid w:val="008F0210"/>
    <w:rsid w:val="008F0277"/>
    <w:rsid w:val="008F031F"/>
    <w:rsid w:val="008F0359"/>
    <w:rsid w:val="008F0362"/>
    <w:rsid w:val="008F0450"/>
    <w:rsid w:val="008F0644"/>
    <w:rsid w:val="008F064B"/>
    <w:rsid w:val="008F06EF"/>
    <w:rsid w:val="008F0763"/>
    <w:rsid w:val="008F08C7"/>
    <w:rsid w:val="008F0928"/>
    <w:rsid w:val="008F094F"/>
    <w:rsid w:val="008F09FA"/>
    <w:rsid w:val="008F0A2B"/>
    <w:rsid w:val="008F0CCA"/>
    <w:rsid w:val="008F0EA6"/>
    <w:rsid w:val="008F0FD1"/>
    <w:rsid w:val="008F1010"/>
    <w:rsid w:val="008F1046"/>
    <w:rsid w:val="008F10C2"/>
    <w:rsid w:val="008F113C"/>
    <w:rsid w:val="008F114E"/>
    <w:rsid w:val="008F11CC"/>
    <w:rsid w:val="008F11EB"/>
    <w:rsid w:val="008F1249"/>
    <w:rsid w:val="008F1295"/>
    <w:rsid w:val="008F1470"/>
    <w:rsid w:val="008F1539"/>
    <w:rsid w:val="008F15C8"/>
    <w:rsid w:val="008F15DF"/>
    <w:rsid w:val="008F1645"/>
    <w:rsid w:val="008F195A"/>
    <w:rsid w:val="008F198B"/>
    <w:rsid w:val="008F19BC"/>
    <w:rsid w:val="008F1A09"/>
    <w:rsid w:val="008F1B6E"/>
    <w:rsid w:val="008F1C63"/>
    <w:rsid w:val="008F1D68"/>
    <w:rsid w:val="008F1DFA"/>
    <w:rsid w:val="008F1E1C"/>
    <w:rsid w:val="008F20F8"/>
    <w:rsid w:val="008F2205"/>
    <w:rsid w:val="008F228E"/>
    <w:rsid w:val="008F2294"/>
    <w:rsid w:val="008F230F"/>
    <w:rsid w:val="008F2312"/>
    <w:rsid w:val="008F236D"/>
    <w:rsid w:val="008F23AE"/>
    <w:rsid w:val="008F23F7"/>
    <w:rsid w:val="008F2464"/>
    <w:rsid w:val="008F2794"/>
    <w:rsid w:val="008F2881"/>
    <w:rsid w:val="008F2902"/>
    <w:rsid w:val="008F292C"/>
    <w:rsid w:val="008F29FF"/>
    <w:rsid w:val="008F2A9B"/>
    <w:rsid w:val="008F2A9C"/>
    <w:rsid w:val="008F2BEF"/>
    <w:rsid w:val="008F2C49"/>
    <w:rsid w:val="008F2CD8"/>
    <w:rsid w:val="008F2DC7"/>
    <w:rsid w:val="008F2E60"/>
    <w:rsid w:val="008F2E85"/>
    <w:rsid w:val="008F2FE9"/>
    <w:rsid w:val="008F3056"/>
    <w:rsid w:val="008F319B"/>
    <w:rsid w:val="008F32A0"/>
    <w:rsid w:val="008F32FA"/>
    <w:rsid w:val="008F3485"/>
    <w:rsid w:val="008F35A2"/>
    <w:rsid w:val="008F3622"/>
    <w:rsid w:val="008F369A"/>
    <w:rsid w:val="008F3766"/>
    <w:rsid w:val="008F3842"/>
    <w:rsid w:val="008F386E"/>
    <w:rsid w:val="008F38A9"/>
    <w:rsid w:val="008F38D5"/>
    <w:rsid w:val="008F392C"/>
    <w:rsid w:val="008F399C"/>
    <w:rsid w:val="008F3A81"/>
    <w:rsid w:val="008F3B76"/>
    <w:rsid w:val="008F3BB4"/>
    <w:rsid w:val="008F3C47"/>
    <w:rsid w:val="008F3DE8"/>
    <w:rsid w:val="008F3E08"/>
    <w:rsid w:val="008F4068"/>
    <w:rsid w:val="008F42D5"/>
    <w:rsid w:val="008F4414"/>
    <w:rsid w:val="008F4474"/>
    <w:rsid w:val="008F44A8"/>
    <w:rsid w:val="008F44E8"/>
    <w:rsid w:val="008F4625"/>
    <w:rsid w:val="008F4688"/>
    <w:rsid w:val="008F46C6"/>
    <w:rsid w:val="008F46E1"/>
    <w:rsid w:val="008F47F1"/>
    <w:rsid w:val="008F496A"/>
    <w:rsid w:val="008F498D"/>
    <w:rsid w:val="008F49A1"/>
    <w:rsid w:val="008F4A90"/>
    <w:rsid w:val="008F4BBE"/>
    <w:rsid w:val="008F4C59"/>
    <w:rsid w:val="008F4D6A"/>
    <w:rsid w:val="008F4D8D"/>
    <w:rsid w:val="008F4EEA"/>
    <w:rsid w:val="008F4F5E"/>
    <w:rsid w:val="008F502F"/>
    <w:rsid w:val="008F515B"/>
    <w:rsid w:val="008F53F6"/>
    <w:rsid w:val="008F544E"/>
    <w:rsid w:val="008F5475"/>
    <w:rsid w:val="008F54B6"/>
    <w:rsid w:val="008F55F7"/>
    <w:rsid w:val="008F565E"/>
    <w:rsid w:val="008F56D7"/>
    <w:rsid w:val="008F57C9"/>
    <w:rsid w:val="008F5875"/>
    <w:rsid w:val="008F5A55"/>
    <w:rsid w:val="008F5C42"/>
    <w:rsid w:val="008F5CE1"/>
    <w:rsid w:val="008F5F22"/>
    <w:rsid w:val="008F5F31"/>
    <w:rsid w:val="008F60D7"/>
    <w:rsid w:val="008F6126"/>
    <w:rsid w:val="008F6268"/>
    <w:rsid w:val="008F6311"/>
    <w:rsid w:val="008F63F6"/>
    <w:rsid w:val="008F6423"/>
    <w:rsid w:val="008F65A5"/>
    <w:rsid w:val="008F65C6"/>
    <w:rsid w:val="008F65F3"/>
    <w:rsid w:val="008F6619"/>
    <w:rsid w:val="008F6734"/>
    <w:rsid w:val="008F6979"/>
    <w:rsid w:val="008F6A64"/>
    <w:rsid w:val="008F6A88"/>
    <w:rsid w:val="008F6BA9"/>
    <w:rsid w:val="008F6EBF"/>
    <w:rsid w:val="008F6F3D"/>
    <w:rsid w:val="008F6FE0"/>
    <w:rsid w:val="008F70D1"/>
    <w:rsid w:val="008F72D3"/>
    <w:rsid w:val="008F73A1"/>
    <w:rsid w:val="008F73C8"/>
    <w:rsid w:val="008F7451"/>
    <w:rsid w:val="008F75C4"/>
    <w:rsid w:val="008F7602"/>
    <w:rsid w:val="008F7772"/>
    <w:rsid w:val="008F78F7"/>
    <w:rsid w:val="008F79D7"/>
    <w:rsid w:val="008F7A44"/>
    <w:rsid w:val="008F7C58"/>
    <w:rsid w:val="008F7CF1"/>
    <w:rsid w:val="008F7E2A"/>
    <w:rsid w:val="008F7E36"/>
    <w:rsid w:val="008F7F00"/>
    <w:rsid w:val="008F7F3C"/>
    <w:rsid w:val="008F7FFE"/>
    <w:rsid w:val="0090014A"/>
    <w:rsid w:val="00900185"/>
    <w:rsid w:val="00900190"/>
    <w:rsid w:val="009001C7"/>
    <w:rsid w:val="00900207"/>
    <w:rsid w:val="00900283"/>
    <w:rsid w:val="009003E5"/>
    <w:rsid w:val="00900412"/>
    <w:rsid w:val="00900418"/>
    <w:rsid w:val="0090044A"/>
    <w:rsid w:val="00900450"/>
    <w:rsid w:val="0090074B"/>
    <w:rsid w:val="009007C1"/>
    <w:rsid w:val="0090084D"/>
    <w:rsid w:val="009009B3"/>
    <w:rsid w:val="009009C2"/>
    <w:rsid w:val="00900ABF"/>
    <w:rsid w:val="00900ACC"/>
    <w:rsid w:val="00900B66"/>
    <w:rsid w:val="00900BAE"/>
    <w:rsid w:val="00900F14"/>
    <w:rsid w:val="00900F7C"/>
    <w:rsid w:val="00901072"/>
    <w:rsid w:val="009012A6"/>
    <w:rsid w:val="009012F9"/>
    <w:rsid w:val="00901390"/>
    <w:rsid w:val="00901398"/>
    <w:rsid w:val="009014A9"/>
    <w:rsid w:val="0090158B"/>
    <w:rsid w:val="00901634"/>
    <w:rsid w:val="0090169C"/>
    <w:rsid w:val="009016D3"/>
    <w:rsid w:val="00901731"/>
    <w:rsid w:val="0090185C"/>
    <w:rsid w:val="009018AE"/>
    <w:rsid w:val="00901A13"/>
    <w:rsid w:val="00901A6D"/>
    <w:rsid w:val="00901C2C"/>
    <w:rsid w:val="00901DFD"/>
    <w:rsid w:val="0090201F"/>
    <w:rsid w:val="009020A5"/>
    <w:rsid w:val="009020DF"/>
    <w:rsid w:val="00902157"/>
    <w:rsid w:val="0090219A"/>
    <w:rsid w:val="009022E1"/>
    <w:rsid w:val="00902497"/>
    <w:rsid w:val="009025AE"/>
    <w:rsid w:val="009025F9"/>
    <w:rsid w:val="00902617"/>
    <w:rsid w:val="00902672"/>
    <w:rsid w:val="009026D2"/>
    <w:rsid w:val="00902897"/>
    <w:rsid w:val="009029B0"/>
    <w:rsid w:val="00902A38"/>
    <w:rsid w:val="00902A98"/>
    <w:rsid w:val="00902D36"/>
    <w:rsid w:val="00902D8F"/>
    <w:rsid w:val="00902D9C"/>
    <w:rsid w:val="00902DA2"/>
    <w:rsid w:val="00902E94"/>
    <w:rsid w:val="00903119"/>
    <w:rsid w:val="009031F0"/>
    <w:rsid w:val="0090322E"/>
    <w:rsid w:val="009032FC"/>
    <w:rsid w:val="00903322"/>
    <w:rsid w:val="009033A8"/>
    <w:rsid w:val="009033BE"/>
    <w:rsid w:val="009033E3"/>
    <w:rsid w:val="009033FD"/>
    <w:rsid w:val="00903531"/>
    <w:rsid w:val="00903699"/>
    <w:rsid w:val="009038A8"/>
    <w:rsid w:val="009038B0"/>
    <w:rsid w:val="0090392B"/>
    <w:rsid w:val="00903958"/>
    <w:rsid w:val="0090396A"/>
    <w:rsid w:val="00903B0C"/>
    <w:rsid w:val="00903B35"/>
    <w:rsid w:val="00903C4A"/>
    <w:rsid w:val="00903C89"/>
    <w:rsid w:val="00903D2D"/>
    <w:rsid w:val="00903D64"/>
    <w:rsid w:val="00903E47"/>
    <w:rsid w:val="00903E5E"/>
    <w:rsid w:val="00903EF5"/>
    <w:rsid w:val="0090404E"/>
    <w:rsid w:val="0090413F"/>
    <w:rsid w:val="009042ED"/>
    <w:rsid w:val="009043B2"/>
    <w:rsid w:val="0090452F"/>
    <w:rsid w:val="00904550"/>
    <w:rsid w:val="009045D9"/>
    <w:rsid w:val="009045EF"/>
    <w:rsid w:val="00904615"/>
    <w:rsid w:val="00904809"/>
    <w:rsid w:val="0090485C"/>
    <w:rsid w:val="00904911"/>
    <w:rsid w:val="009049ED"/>
    <w:rsid w:val="00904A74"/>
    <w:rsid w:val="00904A8C"/>
    <w:rsid w:val="00904BDD"/>
    <w:rsid w:val="00904C90"/>
    <w:rsid w:val="00904D42"/>
    <w:rsid w:val="00904D59"/>
    <w:rsid w:val="00904E1B"/>
    <w:rsid w:val="00904EED"/>
    <w:rsid w:val="00904FF8"/>
    <w:rsid w:val="00905006"/>
    <w:rsid w:val="00905072"/>
    <w:rsid w:val="0090529A"/>
    <w:rsid w:val="0090531E"/>
    <w:rsid w:val="0090535E"/>
    <w:rsid w:val="00905409"/>
    <w:rsid w:val="00905428"/>
    <w:rsid w:val="00905468"/>
    <w:rsid w:val="009054A0"/>
    <w:rsid w:val="009054C1"/>
    <w:rsid w:val="009054F6"/>
    <w:rsid w:val="00905503"/>
    <w:rsid w:val="009055D9"/>
    <w:rsid w:val="00905611"/>
    <w:rsid w:val="00905714"/>
    <w:rsid w:val="00905816"/>
    <w:rsid w:val="0090581E"/>
    <w:rsid w:val="00905AEE"/>
    <w:rsid w:val="00905B3B"/>
    <w:rsid w:val="00905B3D"/>
    <w:rsid w:val="00905BFE"/>
    <w:rsid w:val="00905C43"/>
    <w:rsid w:val="00905CEF"/>
    <w:rsid w:val="00905DE2"/>
    <w:rsid w:val="00905F65"/>
    <w:rsid w:val="00905F91"/>
    <w:rsid w:val="00905F96"/>
    <w:rsid w:val="00906109"/>
    <w:rsid w:val="0090619E"/>
    <w:rsid w:val="009061C1"/>
    <w:rsid w:val="00906207"/>
    <w:rsid w:val="0090627E"/>
    <w:rsid w:val="00906298"/>
    <w:rsid w:val="009062CB"/>
    <w:rsid w:val="00906392"/>
    <w:rsid w:val="00906447"/>
    <w:rsid w:val="0090644E"/>
    <w:rsid w:val="009064D2"/>
    <w:rsid w:val="00906557"/>
    <w:rsid w:val="00906591"/>
    <w:rsid w:val="0090672A"/>
    <w:rsid w:val="0090684C"/>
    <w:rsid w:val="00906874"/>
    <w:rsid w:val="0090687D"/>
    <w:rsid w:val="00906891"/>
    <w:rsid w:val="0090689A"/>
    <w:rsid w:val="00906ACC"/>
    <w:rsid w:val="00906B3A"/>
    <w:rsid w:val="00906B3F"/>
    <w:rsid w:val="00906BA5"/>
    <w:rsid w:val="00906CFC"/>
    <w:rsid w:val="00906D4C"/>
    <w:rsid w:val="00906E12"/>
    <w:rsid w:val="00906ED1"/>
    <w:rsid w:val="00906EE5"/>
    <w:rsid w:val="00906EFE"/>
    <w:rsid w:val="0090701E"/>
    <w:rsid w:val="009071D5"/>
    <w:rsid w:val="009072DA"/>
    <w:rsid w:val="009072F5"/>
    <w:rsid w:val="00907531"/>
    <w:rsid w:val="0090753C"/>
    <w:rsid w:val="009075BE"/>
    <w:rsid w:val="00907661"/>
    <w:rsid w:val="009076D2"/>
    <w:rsid w:val="0090777C"/>
    <w:rsid w:val="0090792A"/>
    <w:rsid w:val="0090792D"/>
    <w:rsid w:val="00907A41"/>
    <w:rsid w:val="00907AA8"/>
    <w:rsid w:val="00907C35"/>
    <w:rsid w:val="00907C41"/>
    <w:rsid w:val="00907D27"/>
    <w:rsid w:val="00907E7B"/>
    <w:rsid w:val="00907F0D"/>
    <w:rsid w:val="00907F0E"/>
    <w:rsid w:val="00907FB9"/>
    <w:rsid w:val="0091002A"/>
    <w:rsid w:val="0091006D"/>
    <w:rsid w:val="00910072"/>
    <w:rsid w:val="0091008C"/>
    <w:rsid w:val="009100D4"/>
    <w:rsid w:val="00910248"/>
    <w:rsid w:val="009102D9"/>
    <w:rsid w:val="009102E2"/>
    <w:rsid w:val="00910326"/>
    <w:rsid w:val="0091037B"/>
    <w:rsid w:val="009105EA"/>
    <w:rsid w:val="009107F8"/>
    <w:rsid w:val="00910894"/>
    <w:rsid w:val="009108C7"/>
    <w:rsid w:val="009108D6"/>
    <w:rsid w:val="009108F4"/>
    <w:rsid w:val="00910B1A"/>
    <w:rsid w:val="00910D37"/>
    <w:rsid w:val="00910E9C"/>
    <w:rsid w:val="00910EE6"/>
    <w:rsid w:val="009111B8"/>
    <w:rsid w:val="009111ED"/>
    <w:rsid w:val="00911221"/>
    <w:rsid w:val="00911257"/>
    <w:rsid w:val="009113C9"/>
    <w:rsid w:val="009114A7"/>
    <w:rsid w:val="00911551"/>
    <w:rsid w:val="00911623"/>
    <w:rsid w:val="00911748"/>
    <w:rsid w:val="009117AF"/>
    <w:rsid w:val="009118A9"/>
    <w:rsid w:val="009118D1"/>
    <w:rsid w:val="00911A92"/>
    <w:rsid w:val="00911ACE"/>
    <w:rsid w:val="00911C36"/>
    <w:rsid w:val="00911E9C"/>
    <w:rsid w:val="00911EA7"/>
    <w:rsid w:val="00912013"/>
    <w:rsid w:val="00912097"/>
    <w:rsid w:val="00912174"/>
    <w:rsid w:val="00912282"/>
    <w:rsid w:val="0091235B"/>
    <w:rsid w:val="009123E2"/>
    <w:rsid w:val="00912423"/>
    <w:rsid w:val="009124EF"/>
    <w:rsid w:val="009124F3"/>
    <w:rsid w:val="009125A0"/>
    <w:rsid w:val="009125E7"/>
    <w:rsid w:val="0091260A"/>
    <w:rsid w:val="0091260C"/>
    <w:rsid w:val="009127BB"/>
    <w:rsid w:val="00912854"/>
    <w:rsid w:val="0091294B"/>
    <w:rsid w:val="00912AB6"/>
    <w:rsid w:val="00912DEA"/>
    <w:rsid w:val="00912DF0"/>
    <w:rsid w:val="00912F51"/>
    <w:rsid w:val="0091301D"/>
    <w:rsid w:val="00913126"/>
    <w:rsid w:val="00913128"/>
    <w:rsid w:val="00913221"/>
    <w:rsid w:val="00913222"/>
    <w:rsid w:val="00913230"/>
    <w:rsid w:val="00913436"/>
    <w:rsid w:val="009134F4"/>
    <w:rsid w:val="0091350C"/>
    <w:rsid w:val="00913591"/>
    <w:rsid w:val="00913639"/>
    <w:rsid w:val="009136CE"/>
    <w:rsid w:val="0091371A"/>
    <w:rsid w:val="009137E7"/>
    <w:rsid w:val="0091389F"/>
    <w:rsid w:val="00913EB5"/>
    <w:rsid w:val="009140EC"/>
    <w:rsid w:val="00914166"/>
    <w:rsid w:val="0091416B"/>
    <w:rsid w:val="00914280"/>
    <w:rsid w:val="0091439D"/>
    <w:rsid w:val="00914434"/>
    <w:rsid w:val="009144B3"/>
    <w:rsid w:val="009144D9"/>
    <w:rsid w:val="0091457E"/>
    <w:rsid w:val="009145DF"/>
    <w:rsid w:val="009146F0"/>
    <w:rsid w:val="009147FA"/>
    <w:rsid w:val="00914955"/>
    <w:rsid w:val="0091498F"/>
    <w:rsid w:val="00914A0D"/>
    <w:rsid w:val="00914A8A"/>
    <w:rsid w:val="00914B1B"/>
    <w:rsid w:val="00914C47"/>
    <w:rsid w:val="00914C90"/>
    <w:rsid w:val="00914CEE"/>
    <w:rsid w:val="00914CFF"/>
    <w:rsid w:val="00914EDC"/>
    <w:rsid w:val="00914F56"/>
    <w:rsid w:val="00914F9A"/>
    <w:rsid w:val="00915079"/>
    <w:rsid w:val="009150C0"/>
    <w:rsid w:val="0091513F"/>
    <w:rsid w:val="009151C9"/>
    <w:rsid w:val="00915238"/>
    <w:rsid w:val="0091535B"/>
    <w:rsid w:val="00915413"/>
    <w:rsid w:val="00915433"/>
    <w:rsid w:val="0091544C"/>
    <w:rsid w:val="0091548D"/>
    <w:rsid w:val="00915507"/>
    <w:rsid w:val="0091563D"/>
    <w:rsid w:val="009156FB"/>
    <w:rsid w:val="00915731"/>
    <w:rsid w:val="00915794"/>
    <w:rsid w:val="009157D9"/>
    <w:rsid w:val="0091589E"/>
    <w:rsid w:val="0091597E"/>
    <w:rsid w:val="00915A04"/>
    <w:rsid w:val="00915AAA"/>
    <w:rsid w:val="00915ADA"/>
    <w:rsid w:val="00915CDF"/>
    <w:rsid w:val="00915E69"/>
    <w:rsid w:val="00915F36"/>
    <w:rsid w:val="0091612D"/>
    <w:rsid w:val="00916226"/>
    <w:rsid w:val="0091625D"/>
    <w:rsid w:val="00916294"/>
    <w:rsid w:val="00916295"/>
    <w:rsid w:val="00916310"/>
    <w:rsid w:val="0091634F"/>
    <w:rsid w:val="009164C9"/>
    <w:rsid w:val="009166DF"/>
    <w:rsid w:val="009169E5"/>
    <w:rsid w:val="00916A00"/>
    <w:rsid w:val="00916AAB"/>
    <w:rsid w:val="00916ABF"/>
    <w:rsid w:val="00916EB2"/>
    <w:rsid w:val="00916EC4"/>
    <w:rsid w:val="00916FBA"/>
    <w:rsid w:val="00916FF9"/>
    <w:rsid w:val="00917137"/>
    <w:rsid w:val="00917175"/>
    <w:rsid w:val="00917261"/>
    <w:rsid w:val="009172EA"/>
    <w:rsid w:val="009173E2"/>
    <w:rsid w:val="009173F0"/>
    <w:rsid w:val="0091744B"/>
    <w:rsid w:val="00917470"/>
    <w:rsid w:val="0091752F"/>
    <w:rsid w:val="00917531"/>
    <w:rsid w:val="009175D3"/>
    <w:rsid w:val="009175F9"/>
    <w:rsid w:val="00917889"/>
    <w:rsid w:val="00917968"/>
    <w:rsid w:val="00917978"/>
    <w:rsid w:val="009179A1"/>
    <w:rsid w:val="00917A54"/>
    <w:rsid w:val="00917ABD"/>
    <w:rsid w:val="00917B77"/>
    <w:rsid w:val="00917C11"/>
    <w:rsid w:val="00917C98"/>
    <w:rsid w:val="00917CA8"/>
    <w:rsid w:val="00917D9A"/>
    <w:rsid w:val="00917DD0"/>
    <w:rsid w:val="00917DEC"/>
    <w:rsid w:val="00917E66"/>
    <w:rsid w:val="00917EAC"/>
    <w:rsid w:val="00917F0B"/>
    <w:rsid w:val="00920157"/>
    <w:rsid w:val="009201A6"/>
    <w:rsid w:val="009203C6"/>
    <w:rsid w:val="00920407"/>
    <w:rsid w:val="00920578"/>
    <w:rsid w:val="009205D6"/>
    <w:rsid w:val="0092060C"/>
    <w:rsid w:val="00920653"/>
    <w:rsid w:val="00920818"/>
    <w:rsid w:val="00920960"/>
    <w:rsid w:val="00920A64"/>
    <w:rsid w:val="00920B50"/>
    <w:rsid w:val="00920B51"/>
    <w:rsid w:val="00920B6A"/>
    <w:rsid w:val="00920CAD"/>
    <w:rsid w:val="00920CE0"/>
    <w:rsid w:val="00920D48"/>
    <w:rsid w:val="00920E09"/>
    <w:rsid w:val="00920F4E"/>
    <w:rsid w:val="00921059"/>
    <w:rsid w:val="009210A2"/>
    <w:rsid w:val="009210F6"/>
    <w:rsid w:val="00921228"/>
    <w:rsid w:val="00921234"/>
    <w:rsid w:val="00921237"/>
    <w:rsid w:val="00921259"/>
    <w:rsid w:val="009213C2"/>
    <w:rsid w:val="00921465"/>
    <w:rsid w:val="009214BA"/>
    <w:rsid w:val="00921521"/>
    <w:rsid w:val="00921552"/>
    <w:rsid w:val="00921556"/>
    <w:rsid w:val="0092156E"/>
    <w:rsid w:val="0092159B"/>
    <w:rsid w:val="009215B0"/>
    <w:rsid w:val="009215D6"/>
    <w:rsid w:val="009216F4"/>
    <w:rsid w:val="0092170E"/>
    <w:rsid w:val="0092179E"/>
    <w:rsid w:val="009217C0"/>
    <w:rsid w:val="00921882"/>
    <w:rsid w:val="009218B0"/>
    <w:rsid w:val="00921AA3"/>
    <w:rsid w:val="00921E85"/>
    <w:rsid w:val="00921F1D"/>
    <w:rsid w:val="00921F74"/>
    <w:rsid w:val="009220C5"/>
    <w:rsid w:val="0092219C"/>
    <w:rsid w:val="00922223"/>
    <w:rsid w:val="00922293"/>
    <w:rsid w:val="0092235A"/>
    <w:rsid w:val="009223C4"/>
    <w:rsid w:val="009224CC"/>
    <w:rsid w:val="0092268B"/>
    <w:rsid w:val="0092269A"/>
    <w:rsid w:val="009226FB"/>
    <w:rsid w:val="00922730"/>
    <w:rsid w:val="009227F2"/>
    <w:rsid w:val="009228D6"/>
    <w:rsid w:val="00922989"/>
    <w:rsid w:val="00922997"/>
    <w:rsid w:val="00922A57"/>
    <w:rsid w:val="00922A5A"/>
    <w:rsid w:val="00922B44"/>
    <w:rsid w:val="00922D45"/>
    <w:rsid w:val="00922ED9"/>
    <w:rsid w:val="0092300F"/>
    <w:rsid w:val="00923226"/>
    <w:rsid w:val="009232B4"/>
    <w:rsid w:val="009232E1"/>
    <w:rsid w:val="0092331A"/>
    <w:rsid w:val="0092343F"/>
    <w:rsid w:val="00923599"/>
    <w:rsid w:val="0092394E"/>
    <w:rsid w:val="00923956"/>
    <w:rsid w:val="0092397C"/>
    <w:rsid w:val="0092397D"/>
    <w:rsid w:val="00923990"/>
    <w:rsid w:val="009239A9"/>
    <w:rsid w:val="009239C3"/>
    <w:rsid w:val="00923B5E"/>
    <w:rsid w:val="00923BA2"/>
    <w:rsid w:val="00923BD2"/>
    <w:rsid w:val="00923D8E"/>
    <w:rsid w:val="00923D98"/>
    <w:rsid w:val="00923DA5"/>
    <w:rsid w:val="00923E3E"/>
    <w:rsid w:val="00924164"/>
    <w:rsid w:val="0092423D"/>
    <w:rsid w:val="00924307"/>
    <w:rsid w:val="00924325"/>
    <w:rsid w:val="00924411"/>
    <w:rsid w:val="00924458"/>
    <w:rsid w:val="009244E7"/>
    <w:rsid w:val="009245A6"/>
    <w:rsid w:val="00924717"/>
    <w:rsid w:val="009247BD"/>
    <w:rsid w:val="0092487F"/>
    <w:rsid w:val="00924890"/>
    <w:rsid w:val="00924997"/>
    <w:rsid w:val="0092499E"/>
    <w:rsid w:val="00924AA5"/>
    <w:rsid w:val="00924BAF"/>
    <w:rsid w:val="00924DB9"/>
    <w:rsid w:val="00924DC5"/>
    <w:rsid w:val="00924DED"/>
    <w:rsid w:val="00924EC5"/>
    <w:rsid w:val="00924F5E"/>
    <w:rsid w:val="009250B6"/>
    <w:rsid w:val="0092516A"/>
    <w:rsid w:val="009251A4"/>
    <w:rsid w:val="009251E5"/>
    <w:rsid w:val="009251F9"/>
    <w:rsid w:val="00925205"/>
    <w:rsid w:val="00925331"/>
    <w:rsid w:val="0092576F"/>
    <w:rsid w:val="009257EC"/>
    <w:rsid w:val="00925941"/>
    <w:rsid w:val="00925A06"/>
    <w:rsid w:val="00925B18"/>
    <w:rsid w:val="00925BC3"/>
    <w:rsid w:val="00925C36"/>
    <w:rsid w:val="00925D1C"/>
    <w:rsid w:val="00925D1E"/>
    <w:rsid w:val="00925DBB"/>
    <w:rsid w:val="00925E68"/>
    <w:rsid w:val="00925E8B"/>
    <w:rsid w:val="00925EA2"/>
    <w:rsid w:val="00925EC7"/>
    <w:rsid w:val="00925F5C"/>
    <w:rsid w:val="00926003"/>
    <w:rsid w:val="00926018"/>
    <w:rsid w:val="00926024"/>
    <w:rsid w:val="009260F2"/>
    <w:rsid w:val="009261F4"/>
    <w:rsid w:val="0092626D"/>
    <w:rsid w:val="009262EE"/>
    <w:rsid w:val="0092633B"/>
    <w:rsid w:val="009263E5"/>
    <w:rsid w:val="00926405"/>
    <w:rsid w:val="00926460"/>
    <w:rsid w:val="009264D7"/>
    <w:rsid w:val="00926551"/>
    <w:rsid w:val="009265FE"/>
    <w:rsid w:val="00926674"/>
    <w:rsid w:val="009266D6"/>
    <w:rsid w:val="009267D9"/>
    <w:rsid w:val="00926882"/>
    <w:rsid w:val="00926955"/>
    <w:rsid w:val="00926A59"/>
    <w:rsid w:val="00926A61"/>
    <w:rsid w:val="00926AAF"/>
    <w:rsid w:val="00926BBA"/>
    <w:rsid w:val="00926D58"/>
    <w:rsid w:val="00926DCE"/>
    <w:rsid w:val="00926E4F"/>
    <w:rsid w:val="00926F32"/>
    <w:rsid w:val="00927010"/>
    <w:rsid w:val="00927168"/>
    <w:rsid w:val="00927286"/>
    <w:rsid w:val="0092730D"/>
    <w:rsid w:val="00927362"/>
    <w:rsid w:val="0092746A"/>
    <w:rsid w:val="0092749D"/>
    <w:rsid w:val="00927577"/>
    <w:rsid w:val="00927597"/>
    <w:rsid w:val="0092762F"/>
    <w:rsid w:val="00927631"/>
    <w:rsid w:val="00927633"/>
    <w:rsid w:val="00927676"/>
    <w:rsid w:val="00927710"/>
    <w:rsid w:val="0092779C"/>
    <w:rsid w:val="009279FE"/>
    <w:rsid w:val="00927A9D"/>
    <w:rsid w:val="00927BFB"/>
    <w:rsid w:val="00927C73"/>
    <w:rsid w:val="00927C85"/>
    <w:rsid w:val="00927D2B"/>
    <w:rsid w:val="00927E56"/>
    <w:rsid w:val="009300AE"/>
    <w:rsid w:val="009300B4"/>
    <w:rsid w:val="009302E2"/>
    <w:rsid w:val="00930384"/>
    <w:rsid w:val="00930407"/>
    <w:rsid w:val="00930433"/>
    <w:rsid w:val="00930441"/>
    <w:rsid w:val="00930590"/>
    <w:rsid w:val="0093066D"/>
    <w:rsid w:val="0093075E"/>
    <w:rsid w:val="009307B0"/>
    <w:rsid w:val="009308D0"/>
    <w:rsid w:val="00930A63"/>
    <w:rsid w:val="00930B75"/>
    <w:rsid w:val="00930B82"/>
    <w:rsid w:val="00930CED"/>
    <w:rsid w:val="00930D0A"/>
    <w:rsid w:val="00930D63"/>
    <w:rsid w:val="00930DD5"/>
    <w:rsid w:val="00930E00"/>
    <w:rsid w:val="00930F7E"/>
    <w:rsid w:val="00930FAD"/>
    <w:rsid w:val="0093113C"/>
    <w:rsid w:val="0093117E"/>
    <w:rsid w:val="00931323"/>
    <w:rsid w:val="00931455"/>
    <w:rsid w:val="009314F5"/>
    <w:rsid w:val="0093152D"/>
    <w:rsid w:val="009315F0"/>
    <w:rsid w:val="0093163B"/>
    <w:rsid w:val="0093181B"/>
    <w:rsid w:val="009318B3"/>
    <w:rsid w:val="00931BB4"/>
    <w:rsid w:val="00931BD3"/>
    <w:rsid w:val="00931C5D"/>
    <w:rsid w:val="00931C96"/>
    <w:rsid w:val="00931FB8"/>
    <w:rsid w:val="00932061"/>
    <w:rsid w:val="0093206B"/>
    <w:rsid w:val="00932204"/>
    <w:rsid w:val="0093223C"/>
    <w:rsid w:val="0093233A"/>
    <w:rsid w:val="009323AB"/>
    <w:rsid w:val="00932438"/>
    <w:rsid w:val="0093245E"/>
    <w:rsid w:val="009324B2"/>
    <w:rsid w:val="009324D4"/>
    <w:rsid w:val="0093252A"/>
    <w:rsid w:val="0093256C"/>
    <w:rsid w:val="009325AD"/>
    <w:rsid w:val="009325C6"/>
    <w:rsid w:val="009325ED"/>
    <w:rsid w:val="00932659"/>
    <w:rsid w:val="009326C3"/>
    <w:rsid w:val="0093287C"/>
    <w:rsid w:val="0093288B"/>
    <w:rsid w:val="00932B1B"/>
    <w:rsid w:val="00932BA9"/>
    <w:rsid w:val="00932D37"/>
    <w:rsid w:val="00932E80"/>
    <w:rsid w:val="00932EEF"/>
    <w:rsid w:val="00932FD9"/>
    <w:rsid w:val="00932FDC"/>
    <w:rsid w:val="00933003"/>
    <w:rsid w:val="00933032"/>
    <w:rsid w:val="00933128"/>
    <w:rsid w:val="00933567"/>
    <w:rsid w:val="00933675"/>
    <w:rsid w:val="009336EF"/>
    <w:rsid w:val="0093385D"/>
    <w:rsid w:val="00933AAE"/>
    <w:rsid w:val="00933CE1"/>
    <w:rsid w:val="00933D36"/>
    <w:rsid w:val="00933D93"/>
    <w:rsid w:val="00933DB8"/>
    <w:rsid w:val="00933EA4"/>
    <w:rsid w:val="00933EBA"/>
    <w:rsid w:val="00933FDD"/>
    <w:rsid w:val="00934006"/>
    <w:rsid w:val="009340F5"/>
    <w:rsid w:val="00934173"/>
    <w:rsid w:val="0093419B"/>
    <w:rsid w:val="00934263"/>
    <w:rsid w:val="009342F8"/>
    <w:rsid w:val="009344CC"/>
    <w:rsid w:val="009344D5"/>
    <w:rsid w:val="009346B5"/>
    <w:rsid w:val="009346C6"/>
    <w:rsid w:val="00934949"/>
    <w:rsid w:val="00934B49"/>
    <w:rsid w:val="00934B59"/>
    <w:rsid w:val="00934D8E"/>
    <w:rsid w:val="009350D7"/>
    <w:rsid w:val="009350DB"/>
    <w:rsid w:val="009352C9"/>
    <w:rsid w:val="0093537E"/>
    <w:rsid w:val="009354D8"/>
    <w:rsid w:val="00935516"/>
    <w:rsid w:val="00935573"/>
    <w:rsid w:val="009355D7"/>
    <w:rsid w:val="0093572E"/>
    <w:rsid w:val="0093586D"/>
    <w:rsid w:val="00935887"/>
    <w:rsid w:val="00935A32"/>
    <w:rsid w:val="00935B1F"/>
    <w:rsid w:val="00935BBF"/>
    <w:rsid w:val="00935DB5"/>
    <w:rsid w:val="00935DE3"/>
    <w:rsid w:val="00935DF6"/>
    <w:rsid w:val="00935DFF"/>
    <w:rsid w:val="00935E59"/>
    <w:rsid w:val="00935E78"/>
    <w:rsid w:val="00936173"/>
    <w:rsid w:val="00936186"/>
    <w:rsid w:val="009362C0"/>
    <w:rsid w:val="00936301"/>
    <w:rsid w:val="0093649B"/>
    <w:rsid w:val="00936599"/>
    <w:rsid w:val="009366A9"/>
    <w:rsid w:val="009366C4"/>
    <w:rsid w:val="009366ED"/>
    <w:rsid w:val="00936745"/>
    <w:rsid w:val="009367E1"/>
    <w:rsid w:val="0093689F"/>
    <w:rsid w:val="00936905"/>
    <w:rsid w:val="00936948"/>
    <w:rsid w:val="009369E5"/>
    <w:rsid w:val="00936A02"/>
    <w:rsid w:val="00936A8E"/>
    <w:rsid w:val="00936A93"/>
    <w:rsid w:val="00936AFF"/>
    <w:rsid w:val="00936BCC"/>
    <w:rsid w:val="00936DA0"/>
    <w:rsid w:val="00936E10"/>
    <w:rsid w:val="00936E49"/>
    <w:rsid w:val="00936E54"/>
    <w:rsid w:val="0093700F"/>
    <w:rsid w:val="0093726A"/>
    <w:rsid w:val="009372A5"/>
    <w:rsid w:val="0093733C"/>
    <w:rsid w:val="009374F4"/>
    <w:rsid w:val="00937511"/>
    <w:rsid w:val="00937645"/>
    <w:rsid w:val="009376FB"/>
    <w:rsid w:val="009378FB"/>
    <w:rsid w:val="009379F3"/>
    <w:rsid w:val="00937AAA"/>
    <w:rsid w:val="00937AC3"/>
    <w:rsid w:val="00937AED"/>
    <w:rsid w:val="00937C45"/>
    <w:rsid w:val="00937D5A"/>
    <w:rsid w:val="00937D66"/>
    <w:rsid w:val="00937E7D"/>
    <w:rsid w:val="00940015"/>
    <w:rsid w:val="00940027"/>
    <w:rsid w:val="00940153"/>
    <w:rsid w:val="009404BE"/>
    <w:rsid w:val="0094051B"/>
    <w:rsid w:val="009406C7"/>
    <w:rsid w:val="009406D5"/>
    <w:rsid w:val="0094090A"/>
    <w:rsid w:val="00940A74"/>
    <w:rsid w:val="00940C5D"/>
    <w:rsid w:val="00940C63"/>
    <w:rsid w:val="00940C6F"/>
    <w:rsid w:val="00940CCB"/>
    <w:rsid w:val="00940D0B"/>
    <w:rsid w:val="00940D4A"/>
    <w:rsid w:val="00940DD0"/>
    <w:rsid w:val="00940E7E"/>
    <w:rsid w:val="00940EC7"/>
    <w:rsid w:val="00940F3A"/>
    <w:rsid w:val="00941059"/>
    <w:rsid w:val="009412EC"/>
    <w:rsid w:val="00941465"/>
    <w:rsid w:val="009414F6"/>
    <w:rsid w:val="00941509"/>
    <w:rsid w:val="00941548"/>
    <w:rsid w:val="0094176B"/>
    <w:rsid w:val="009417D3"/>
    <w:rsid w:val="00941863"/>
    <w:rsid w:val="0094197B"/>
    <w:rsid w:val="009419E0"/>
    <w:rsid w:val="00941A91"/>
    <w:rsid w:val="00941A95"/>
    <w:rsid w:val="00941D82"/>
    <w:rsid w:val="00941E93"/>
    <w:rsid w:val="00941EB8"/>
    <w:rsid w:val="00941F3C"/>
    <w:rsid w:val="00941FCE"/>
    <w:rsid w:val="009420BA"/>
    <w:rsid w:val="009421AE"/>
    <w:rsid w:val="009421FA"/>
    <w:rsid w:val="009424BD"/>
    <w:rsid w:val="009424DE"/>
    <w:rsid w:val="00942A61"/>
    <w:rsid w:val="00942BC5"/>
    <w:rsid w:val="00942BE0"/>
    <w:rsid w:val="00942C4D"/>
    <w:rsid w:val="00942D2D"/>
    <w:rsid w:val="00942DCA"/>
    <w:rsid w:val="00942EDC"/>
    <w:rsid w:val="00942F21"/>
    <w:rsid w:val="00943164"/>
    <w:rsid w:val="009431D0"/>
    <w:rsid w:val="009431D2"/>
    <w:rsid w:val="009432C3"/>
    <w:rsid w:val="009432DD"/>
    <w:rsid w:val="00943315"/>
    <w:rsid w:val="00943327"/>
    <w:rsid w:val="00943515"/>
    <w:rsid w:val="00943517"/>
    <w:rsid w:val="0094358D"/>
    <w:rsid w:val="009435F5"/>
    <w:rsid w:val="009436D6"/>
    <w:rsid w:val="00943737"/>
    <w:rsid w:val="009438D0"/>
    <w:rsid w:val="00943A76"/>
    <w:rsid w:val="00943A7A"/>
    <w:rsid w:val="00943C56"/>
    <w:rsid w:val="00943EDD"/>
    <w:rsid w:val="00943F28"/>
    <w:rsid w:val="00943FA1"/>
    <w:rsid w:val="0094402D"/>
    <w:rsid w:val="0094403E"/>
    <w:rsid w:val="00944060"/>
    <w:rsid w:val="009440E7"/>
    <w:rsid w:val="0094416F"/>
    <w:rsid w:val="009441D9"/>
    <w:rsid w:val="0094424B"/>
    <w:rsid w:val="00944355"/>
    <w:rsid w:val="009443AC"/>
    <w:rsid w:val="00944457"/>
    <w:rsid w:val="0094461C"/>
    <w:rsid w:val="009446D8"/>
    <w:rsid w:val="00944735"/>
    <w:rsid w:val="00944868"/>
    <w:rsid w:val="00944885"/>
    <w:rsid w:val="0094489C"/>
    <w:rsid w:val="00944968"/>
    <w:rsid w:val="00944CFF"/>
    <w:rsid w:val="00944DD9"/>
    <w:rsid w:val="00944E55"/>
    <w:rsid w:val="00944F08"/>
    <w:rsid w:val="009450A0"/>
    <w:rsid w:val="0094511A"/>
    <w:rsid w:val="009451B1"/>
    <w:rsid w:val="009452E5"/>
    <w:rsid w:val="00945365"/>
    <w:rsid w:val="00945387"/>
    <w:rsid w:val="0094569E"/>
    <w:rsid w:val="0094575F"/>
    <w:rsid w:val="009458BD"/>
    <w:rsid w:val="00945946"/>
    <w:rsid w:val="00945B6A"/>
    <w:rsid w:val="00945B8A"/>
    <w:rsid w:val="00945C53"/>
    <w:rsid w:val="00945D15"/>
    <w:rsid w:val="00945EB0"/>
    <w:rsid w:val="00945F26"/>
    <w:rsid w:val="00945F91"/>
    <w:rsid w:val="00946019"/>
    <w:rsid w:val="0094615D"/>
    <w:rsid w:val="009462E3"/>
    <w:rsid w:val="0094643F"/>
    <w:rsid w:val="00946450"/>
    <w:rsid w:val="009464D4"/>
    <w:rsid w:val="009464D8"/>
    <w:rsid w:val="009466D7"/>
    <w:rsid w:val="00946700"/>
    <w:rsid w:val="00946709"/>
    <w:rsid w:val="0094673E"/>
    <w:rsid w:val="00946756"/>
    <w:rsid w:val="0094689B"/>
    <w:rsid w:val="009468FA"/>
    <w:rsid w:val="0094697C"/>
    <w:rsid w:val="00946986"/>
    <w:rsid w:val="00946988"/>
    <w:rsid w:val="00946ADB"/>
    <w:rsid w:val="00946B64"/>
    <w:rsid w:val="00946BD3"/>
    <w:rsid w:val="00946C31"/>
    <w:rsid w:val="00946C9C"/>
    <w:rsid w:val="00946CCA"/>
    <w:rsid w:val="00946D11"/>
    <w:rsid w:val="00946D2A"/>
    <w:rsid w:val="00946DC9"/>
    <w:rsid w:val="00946F0B"/>
    <w:rsid w:val="0094705A"/>
    <w:rsid w:val="00947070"/>
    <w:rsid w:val="009471C3"/>
    <w:rsid w:val="009472ED"/>
    <w:rsid w:val="00947323"/>
    <w:rsid w:val="0094745E"/>
    <w:rsid w:val="009474EB"/>
    <w:rsid w:val="009475C8"/>
    <w:rsid w:val="0094793B"/>
    <w:rsid w:val="009479AB"/>
    <w:rsid w:val="00947AA6"/>
    <w:rsid w:val="00947C11"/>
    <w:rsid w:val="00947C43"/>
    <w:rsid w:val="00947D91"/>
    <w:rsid w:val="00947DD3"/>
    <w:rsid w:val="00947E87"/>
    <w:rsid w:val="00947F6D"/>
    <w:rsid w:val="00947FBF"/>
    <w:rsid w:val="0095006E"/>
    <w:rsid w:val="009500ED"/>
    <w:rsid w:val="009501A3"/>
    <w:rsid w:val="00950265"/>
    <w:rsid w:val="00950280"/>
    <w:rsid w:val="00950294"/>
    <w:rsid w:val="00950487"/>
    <w:rsid w:val="00950498"/>
    <w:rsid w:val="009505A5"/>
    <w:rsid w:val="009506EF"/>
    <w:rsid w:val="00950753"/>
    <w:rsid w:val="009507D8"/>
    <w:rsid w:val="00950829"/>
    <w:rsid w:val="0095083F"/>
    <w:rsid w:val="00950938"/>
    <w:rsid w:val="009509CC"/>
    <w:rsid w:val="00950A24"/>
    <w:rsid w:val="00950AB1"/>
    <w:rsid w:val="00950B17"/>
    <w:rsid w:val="00950C0E"/>
    <w:rsid w:val="00950CC9"/>
    <w:rsid w:val="00950F79"/>
    <w:rsid w:val="00950FB5"/>
    <w:rsid w:val="0095101A"/>
    <w:rsid w:val="0095104D"/>
    <w:rsid w:val="0095106A"/>
    <w:rsid w:val="0095125E"/>
    <w:rsid w:val="00951336"/>
    <w:rsid w:val="00951394"/>
    <w:rsid w:val="009513E8"/>
    <w:rsid w:val="00951534"/>
    <w:rsid w:val="00951570"/>
    <w:rsid w:val="0095158F"/>
    <w:rsid w:val="0095159A"/>
    <w:rsid w:val="0095176E"/>
    <w:rsid w:val="0095182D"/>
    <w:rsid w:val="0095183A"/>
    <w:rsid w:val="00951862"/>
    <w:rsid w:val="00951934"/>
    <w:rsid w:val="009519A0"/>
    <w:rsid w:val="009519A8"/>
    <w:rsid w:val="00951AD5"/>
    <w:rsid w:val="00951AE0"/>
    <w:rsid w:val="00951C56"/>
    <w:rsid w:val="00951DBC"/>
    <w:rsid w:val="00951E27"/>
    <w:rsid w:val="00951E54"/>
    <w:rsid w:val="00951E64"/>
    <w:rsid w:val="00951E75"/>
    <w:rsid w:val="00951E96"/>
    <w:rsid w:val="00951EBD"/>
    <w:rsid w:val="00951FB8"/>
    <w:rsid w:val="00951FEE"/>
    <w:rsid w:val="00952008"/>
    <w:rsid w:val="00952099"/>
    <w:rsid w:val="00952109"/>
    <w:rsid w:val="0095212A"/>
    <w:rsid w:val="00952138"/>
    <w:rsid w:val="0095217A"/>
    <w:rsid w:val="00952217"/>
    <w:rsid w:val="00952221"/>
    <w:rsid w:val="0095256B"/>
    <w:rsid w:val="009525AB"/>
    <w:rsid w:val="009529D2"/>
    <w:rsid w:val="00952A0C"/>
    <w:rsid w:val="00952A4A"/>
    <w:rsid w:val="00952A98"/>
    <w:rsid w:val="00952B43"/>
    <w:rsid w:val="00952BD0"/>
    <w:rsid w:val="00952BDE"/>
    <w:rsid w:val="00952D06"/>
    <w:rsid w:val="00952D8C"/>
    <w:rsid w:val="00953019"/>
    <w:rsid w:val="0095306F"/>
    <w:rsid w:val="009530A1"/>
    <w:rsid w:val="00953114"/>
    <w:rsid w:val="00953124"/>
    <w:rsid w:val="009531CC"/>
    <w:rsid w:val="009531CF"/>
    <w:rsid w:val="009531F7"/>
    <w:rsid w:val="00953241"/>
    <w:rsid w:val="009532E3"/>
    <w:rsid w:val="00953315"/>
    <w:rsid w:val="00953417"/>
    <w:rsid w:val="009534B4"/>
    <w:rsid w:val="00953595"/>
    <w:rsid w:val="0095366E"/>
    <w:rsid w:val="00953758"/>
    <w:rsid w:val="0095376F"/>
    <w:rsid w:val="0095390D"/>
    <w:rsid w:val="00953A56"/>
    <w:rsid w:val="00953BEF"/>
    <w:rsid w:val="00953CC5"/>
    <w:rsid w:val="00953CF9"/>
    <w:rsid w:val="00953D57"/>
    <w:rsid w:val="00953D87"/>
    <w:rsid w:val="00953E77"/>
    <w:rsid w:val="00953EFE"/>
    <w:rsid w:val="00953F2C"/>
    <w:rsid w:val="00953F73"/>
    <w:rsid w:val="009540E8"/>
    <w:rsid w:val="009541C6"/>
    <w:rsid w:val="00954325"/>
    <w:rsid w:val="009543CE"/>
    <w:rsid w:val="00954595"/>
    <w:rsid w:val="00954596"/>
    <w:rsid w:val="00954624"/>
    <w:rsid w:val="00954723"/>
    <w:rsid w:val="009548CC"/>
    <w:rsid w:val="00954902"/>
    <w:rsid w:val="009549DA"/>
    <w:rsid w:val="00954A3B"/>
    <w:rsid w:val="00954BC2"/>
    <w:rsid w:val="00954BDE"/>
    <w:rsid w:val="00954D46"/>
    <w:rsid w:val="00954D80"/>
    <w:rsid w:val="00954DB4"/>
    <w:rsid w:val="00954F6F"/>
    <w:rsid w:val="00954FAF"/>
    <w:rsid w:val="00955038"/>
    <w:rsid w:val="00955058"/>
    <w:rsid w:val="009550DC"/>
    <w:rsid w:val="009550ED"/>
    <w:rsid w:val="00955157"/>
    <w:rsid w:val="00955190"/>
    <w:rsid w:val="009551AF"/>
    <w:rsid w:val="0095522E"/>
    <w:rsid w:val="0095552F"/>
    <w:rsid w:val="00955586"/>
    <w:rsid w:val="009555AB"/>
    <w:rsid w:val="0095563C"/>
    <w:rsid w:val="009556A1"/>
    <w:rsid w:val="00955742"/>
    <w:rsid w:val="00955854"/>
    <w:rsid w:val="0095586E"/>
    <w:rsid w:val="009558DE"/>
    <w:rsid w:val="00955922"/>
    <w:rsid w:val="009559E3"/>
    <w:rsid w:val="00955B90"/>
    <w:rsid w:val="00955B92"/>
    <w:rsid w:val="00955BAA"/>
    <w:rsid w:val="00955BE8"/>
    <w:rsid w:val="00955CB1"/>
    <w:rsid w:val="00955CD3"/>
    <w:rsid w:val="00955D39"/>
    <w:rsid w:val="00955DB4"/>
    <w:rsid w:val="00955DD3"/>
    <w:rsid w:val="00955F1A"/>
    <w:rsid w:val="00955F4B"/>
    <w:rsid w:val="00956047"/>
    <w:rsid w:val="009560AE"/>
    <w:rsid w:val="00956180"/>
    <w:rsid w:val="0095627D"/>
    <w:rsid w:val="00956319"/>
    <w:rsid w:val="0095631B"/>
    <w:rsid w:val="0095635B"/>
    <w:rsid w:val="009563DE"/>
    <w:rsid w:val="009566E8"/>
    <w:rsid w:val="00956732"/>
    <w:rsid w:val="00956778"/>
    <w:rsid w:val="00956A32"/>
    <w:rsid w:val="00956AF8"/>
    <w:rsid w:val="00956CBF"/>
    <w:rsid w:val="00956D66"/>
    <w:rsid w:val="00956E3B"/>
    <w:rsid w:val="009570A3"/>
    <w:rsid w:val="0095720C"/>
    <w:rsid w:val="0095730E"/>
    <w:rsid w:val="009573FC"/>
    <w:rsid w:val="00957568"/>
    <w:rsid w:val="00957594"/>
    <w:rsid w:val="00957758"/>
    <w:rsid w:val="009579A6"/>
    <w:rsid w:val="00957AE7"/>
    <w:rsid w:val="00957B88"/>
    <w:rsid w:val="00957C10"/>
    <w:rsid w:val="00957DA2"/>
    <w:rsid w:val="00957E02"/>
    <w:rsid w:val="00957E6B"/>
    <w:rsid w:val="00957FEC"/>
    <w:rsid w:val="00960197"/>
    <w:rsid w:val="009601DB"/>
    <w:rsid w:val="0096058E"/>
    <w:rsid w:val="0096064E"/>
    <w:rsid w:val="009606B6"/>
    <w:rsid w:val="0096070C"/>
    <w:rsid w:val="00960713"/>
    <w:rsid w:val="00960744"/>
    <w:rsid w:val="00960843"/>
    <w:rsid w:val="00960847"/>
    <w:rsid w:val="00960879"/>
    <w:rsid w:val="00960A00"/>
    <w:rsid w:val="00960A92"/>
    <w:rsid w:val="00960AD9"/>
    <w:rsid w:val="00960AF2"/>
    <w:rsid w:val="00960B1F"/>
    <w:rsid w:val="00960B75"/>
    <w:rsid w:val="00960C7D"/>
    <w:rsid w:val="00960E00"/>
    <w:rsid w:val="00960ECB"/>
    <w:rsid w:val="00960FAF"/>
    <w:rsid w:val="00960FB6"/>
    <w:rsid w:val="009610B2"/>
    <w:rsid w:val="009611F5"/>
    <w:rsid w:val="009612A2"/>
    <w:rsid w:val="009612D1"/>
    <w:rsid w:val="0096131A"/>
    <w:rsid w:val="00961659"/>
    <w:rsid w:val="00961774"/>
    <w:rsid w:val="00961828"/>
    <w:rsid w:val="00961867"/>
    <w:rsid w:val="00961A2E"/>
    <w:rsid w:val="00961C5C"/>
    <w:rsid w:val="00961C9D"/>
    <w:rsid w:val="00962192"/>
    <w:rsid w:val="009621F1"/>
    <w:rsid w:val="009622CE"/>
    <w:rsid w:val="0096234B"/>
    <w:rsid w:val="009623F7"/>
    <w:rsid w:val="00962526"/>
    <w:rsid w:val="009625FE"/>
    <w:rsid w:val="009626C9"/>
    <w:rsid w:val="00962749"/>
    <w:rsid w:val="009628E3"/>
    <w:rsid w:val="009628F0"/>
    <w:rsid w:val="00962960"/>
    <w:rsid w:val="0096297F"/>
    <w:rsid w:val="00962A97"/>
    <w:rsid w:val="00962B3F"/>
    <w:rsid w:val="00962D1D"/>
    <w:rsid w:val="00962D60"/>
    <w:rsid w:val="00962DEC"/>
    <w:rsid w:val="00962F56"/>
    <w:rsid w:val="00962FAA"/>
    <w:rsid w:val="0096303A"/>
    <w:rsid w:val="00963066"/>
    <w:rsid w:val="009630CC"/>
    <w:rsid w:val="009631E2"/>
    <w:rsid w:val="00963358"/>
    <w:rsid w:val="00963381"/>
    <w:rsid w:val="009635EB"/>
    <w:rsid w:val="0096366E"/>
    <w:rsid w:val="009637EC"/>
    <w:rsid w:val="0096387D"/>
    <w:rsid w:val="009638CF"/>
    <w:rsid w:val="00963947"/>
    <w:rsid w:val="00963AAB"/>
    <w:rsid w:val="00963B27"/>
    <w:rsid w:val="00963C1B"/>
    <w:rsid w:val="00963EB8"/>
    <w:rsid w:val="00963FB9"/>
    <w:rsid w:val="00963FF4"/>
    <w:rsid w:val="0096400E"/>
    <w:rsid w:val="0096401B"/>
    <w:rsid w:val="0096415A"/>
    <w:rsid w:val="0096418A"/>
    <w:rsid w:val="009641EB"/>
    <w:rsid w:val="00964214"/>
    <w:rsid w:val="009642A9"/>
    <w:rsid w:val="009642FA"/>
    <w:rsid w:val="00964492"/>
    <w:rsid w:val="009645C3"/>
    <w:rsid w:val="009645F9"/>
    <w:rsid w:val="009646AE"/>
    <w:rsid w:val="009646CA"/>
    <w:rsid w:val="0096488D"/>
    <w:rsid w:val="0096495C"/>
    <w:rsid w:val="009649B3"/>
    <w:rsid w:val="00964AC2"/>
    <w:rsid w:val="00964CD8"/>
    <w:rsid w:val="00964EE0"/>
    <w:rsid w:val="00965245"/>
    <w:rsid w:val="00965334"/>
    <w:rsid w:val="00965464"/>
    <w:rsid w:val="009654ED"/>
    <w:rsid w:val="00965599"/>
    <w:rsid w:val="00965610"/>
    <w:rsid w:val="00965710"/>
    <w:rsid w:val="00965832"/>
    <w:rsid w:val="00965984"/>
    <w:rsid w:val="009659B1"/>
    <w:rsid w:val="00965A15"/>
    <w:rsid w:val="00965A82"/>
    <w:rsid w:val="00965AE3"/>
    <w:rsid w:val="00965BA0"/>
    <w:rsid w:val="00965BD9"/>
    <w:rsid w:val="00965E88"/>
    <w:rsid w:val="00966010"/>
    <w:rsid w:val="0096605D"/>
    <w:rsid w:val="00966173"/>
    <w:rsid w:val="009661F6"/>
    <w:rsid w:val="009662D9"/>
    <w:rsid w:val="009664F9"/>
    <w:rsid w:val="00966505"/>
    <w:rsid w:val="00966542"/>
    <w:rsid w:val="0096655D"/>
    <w:rsid w:val="00966833"/>
    <w:rsid w:val="0096689A"/>
    <w:rsid w:val="0096690D"/>
    <w:rsid w:val="00966922"/>
    <w:rsid w:val="0096696D"/>
    <w:rsid w:val="00966A03"/>
    <w:rsid w:val="00966A3E"/>
    <w:rsid w:val="00966ABC"/>
    <w:rsid w:val="00966B93"/>
    <w:rsid w:val="00966C60"/>
    <w:rsid w:val="00966F97"/>
    <w:rsid w:val="00967073"/>
    <w:rsid w:val="0096721B"/>
    <w:rsid w:val="009672BB"/>
    <w:rsid w:val="0096739C"/>
    <w:rsid w:val="009673DA"/>
    <w:rsid w:val="009674AE"/>
    <w:rsid w:val="009675C5"/>
    <w:rsid w:val="009676CF"/>
    <w:rsid w:val="0096782F"/>
    <w:rsid w:val="00967960"/>
    <w:rsid w:val="009679A0"/>
    <w:rsid w:val="009679FA"/>
    <w:rsid w:val="00967A9C"/>
    <w:rsid w:val="00967B7A"/>
    <w:rsid w:val="00967D12"/>
    <w:rsid w:val="00967DD2"/>
    <w:rsid w:val="00967DF0"/>
    <w:rsid w:val="00970171"/>
    <w:rsid w:val="00970183"/>
    <w:rsid w:val="0097023B"/>
    <w:rsid w:val="009703BE"/>
    <w:rsid w:val="009703EF"/>
    <w:rsid w:val="009704FA"/>
    <w:rsid w:val="00970508"/>
    <w:rsid w:val="0097061E"/>
    <w:rsid w:val="00970768"/>
    <w:rsid w:val="009707E8"/>
    <w:rsid w:val="00970811"/>
    <w:rsid w:val="0097081D"/>
    <w:rsid w:val="00970943"/>
    <w:rsid w:val="00970ACF"/>
    <w:rsid w:val="00970B4F"/>
    <w:rsid w:val="00970D56"/>
    <w:rsid w:val="00970DD1"/>
    <w:rsid w:val="00970E0E"/>
    <w:rsid w:val="00970F0B"/>
    <w:rsid w:val="00971083"/>
    <w:rsid w:val="00971127"/>
    <w:rsid w:val="0097126F"/>
    <w:rsid w:val="00971282"/>
    <w:rsid w:val="00971399"/>
    <w:rsid w:val="00971611"/>
    <w:rsid w:val="009716D2"/>
    <w:rsid w:val="00971738"/>
    <w:rsid w:val="00971756"/>
    <w:rsid w:val="00971820"/>
    <w:rsid w:val="00971A61"/>
    <w:rsid w:val="00971B74"/>
    <w:rsid w:val="00971B95"/>
    <w:rsid w:val="00971C39"/>
    <w:rsid w:val="00971CC1"/>
    <w:rsid w:val="00971EEC"/>
    <w:rsid w:val="00971EFB"/>
    <w:rsid w:val="00971F74"/>
    <w:rsid w:val="00971F9C"/>
    <w:rsid w:val="00971FBB"/>
    <w:rsid w:val="00971FD0"/>
    <w:rsid w:val="00972005"/>
    <w:rsid w:val="009721BA"/>
    <w:rsid w:val="00972233"/>
    <w:rsid w:val="009722EB"/>
    <w:rsid w:val="009724BD"/>
    <w:rsid w:val="009726EC"/>
    <w:rsid w:val="00972819"/>
    <w:rsid w:val="0097281B"/>
    <w:rsid w:val="009728F7"/>
    <w:rsid w:val="00972949"/>
    <w:rsid w:val="0097295A"/>
    <w:rsid w:val="00972A53"/>
    <w:rsid w:val="00972BCD"/>
    <w:rsid w:val="00972D2E"/>
    <w:rsid w:val="00972DE6"/>
    <w:rsid w:val="00972E86"/>
    <w:rsid w:val="00972EB6"/>
    <w:rsid w:val="00972FEA"/>
    <w:rsid w:val="00973051"/>
    <w:rsid w:val="00973179"/>
    <w:rsid w:val="0097317D"/>
    <w:rsid w:val="009732A6"/>
    <w:rsid w:val="009732E4"/>
    <w:rsid w:val="0097342C"/>
    <w:rsid w:val="00973649"/>
    <w:rsid w:val="00973696"/>
    <w:rsid w:val="009736C4"/>
    <w:rsid w:val="009737DC"/>
    <w:rsid w:val="00973BA8"/>
    <w:rsid w:val="00973C32"/>
    <w:rsid w:val="00973CEB"/>
    <w:rsid w:val="00973D8F"/>
    <w:rsid w:val="00973E38"/>
    <w:rsid w:val="00973F20"/>
    <w:rsid w:val="00973F70"/>
    <w:rsid w:val="00974046"/>
    <w:rsid w:val="00974058"/>
    <w:rsid w:val="00974087"/>
    <w:rsid w:val="00974108"/>
    <w:rsid w:val="00974136"/>
    <w:rsid w:val="009741F2"/>
    <w:rsid w:val="009743EC"/>
    <w:rsid w:val="009743F8"/>
    <w:rsid w:val="0097443D"/>
    <w:rsid w:val="00974453"/>
    <w:rsid w:val="009744A3"/>
    <w:rsid w:val="0097460F"/>
    <w:rsid w:val="0097462C"/>
    <w:rsid w:val="009746DB"/>
    <w:rsid w:val="00974803"/>
    <w:rsid w:val="00974824"/>
    <w:rsid w:val="0097482B"/>
    <w:rsid w:val="009748C7"/>
    <w:rsid w:val="009749DF"/>
    <w:rsid w:val="00974B46"/>
    <w:rsid w:val="00974C13"/>
    <w:rsid w:val="00974C29"/>
    <w:rsid w:val="00974DFC"/>
    <w:rsid w:val="00974F8F"/>
    <w:rsid w:val="00974F94"/>
    <w:rsid w:val="00974FBE"/>
    <w:rsid w:val="0097501A"/>
    <w:rsid w:val="00975048"/>
    <w:rsid w:val="00975066"/>
    <w:rsid w:val="009750A8"/>
    <w:rsid w:val="00975206"/>
    <w:rsid w:val="009752A3"/>
    <w:rsid w:val="0097535B"/>
    <w:rsid w:val="00975371"/>
    <w:rsid w:val="009753BC"/>
    <w:rsid w:val="0097542F"/>
    <w:rsid w:val="0097543A"/>
    <w:rsid w:val="00975464"/>
    <w:rsid w:val="009755D5"/>
    <w:rsid w:val="00975614"/>
    <w:rsid w:val="00975725"/>
    <w:rsid w:val="00975980"/>
    <w:rsid w:val="009759BE"/>
    <w:rsid w:val="00975AE4"/>
    <w:rsid w:val="00975BC8"/>
    <w:rsid w:val="00975D19"/>
    <w:rsid w:val="00975DE4"/>
    <w:rsid w:val="00975EC7"/>
    <w:rsid w:val="00975EF2"/>
    <w:rsid w:val="00975EFE"/>
    <w:rsid w:val="00975F4F"/>
    <w:rsid w:val="0097603E"/>
    <w:rsid w:val="0097618F"/>
    <w:rsid w:val="009761AA"/>
    <w:rsid w:val="0097623A"/>
    <w:rsid w:val="00976241"/>
    <w:rsid w:val="009762AA"/>
    <w:rsid w:val="00976353"/>
    <w:rsid w:val="009763B5"/>
    <w:rsid w:val="00976431"/>
    <w:rsid w:val="00976467"/>
    <w:rsid w:val="0097650A"/>
    <w:rsid w:val="0097660B"/>
    <w:rsid w:val="009766AB"/>
    <w:rsid w:val="00976808"/>
    <w:rsid w:val="00976987"/>
    <w:rsid w:val="009769B1"/>
    <w:rsid w:val="009769B6"/>
    <w:rsid w:val="00976A5E"/>
    <w:rsid w:val="00976A72"/>
    <w:rsid w:val="00976AEB"/>
    <w:rsid w:val="00976B18"/>
    <w:rsid w:val="00976BEB"/>
    <w:rsid w:val="00976CA6"/>
    <w:rsid w:val="00976D04"/>
    <w:rsid w:val="00976D3D"/>
    <w:rsid w:val="00976DA4"/>
    <w:rsid w:val="00976E32"/>
    <w:rsid w:val="00976F85"/>
    <w:rsid w:val="0097700D"/>
    <w:rsid w:val="00977113"/>
    <w:rsid w:val="0097712E"/>
    <w:rsid w:val="009771CA"/>
    <w:rsid w:val="00977213"/>
    <w:rsid w:val="00977375"/>
    <w:rsid w:val="00977463"/>
    <w:rsid w:val="0097753E"/>
    <w:rsid w:val="0097755A"/>
    <w:rsid w:val="009775DA"/>
    <w:rsid w:val="0097763D"/>
    <w:rsid w:val="00977732"/>
    <w:rsid w:val="00977891"/>
    <w:rsid w:val="009778F7"/>
    <w:rsid w:val="0097791A"/>
    <w:rsid w:val="009779FE"/>
    <w:rsid w:val="00977A2B"/>
    <w:rsid w:val="00977ADC"/>
    <w:rsid w:val="00977AFB"/>
    <w:rsid w:val="00977B5F"/>
    <w:rsid w:val="00977C32"/>
    <w:rsid w:val="00977D66"/>
    <w:rsid w:val="00977F39"/>
    <w:rsid w:val="009800B0"/>
    <w:rsid w:val="009802C1"/>
    <w:rsid w:val="0098033D"/>
    <w:rsid w:val="0098039A"/>
    <w:rsid w:val="009803D4"/>
    <w:rsid w:val="009804A2"/>
    <w:rsid w:val="009805C4"/>
    <w:rsid w:val="00980980"/>
    <w:rsid w:val="00980A9E"/>
    <w:rsid w:val="00980AA9"/>
    <w:rsid w:val="00980B77"/>
    <w:rsid w:val="00980CCF"/>
    <w:rsid w:val="00980DEE"/>
    <w:rsid w:val="00980E9A"/>
    <w:rsid w:val="00980F5C"/>
    <w:rsid w:val="00980FEC"/>
    <w:rsid w:val="0098103A"/>
    <w:rsid w:val="0098125B"/>
    <w:rsid w:val="00981389"/>
    <w:rsid w:val="009814E0"/>
    <w:rsid w:val="009814E9"/>
    <w:rsid w:val="0098153D"/>
    <w:rsid w:val="009815CE"/>
    <w:rsid w:val="00981634"/>
    <w:rsid w:val="00981646"/>
    <w:rsid w:val="0098188A"/>
    <w:rsid w:val="009819B8"/>
    <w:rsid w:val="00981A0B"/>
    <w:rsid w:val="00981A15"/>
    <w:rsid w:val="00981A79"/>
    <w:rsid w:val="00981B56"/>
    <w:rsid w:val="00981BBC"/>
    <w:rsid w:val="00981BCC"/>
    <w:rsid w:val="00981D62"/>
    <w:rsid w:val="00981D6C"/>
    <w:rsid w:val="00981DFA"/>
    <w:rsid w:val="00981F0C"/>
    <w:rsid w:val="00981F6F"/>
    <w:rsid w:val="00981F99"/>
    <w:rsid w:val="009820B2"/>
    <w:rsid w:val="009820C0"/>
    <w:rsid w:val="00982247"/>
    <w:rsid w:val="0098236C"/>
    <w:rsid w:val="009823E9"/>
    <w:rsid w:val="0098248A"/>
    <w:rsid w:val="009824CB"/>
    <w:rsid w:val="0098259B"/>
    <w:rsid w:val="00982637"/>
    <w:rsid w:val="00982674"/>
    <w:rsid w:val="00982727"/>
    <w:rsid w:val="00982748"/>
    <w:rsid w:val="00982B3F"/>
    <w:rsid w:val="00982BBD"/>
    <w:rsid w:val="00982DA5"/>
    <w:rsid w:val="00982E01"/>
    <w:rsid w:val="00982E8A"/>
    <w:rsid w:val="00982E9A"/>
    <w:rsid w:val="00982EFB"/>
    <w:rsid w:val="00982F38"/>
    <w:rsid w:val="00982F45"/>
    <w:rsid w:val="009830A5"/>
    <w:rsid w:val="00983114"/>
    <w:rsid w:val="00983208"/>
    <w:rsid w:val="00983292"/>
    <w:rsid w:val="0098338E"/>
    <w:rsid w:val="009833C0"/>
    <w:rsid w:val="009835F8"/>
    <w:rsid w:val="00983614"/>
    <w:rsid w:val="00983733"/>
    <w:rsid w:val="009837F1"/>
    <w:rsid w:val="009837F6"/>
    <w:rsid w:val="0098395E"/>
    <w:rsid w:val="009839D8"/>
    <w:rsid w:val="009839E6"/>
    <w:rsid w:val="00983A69"/>
    <w:rsid w:val="00983B7C"/>
    <w:rsid w:val="00983C6E"/>
    <w:rsid w:val="00983D0C"/>
    <w:rsid w:val="00983D14"/>
    <w:rsid w:val="00983D8B"/>
    <w:rsid w:val="00983E31"/>
    <w:rsid w:val="00983FEA"/>
    <w:rsid w:val="0098420E"/>
    <w:rsid w:val="00984238"/>
    <w:rsid w:val="0098425E"/>
    <w:rsid w:val="0098429C"/>
    <w:rsid w:val="00984467"/>
    <w:rsid w:val="00984540"/>
    <w:rsid w:val="00984591"/>
    <w:rsid w:val="009846F9"/>
    <w:rsid w:val="009847F5"/>
    <w:rsid w:val="00984822"/>
    <w:rsid w:val="0098495F"/>
    <w:rsid w:val="00984A7F"/>
    <w:rsid w:val="00984ABA"/>
    <w:rsid w:val="00984BC7"/>
    <w:rsid w:val="00984C37"/>
    <w:rsid w:val="00984E7C"/>
    <w:rsid w:val="00985044"/>
    <w:rsid w:val="009850EF"/>
    <w:rsid w:val="00985101"/>
    <w:rsid w:val="0098513A"/>
    <w:rsid w:val="00985181"/>
    <w:rsid w:val="009852B5"/>
    <w:rsid w:val="009852DD"/>
    <w:rsid w:val="009853B7"/>
    <w:rsid w:val="009853F9"/>
    <w:rsid w:val="00985630"/>
    <w:rsid w:val="00985853"/>
    <w:rsid w:val="009859BB"/>
    <w:rsid w:val="00985AA6"/>
    <w:rsid w:val="00985C3D"/>
    <w:rsid w:val="00985C86"/>
    <w:rsid w:val="00985D75"/>
    <w:rsid w:val="00985EC8"/>
    <w:rsid w:val="00986305"/>
    <w:rsid w:val="00986403"/>
    <w:rsid w:val="00986507"/>
    <w:rsid w:val="00986547"/>
    <w:rsid w:val="00986635"/>
    <w:rsid w:val="00986637"/>
    <w:rsid w:val="00986957"/>
    <w:rsid w:val="009869B8"/>
    <w:rsid w:val="00986A33"/>
    <w:rsid w:val="00986B33"/>
    <w:rsid w:val="00986C53"/>
    <w:rsid w:val="00986CF0"/>
    <w:rsid w:val="00986CFD"/>
    <w:rsid w:val="00986DC6"/>
    <w:rsid w:val="00986F5D"/>
    <w:rsid w:val="00986F6B"/>
    <w:rsid w:val="00986F97"/>
    <w:rsid w:val="00987004"/>
    <w:rsid w:val="00987018"/>
    <w:rsid w:val="0098709B"/>
    <w:rsid w:val="00987103"/>
    <w:rsid w:val="00987267"/>
    <w:rsid w:val="00987307"/>
    <w:rsid w:val="0098757D"/>
    <w:rsid w:val="0098768B"/>
    <w:rsid w:val="00987693"/>
    <w:rsid w:val="009876FF"/>
    <w:rsid w:val="009878A4"/>
    <w:rsid w:val="00987936"/>
    <w:rsid w:val="00987B8F"/>
    <w:rsid w:val="00987C12"/>
    <w:rsid w:val="00987CAF"/>
    <w:rsid w:val="00987F06"/>
    <w:rsid w:val="00987F38"/>
    <w:rsid w:val="00990186"/>
    <w:rsid w:val="00990193"/>
    <w:rsid w:val="009902E6"/>
    <w:rsid w:val="00990347"/>
    <w:rsid w:val="00990446"/>
    <w:rsid w:val="0099048E"/>
    <w:rsid w:val="00990506"/>
    <w:rsid w:val="0099073D"/>
    <w:rsid w:val="0099090B"/>
    <w:rsid w:val="00990944"/>
    <w:rsid w:val="00990A9C"/>
    <w:rsid w:val="00990BA2"/>
    <w:rsid w:val="00990C00"/>
    <w:rsid w:val="00990CEF"/>
    <w:rsid w:val="00990E37"/>
    <w:rsid w:val="00990F7B"/>
    <w:rsid w:val="00990FA4"/>
    <w:rsid w:val="00990FAD"/>
    <w:rsid w:val="00991057"/>
    <w:rsid w:val="00991117"/>
    <w:rsid w:val="0099146E"/>
    <w:rsid w:val="009914A8"/>
    <w:rsid w:val="0099161B"/>
    <w:rsid w:val="009917A5"/>
    <w:rsid w:val="009917AD"/>
    <w:rsid w:val="009918E3"/>
    <w:rsid w:val="00991925"/>
    <w:rsid w:val="00991A44"/>
    <w:rsid w:val="00991B07"/>
    <w:rsid w:val="00991B4E"/>
    <w:rsid w:val="00991B52"/>
    <w:rsid w:val="00991BBD"/>
    <w:rsid w:val="00991C1F"/>
    <w:rsid w:val="00991C28"/>
    <w:rsid w:val="00991CD3"/>
    <w:rsid w:val="00991D4F"/>
    <w:rsid w:val="00991DA4"/>
    <w:rsid w:val="00991DF3"/>
    <w:rsid w:val="00991E03"/>
    <w:rsid w:val="00991E34"/>
    <w:rsid w:val="00992001"/>
    <w:rsid w:val="0099202C"/>
    <w:rsid w:val="009920F9"/>
    <w:rsid w:val="0099227C"/>
    <w:rsid w:val="009922E7"/>
    <w:rsid w:val="009922F2"/>
    <w:rsid w:val="00992383"/>
    <w:rsid w:val="0099259D"/>
    <w:rsid w:val="009925AC"/>
    <w:rsid w:val="0099277C"/>
    <w:rsid w:val="009927AE"/>
    <w:rsid w:val="00992831"/>
    <w:rsid w:val="00992839"/>
    <w:rsid w:val="00992980"/>
    <w:rsid w:val="00992997"/>
    <w:rsid w:val="00992A66"/>
    <w:rsid w:val="00992AB9"/>
    <w:rsid w:val="00992B0C"/>
    <w:rsid w:val="00992B18"/>
    <w:rsid w:val="00992B89"/>
    <w:rsid w:val="00992CE6"/>
    <w:rsid w:val="00992E8D"/>
    <w:rsid w:val="0099316F"/>
    <w:rsid w:val="00993206"/>
    <w:rsid w:val="0099331A"/>
    <w:rsid w:val="009935A8"/>
    <w:rsid w:val="009935C9"/>
    <w:rsid w:val="0099372F"/>
    <w:rsid w:val="009937CC"/>
    <w:rsid w:val="009938C1"/>
    <w:rsid w:val="009938E7"/>
    <w:rsid w:val="00993A22"/>
    <w:rsid w:val="00993BD6"/>
    <w:rsid w:val="00993C3B"/>
    <w:rsid w:val="00993C50"/>
    <w:rsid w:val="00993C96"/>
    <w:rsid w:val="00993CD5"/>
    <w:rsid w:val="00993DB1"/>
    <w:rsid w:val="00993E62"/>
    <w:rsid w:val="00993F5B"/>
    <w:rsid w:val="00993F87"/>
    <w:rsid w:val="00994058"/>
    <w:rsid w:val="0099405D"/>
    <w:rsid w:val="009941C5"/>
    <w:rsid w:val="009942B2"/>
    <w:rsid w:val="009942C1"/>
    <w:rsid w:val="00994468"/>
    <w:rsid w:val="0099447A"/>
    <w:rsid w:val="009944AF"/>
    <w:rsid w:val="0099451D"/>
    <w:rsid w:val="0099465F"/>
    <w:rsid w:val="00994674"/>
    <w:rsid w:val="009946A4"/>
    <w:rsid w:val="00994737"/>
    <w:rsid w:val="00994970"/>
    <w:rsid w:val="009949C1"/>
    <w:rsid w:val="009949CF"/>
    <w:rsid w:val="00994BD6"/>
    <w:rsid w:val="00994C13"/>
    <w:rsid w:val="00994C32"/>
    <w:rsid w:val="00994D5F"/>
    <w:rsid w:val="00994D97"/>
    <w:rsid w:val="00994E23"/>
    <w:rsid w:val="00994F0F"/>
    <w:rsid w:val="00994FBE"/>
    <w:rsid w:val="009951DB"/>
    <w:rsid w:val="00995229"/>
    <w:rsid w:val="0099528C"/>
    <w:rsid w:val="00995377"/>
    <w:rsid w:val="0099542E"/>
    <w:rsid w:val="0099545A"/>
    <w:rsid w:val="00995666"/>
    <w:rsid w:val="00995726"/>
    <w:rsid w:val="009957B2"/>
    <w:rsid w:val="009957B6"/>
    <w:rsid w:val="00995801"/>
    <w:rsid w:val="00995857"/>
    <w:rsid w:val="00995920"/>
    <w:rsid w:val="009959A0"/>
    <w:rsid w:val="00995CA1"/>
    <w:rsid w:val="00995CC7"/>
    <w:rsid w:val="00995D04"/>
    <w:rsid w:val="00995D93"/>
    <w:rsid w:val="00995FA5"/>
    <w:rsid w:val="0099608D"/>
    <w:rsid w:val="009960CB"/>
    <w:rsid w:val="0099624F"/>
    <w:rsid w:val="0099632F"/>
    <w:rsid w:val="0099640D"/>
    <w:rsid w:val="00996411"/>
    <w:rsid w:val="009964E5"/>
    <w:rsid w:val="0099652C"/>
    <w:rsid w:val="009965C9"/>
    <w:rsid w:val="009965F2"/>
    <w:rsid w:val="00996602"/>
    <w:rsid w:val="009966CC"/>
    <w:rsid w:val="009966F5"/>
    <w:rsid w:val="009968A7"/>
    <w:rsid w:val="009969F7"/>
    <w:rsid w:val="00996ADC"/>
    <w:rsid w:val="00996D98"/>
    <w:rsid w:val="0099717F"/>
    <w:rsid w:val="00997180"/>
    <w:rsid w:val="0099725C"/>
    <w:rsid w:val="00997451"/>
    <w:rsid w:val="009974CC"/>
    <w:rsid w:val="00997691"/>
    <w:rsid w:val="00997754"/>
    <w:rsid w:val="009977FF"/>
    <w:rsid w:val="00997977"/>
    <w:rsid w:val="00997AE5"/>
    <w:rsid w:val="00997C37"/>
    <w:rsid w:val="00997C8D"/>
    <w:rsid w:val="00997C99"/>
    <w:rsid w:val="00997D24"/>
    <w:rsid w:val="00997D4A"/>
    <w:rsid w:val="00997D77"/>
    <w:rsid w:val="00997D9E"/>
    <w:rsid w:val="00997DA4"/>
    <w:rsid w:val="00997E39"/>
    <w:rsid w:val="009A00DB"/>
    <w:rsid w:val="009A01CA"/>
    <w:rsid w:val="009A01FB"/>
    <w:rsid w:val="009A0257"/>
    <w:rsid w:val="009A0514"/>
    <w:rsid w:val="009A0543"/>
    <w:rsid w:val="009A054B"/>
    <w:rsid w:val="009A0581"/>
    <w:rsid w:val="009A063B"/>
    <w:rsid w:val="009A073B"/>
    <w:rsid w:val="009A081A"/>
    <w:rsid w:val="009A0903"/>
    <w:rsid w:val="009A09ED"/>
    <w:rsid w:val="009A0A1C"/>
    <w:rsid w:val="009A0A3E"/>
    <w:rsid w:val="009A0A7E"/>
    <w:rsid w:val="009A0B6F"/>
    <w:rsid w:val="009A0C2A"/>
    <w:rsid w:val="009A0E41"/>
    <w:rsid w:val="009A0EF3"/>
    <w:rsid w:val="009A0F94"/>
    <w:rsid w:val="009A101B"/>
    <w:rsid w:val="009A101C"/>
    <w:rsid w:val="009A1097"/>
    <w:rsid w:val="009A11BD"/>
    <w:rsid w:val="009A1222"/>
    <w:rsid w:val="009A122C"/>
    <w:rsid w:val="009A1263"/>
    <w:rsid w:val="009A1289"/>
    <w:rsid w:val="009A12CD"/>
    <w:rsid w:val="009A1435"/>
    <w:rsid w:val="009A1773"/>
    <w:rsid w:val="009A1785"/>
    <w:rsid w:val="009A17B7"/>
    <w:rsid w:val="009A191F"/>
    <w:rsid w:val="009A1947"/>
    <w:rsid w:val="009A196C"/>
    <w:rsid w:val="009A19C9"/>
    <w:rsid w:val="009A19DC"/>
    <w:rsid w:val="009A1AE6"/>
    <w:rsid w:val="009A1BAA"/>
    <w:rsid w:val="009A1D52"/>
    <w:rsid w:val="009A1FA7"/>
    <w:rsid w:val="009A205C"/>
    <w:rsid w:val="009A21AD"/>
    <w:rsid w:val="009A21B6"/>
    <w:rsid w:val="009A2297"/>
    <w:rsid w:val="009A22E8"/>
    <w:rsid w:val="009A24F2"/>
    <w:rsid w:val="009A262C"/>
    <w:rsid w:val="009A26A3"/>
    <w:rsid w:val="009A2734"/>
    <w:rsid w:val="009A2777"/>
    <w:rsid w:val="009A27C4"/>
    <w:rsid w:val="009A28D6"/>
    <w:rsid w:val="009A2918"/>
    <w:rsid w:val="009A29FD"/>
    <w:rsid w:val="009A2A07"/>
    <w:rsid w:val="009A2C00"/>
    <w:rsid w:val="009A2DC8"/>
    <w:rsid w:val="009A2F78"/>
    <w:rsid w:val="009A2FC4"/>
    <w:rsid w:val="009A31BF"/>
    <w:rsid w:val="009A325B"/>
    <w:rsid w:val="009A3261"/>
    <w:rsid w:val="009A3352"/>
    <w:rsid w:val="009A3356"/>
    <w:rsid w:val="009A35B4"/>
    <w:rsid w:val="009A3783"/>
    <w:rsid w:val="009A37B4"/>
    <w:rsid w:val="009A3A3D"/>
    <w:rsid w:val="009A3B01"/>
    <w:rsid w:val="009A3C30"/>
    <w:rsid w:val="009A3C9E"/>
    <w:rsid w:val="009A3CCF"/>
    <w:rsid w:val="009A3D4F"/>
    <w:rsid w:val="009A3D53"/>
    <w:rsid w:val="009A3D62"/>
    <w:rsid w:val="009A3EAB"/>
    <w:rsid w:val="009A4018"/>
    <w:rsid w:val="009A4039"/>
    <w:rsid w:val="009A406B"/>
    <w:rsid w:val="009A408A"/>
    <w:rsid w:val="009A410C"/>
    <w:rsid w:val="009A41EE"/>
    <w:rsid w:val="009A4354"/>
    <w:rsid w:val="009A441D"/>
    <w:rsid w:val="009A4464"/>
    <w:rsid w:val="009A44C3"/>
    <w:rsid w:val="009A474C"/>
    <w:rsid w:val="009A47C0"/>
    <w:rsid w:val="009A4AD8"/>
    <w:rsid w:val="009A4B9A"/>
    <w:rsid w:val="009A4CEC"/>
    <w:rsid w:val="009A4D2D"/>
    <w:rsid w:val="009A4EFF"/>
    <w:rsid w:val="009A51E3"/>
    <w:rsid w:val="009A51F8"/>
    <w:rsid w:val="009A525D"/>
    <w:rsid w:val="009A5299"/>
    <w:rsid w:val="009A578D"/>
    <w:rsid w:val="009A58F0"/>
    <w:rsid w:val="009A5905"/>
    <w:rsid w:val="009A5AA4"/>
    <w:rsid w:val="009A5AA8"/>
    <w:rsid w:val="009A5BA1"/>
    <w:rsid w:val="009A5DA4"/>
    <w:rsid w:val="009A5DD9"/>
    <w:rsid w:val="009A5F2E"/>
    <w:rsid w:val="009A5F72"/>
    <w:rsid w:val="009A6092"/>
    <w:rsid w:val="009A609E"/>
    <w:rsid w:val="009A6131"/>
    <w:rsid w:val="009A623D"/>
    <w:rsid w:val="009A6431"/>
    <w:rsid w:val="009A65F1"/>
    <w:rsid w:val="009A6612"/>
    <w:rsid w:val="009A66AB"/>
    <w:rsid w:val="009A6723"/>
    <w:rsid w:val="009A6763"/>
    <w:rsid w:val="009A6783"/>
    <w:rsid w:val="009A67A8"/>
    <w:rsid w:val="009A6918"/>
    <w:rsid w:val="009A696D"/>
    <w:rsid w:val="009A6B68"/>
    <w:rsid w:val="009A6B89"/>
    <w:rsid w:val="009A6CA0"/>
    <w:rsid w:val="009A6CFD"/>
    <w:rsid w:val="009A6D25"/>
    <w:rsid w:val="009A6D89"/>
    <w:rsid w:val="009A6EFD"/>
    <w:rsid w:val="009A703F"/>
    <w:rsid w:val="009A70B4"/>
    <w:rsid w:val="009A70B7"/>
    <w:rsid w:val="009A7154"/>
    <w:rsid w:val="009A718E"/>
    <w:rsid w:val="009A71DC"/>
    <w:rsid w:val="009A721F"/>
    <w:rsid w:val="009A7267"/>
    <w:rsid w:val="009A74EF"/>
    <w:rsid w:val="009A7535"/>
    <w:rsid w:val="009A75BF"/>
    <w:rsid w:val="009A799D"/>
    <w:rsid w:val="009A7B50"/>
    <w:rsid w:val="009A7B61"/>
    <w:rsid w:val="009A7B8C"/>
    <w:rsid w:val="009A7BA7"/>
    <w:rsid w:val="009A7BAD"/>
    <w:rsid w:val="009A7D59"/>
    <w:rsid w:val="009A7EF5"/>
    <w:rsid w:val="009A7F38"/>
    <w:rsid w:val="009A7F78"/>
    <w:rsid w:val="009A7FED"/>
    <w:rsid w:val="009B0022"/>
    <w:rsid w:val="009B009A"/>
    <w:rsid w:val="009B00B6"/>
    <w:rsid w:val="009B00D3"/>
    <w:rsid w:val="009B0147"/>
    <w:rsid w:val="009B029D"/>
    <w:rsid w:val="009B041C"/>
    <w:rsid w:val="009B044C"/>
    <w:rsid w:val="009B04BA"/>
    <w:rsid w:val="009B04EA"/>
    <w:rsid w:val="009B0549"/>
    <w:rsid w:val="009B0554"/>
    <w:rsid w:val="009B056E"/>
    <w:rsid w:val="009B06E5"/>
    <w:rsid w:val="009B06E6"/>
    <w:rsid w:val="009B072D"/>
    <w:rsid w:val="009B0735"/>
    <w:rsid w:val="009B073A"/>
    <w:rsid w:val="009B076F"/>
    <w:rsid w:val="009B07F8"/>
    <w:rsid w:val="009B07FE"/>
    <w:rsid w:val="009B08F1"/>
    <w:rsid w:val="009B09D4"/>
    <w:rsid w:val="009B0A91"/>
    <w:rsid w:val="009B0BB0"/>
    <w:rsid w:val="009B0BE4"/>
    <w:rsid w:val="009B0C90"/>
    <w:rsid w:val="009B0D0B"/>
    <w:rsid w:val="009B0E81"/>
    <w:rsid w:val="009B10BE"/>
    <w:rsid w:val="009B111A"/>
    <w:rsid w:val="009B11E0"/>
    <w:rsid w:val="009B1202"/>
    <w:rsid w:val="009B1322"/>
    <w:rsid w:val="009B1470"/>
    <w:rsid w:val="009B16D4"/>
    <w:rsid w:val="009B16E4"/>
    <w:rsid w:val="009B1751"/>
    <w:rsid w:val="009B1762"/>
    <w:rsid w:val="009B1848"/>
    <w:rsid w:val="009B1C10"/>
    <w:rsid w:val="009B1C98"/>
    <w:rsid w:val="009B1CF7"/>
    <w:rsid w:val="009B1D30"/>
    <w:rsid w:val="009B1EA7"/>
    <w:rsid w:val="009B1EBA"/>
    <w:rsid w:val="009B1EF7"/>
    <w:rsid w:val="009B1FA3"/>
    <w:rsid w:val="009B202C"/>
    <w:rsid w:val="009B205C"/>
    <w:rsid w:val="009B2067"/>
    <w:rsid w:val="009B20D1"/>
    <w:rsid w:val="009B2287"/>
    <w:rsid w:val="009B23B4"/>
    <w:rsid w:val="009B23F5"/>
    <w:rsid w:val="009B2514"/>
    <w:rsid w:val="009B26FC"/>
    <w:rsid w:val="009B2712"/>
    <w:rsid w:val="009B27D3"/>
    <w:rsid w:val="009B2B49"/>
    <w:rsid w:val="009B2B60"/>
    <w:rsid w:val="009B2B9A"/>
    <w:rsid w:val="009B2BC5"/>
    <w:rsid w:val="009B2CCE"/>
    <w:rsid w:val="009B2CEC"/>
    <w:rsid w:val="009B2CF5"/>
    <w:rsid w:val="009B2D18"/>
    <w:rsid w:val="009B2D44"/>
    <w:rsid w:val="009B2DAC"/>
    <w:rsid w:val="009B2F68"/>
    <w:rsid w:val="009B2FDD"/>
    <w:rsid w:val="009B305A"/>
    <w:rsid w:val="009B312E"/>
    <w:rsid w:val="009B3230"/>
    <w:rsid w:val="009B32B1"/>
    <w:rsid w:val="009B35B2"/>
    <w:rsid w:val="009B363D"/>
    <w:rsid w:val="009B3799"/>
    <w:rsid w:val="009B3A8F"/>
    <w:rsid w:val="009B3B68"/>
    <w:rsid w:val="009B3BA5"/>
    <w:rsid w:val="009B3C02"/>
    <w:rsid w:val="009B3EDA"/>
    <w:rsid w:val="009B3EEE"/>
    <w:rsid w:val="009B4057"/>
    <w:rsid w:val="009B407D"/>
    <w:rsid w:val="009B40D6"/>
    <w:rsid w:val="009B40F3"/>
    <w:rsid w:val="009B4149"/>
    <w:rsid w:val="009B41CF"/>
    <w:rsid w:val="009B4358"/>
    <w:rsid w:val="009B437E"/>
    <w:rsid w:val="009B43E4"/>
    <w:rsid w:val="009B4410"/>
    <w:rsid w:val="009B4636"/>
    <w:rsid w:val="009B4763"/>
    <w:rsid w:val="009B4799"/>
    <w:rsid w:val="009B47AD"/>
    <w:rsid w:val="009B4AEB"/>
    <w:rsid w:val="009B4AEE"/>
    <w:rsid w:val="009B4AF3"/>
    <w:rsid w:val="009B4B9E"/>
    <w:rsid w:val="009B4BD7"/>
    <w:rsid w:val="009B4C0D"/>
    <w:rsid w:val="009B4E07"/>
    <w:rsid w:val="009B4E2A"/>
    <w:rsid w:val="009B4E7C"/>
    <w:rsid w:val="009B4EEB"/>
    <w:rsid w:val="009B514A"/>
    <w:rsid w:val="009B5220"/>
    <w:rsid w:val="009B52C6"/>
    <w:rsid w:val="009B5439"/>
    <w:rsid w:val="009B54F4"/>
    <w:rsid w:val="009B56DC"/>
    <w:rsid w:val="009B594D"/>
    <w:rsid w:val="009B5973"/>
    <w:rsid w:val="009B5AF3"/>
    <w:rsid w:val="009B5B4B"/>
    <w:rsid w:val="009B5C00"/>
    <w:rsid w:val="009B5CCE"/>
    <w:rsid w:val="009B5DD8"/>
    <w:rsid w:val="009B60D6"/>
    <w:rsid w:val="009B62C8"/>
    <w:rsid w:val="009B630A"/>
    <w:rsid w:val="009B63B3"/>
    <w:rsid w:val="009B63BB"/>
    <w:rsid w:val="009B6502"/>
    <w:rsid w:val="009B66B1"/>
    <w:rsid w:val="009B6768"/>
    <w:rsid w:val="009B67B9"/>
    <w:rsid w:val="009B6833"/>
    <w:rsid w:val="009B68B9"/>
    <w:rsid w:val="009B69D8"/>
    <w:rsid w:val="009B6C7B"/>
    <w:rsid w:val="009B6FFF"/>
    <w:rsid w:val="009B70E9"/>
    <w:rsid w:val="009B7199"/>
    <w:rsid w:val="009B719C"/>
    <w:rsid w:val="009B7208"/>
    <w:rsid w:val="009B72F7"/>
    <w:rsid w:val="009B7360"/>
    <w:rsid w:val="009B7411"/>
    <w:rsid w:val="009B7448"/>
    <w:rsid w:val="009B74F5"/>
    <w:rsid w:val="009B754A"/>
    <w:rsid w:val="009B767F"/>
    <w:rsid w:val="009B77CE"/>
    <w:rsid w:val="009B790D"/>
    <w:rsid w:val="009B7981"/>
    <w:rsid w:val="009B79D2"/>
    <w:rsid w:val="009B7D7D"/>
    <w:rsid w:val="009B7D8A"/>
    <w:rsid w:val="009B7DFC"/>
    <w:rsid w:val="009B7E6D"/>
    <w:rsid w:val="009B7F5B"/>
    <w:rsid w:val="009B7FBE"/>
    <w:rsid w:val="009C00C2"/>
    <w:rsid w:val="009C027B"/>
    <w:rsid w:val="009C0573"/>
    <w:rsid w:val="009C06F4"/>
    <w:rsid w:val="009C0791"/>
    <w:rsid w:val="009C083C"/>
    <w:rsid w:val="009C08FD"/>
    <w:rsid w:val="009C0A06"/>
    <w:rsid w:val="009C0A0C"/>
    <w:rsid w:val="009C0A36"/>
    <w:rsid w:val="009C0A8A"/>
    <w:rsid w:val="009C0B01"/>
    <w:rsid w:val="009C0C32"/>
    <w:rsid w:val="009C0C8A"/>
    <w:rsid w:val="009C0C9B"/>
    <w:rsid w:val="009C0CAB"/>
    <w:rsid w:val="009C0DB6"/>
    <w:rsid w:val="009C0E4E"/>
    <w:rsid w:val="009C1054"/>
    <w:rsid w:val="009C12A5"/>
    <w:rsid w:val="009C1301"/>
    <w:rsid w:val="009C130B"/>
    <w:rsid w:val="009C13DB"/>
    <w:rsid w:val="009C16C3"/>
    <w:rsid w:val="009C17C6"/>
    <w:rsid w:val="009C187D"/>
    <w:rsid w:val="009C1977"/>
    <w:rsid w:val="009C1B2B"/>
    <w:rsid w:val="009C1BF2"/>
    <w:rsid w:val="009C1DA0"/>
    <w:rsid w:val="009C1E19"/>
    <w:rsid w:val="009C1F38"/>
    <w:rsid w:val="009C200F"/>
    <w:rsid w:val="009C2164"/>
    <w:rsid w:val="009C21F5"/>
    <w:rsid w:val="009C21F7"/>
    <w:rsid w:val="009C231D"/>
    <w:rsid w:val="009C2328"/>
    <w:rsid w:val="009C23BF"/>
    <w:rsid w:val="009C24D2"/>
    <w:rsid w:val="009C27DD"/>
    <w:rsid w:val="009C2918"/>
    <w:rsid w:val="009C2942"/>
    <w:rsid w:val="009C295E"/>
    <w:rsid w:val="009C2965"/>
    <w:rsid w:val="009C2AB9"/>
    <w:rsid w:val="009C2B29"/>
    <w:rsid w:val="009C2DB9"/>
    <w:rsid w:val="009C2DE6"/>
    <w:rsid w:val="009C2DE8"/>
    <w:rsid w:val="009C302C"/>
    <w:rsid w:val="009C30A8"/>
    <w:rsid w:val="009C3266"/>
    <w:rsid w:val="009C3302"/>
    <w:rsid w:val="009C3353"/>
    <w:rsid w:val="009C3404"/>
    <w:rsid w:val="009C3457"/>
    <w:rsid w:val="009C347F"/>
    <w:rsid w:val="009C34A0"/>
    <w:rsid w:val="009C360F"/>
    <w:rsid w:val="009C36EE"/>
    <w:rsid w:val="009C372A"/>
    <w:rsid w:val="009C3952"/>
    <w:rsid w:val="009C39A3"/>
    <w:rsid w:val="009C3A5D"/>
    <w:rsid w:val="009C3B8D"/>
    <w:rsid w:val="009C3BED"/>
    <w:rsid w:val="009C3C49"/>
    <w:rsid w:val="009C3D12"/>
    <w:rsid w:val="009C3E34"/>
    <w:rsid w:val="009C3ED4"/>
    <w:rsid w:val="009C3F97"/>
    <w:rsid w:val="009C3F9B"/>
    <w:rsid w:val="009C4127"/>
    <w:rsid w:val="009C414B"/>
    <w:rsid w:val="009C43AE"/>
    <w:rsid w:val="009C4487"/>
    <w:rsid w:val="009C45F8"/>
    <w:rsid w:val="009C4737"/>
    <w:rsid w:val="009C482F"/>
    <w:rsid w:val="009C48C3"/>
    <w:rsid w:val="009C48D7"/>
    <w:rsid w:val="009C4BB0"/>
    <w:rsid w:val="009C4BB8"/>
    <w:rsid w:val="009C4C0E"/>
    <w:rsid w:val="009C4C49"/>
    <w:rsid w:val="009C4DC6"/>
    <w:rsid w:val="009C4DFC"/>
    <w:rsid w:val="009C4E31"/>
    <w:rsid w:val="009C4E8A"/>
    <w:rsid w:val="009C4F00"/>
    <w:rsid w:val="009C4F08"/>
    <w:rsid w:val="009C4F66"/>
    <w:rsid w:val="009C4F6F"/>
    <w:rsid w:val="009C4FCC"/>
    <w:rsid w:val="009C50A3"/>
    <w:rsid w:val="009C5416"/>
    <w:rsid w:val="009C5469"/>
    <w:rsid w:val="009C54C4"/>
    <w:rsid w:val="009C56A8"/>
    <w:rsid w:val="009C5715"/>
    <w:rsid w:val="009C591F"/>
    <w:rsid w:val="009C5AB3"/>
    <w:rsid w:val="009C5AF1"/>
    <w:rsid w:val="009C5B1F"/>
    <w:rsid w:val="009C5B63"/>
    <w:rsid w:val="009C5BFD"/>
    <w:rsid w:val="009C5C7E"/>
    <w:rsid w:val="009C5C93"/>
    <w:rsid w:val="009C5E3E"/>
    <w:rsid w:val="009C5EB4"/>
    <w:rsid w:val="009C5EBA"/>
    <w:rsid w:val="009C5F03"/>
    <w:rsid w:val="009C5F5F"/>
    <w:rsid w:val="009C5F64"/>
    <w:rsid w:val="009C6188"/>
    <w:rsid w:val="009C61FB"/>
    <w:rsid w:val="009C6286"/>
    <w:rsid w:val="009C6302"/>
    <w:rsid w:val="009C63EC"/>
    <w:rsid w:val="009C674F"/>
    <w:rsid w:val="009C6858"/>
    <w:rsid w:val="009C6888"/>
    <w:rsid w:val="009C694D"/>
    <w:rsid w:val="009C69ED"/>
    <w:rsid w:val="009C6A1B"/>
    <w:rsid w:val="009C6A5E"/>
    <w:rsid w:val="009C6A76"/>
    <w:rsid w:val="009C6ADB"/>
    <w:rsid w:val="009C6B7A"/>
    <w:rsid w:val="009C6BDB"/>
    <w:rsid w:val="009C6C37"/>
    <w:rsid w:val="009C6C62"/>
    <w:rsid w:val="009C6D38"/>
    <w:rsid w:val="009C6DC1"/>
    <w:rsid w:val="009C6DD1"/>
    <w:rsid w:val="009C6DF7"/>
    <w:rsid w:val="009C6EFE"/>
    <w:rsid w:val="009C6F4C"/>
    <w:rsid w:val="009C6F67"/>
    <w:rsid w:val="009C6FF3"/>
    <w:rsid w:val="009C7001"/>
    <w:rsid w:val="009C710C"/>
    <w:rsid w:val="009C7259"/>
    <w:rsid w:val="009C72A0"/>
    <w:rsid w:val="009C73A3"/>
    <w:rsid w:val="009C7471"/>
    <w:rsid w:val="009C7480"/>
    <w:rsid w:val="009C7526"/>
    <w:rsid w:val="009C75FA"/>
    <w:rsid w:val="009C779C"/>
    <w:rsid w:val="009C7905"/>
    <w:rsid w:val="009C7ABD"/>
    <w:rsid w:val="009C7C34"/>
    <w:rsid w:val="009C7DA7"/>
    <w:rsid w:val="009C7EC1"/>
    <w:rsid w:val="009C7EDC"/>
    <w:rsid w:val="009C7FC8"/>
    <w:rsid w:val="009C7FEB"/>
    <w:rsid w:val="009C7FF1"/>
    <w:rsid w:val="009D0022"/>
    <w:rsid w:val="009D007B"/>
    <w:rsid w:val="009D0179"/>
    <w:rsid w:val="009D018F"/>
    <w:rsid w:val="009D01A7"/>
    <w:rsid w:val="009D0231"/>
    <w:rsid w:val="009D02D8"/>
    <w:rsid w:val="009D0300"/>
    <w:rsid w:val="009D033E"/>
    <w:rsid w:val="009D0445"/>
    <w:rsid w:val="009D059C"/>
    <w:rsid w:val="009D09A9"/>
    <w:rsid w:val="009D0ACA"/>
    <w:rsid w:val="009D0B7C"/>
    <w:rsid w:val="009D0D89"/>
    <w:rsid w:val="009D10E6"/>
    <w:rsid w:val="009D127A"/>
    <w:rsid w:val="009D1303"/>
    <w:rsid w:val="009D145F"/>
    <w:rsid w:val="009D1552"/>
    <w:rsid w:val="009D159C"/>
    <w:rsid w:val="009D1696"/>
    <w:rsid w:val="009D16F5"/>
    <w:rsid w:val="009D1761"/>
    <w:rsid w:val="009D1786"/>
    <w:rsid w:val="009D19ED"/>
    <w:rsid w:val="009D1A67"/>
    <w:rsid w:val="009D1B12"/>
    <w:rsid w:val="009D1B21"/>
    <w:rsid w:val="009D1B71"/>
    <w:rsid w:val="009D1DC7"/>
    <w:rsid w:val="009D1E3A"/>
    <w:rsid w:val="009D1F2F"/>
    <w:rsid w:val="009D1F65"/>
    <w:rsid w:val="009D1FD0"/>
    <w:rsid w:val="009D1FEE"/>
    <w:rsid w:val="009D2131"/>
    <w:rsid w:val="009D2156"/>
    <w:rsid w:val="009D225C"/>
    <w:rsid w:val="009D2281"/>
    <w:rsid w:val="009D22B8"/>
    <w:rsid w:val="009D239E"/>
    <w:rsid w:val="009D251E"/>
    <w:rsid w:val="009D25A7"/>
    <w:rsid w:val="009D2688"/>
    <w:rsid w:val="009D26A9"/>
    <w:rsid w:val="009D26EF"/>
    <w:rsid w:val="009D272E"/>
    <w:rsid w:val="009D2882"/>
    <w:rsid w:val="009D28A4"/>
    <w:rsid w:val="009D2972"/>
    <w:rsid w:val="009D2986"/>
    <w:rsid w:val="009D2A08"/>
    <w:rsid w:val="009D2A70"/>
    <w:rsid w:val="009D2B14"/>
    <w:rsid w:val="009D2B56"/>
    <w:rsid w:val="009D2BE5"/>
    <w:rsid w:val="009D2C27"/>
    <w:rsid w:val="009D2C2C"/>
    <w:rsid w:val="009D2C90"/>
    <w:rsid w:val="009D2CF6"/>
    <w:rsid w:val="009D2DB0"/>
    <w:rsid w:val="009D2E2B"/>
    <w:rsid w:val="009D3005"/>
    <w:rsid w:val="009D302B"/>
    <w:rsid w:val="009D3072"/>
    <w:rsid w:val="009D30EC"/>
    <w:rsid w:val="009D31BC"/>
    <w:rsid w:val="009D32FA"/>
    <w:rsid w:val="009D33CF"/>
    <w:rsid w:val="009D33D5"/>
    <w:rsid w:val="009D3742"/>
    <w:rsid w:val="009D3746"/>
    <w:rsid w:val="009D3892"/>
    <w:rsid w:val="009D38DA"/>
    <w:rsid w:val="009D38EF"/>
    <w:rsid w:val="009D3999"/>
    <w:rsid w:val="009D39E9"/>
    <w:rsid w:val="009D3A8D"/>
    <w:rsid w:val="009D3AD9"/>
    <w:rsid w:val="009D3C1A"/>
    <w:rsid w:val="009D3CE0"/>
    <w:rsid w:val="009D3E58"/>
    <w:rsid w:val="009D3EAA"/>
    <w:rsid w:val="009D3F21"/>
    <w:rsid w:val="009D3FCD"/>
    <w:rsid w:val="009D41F3"/>
    <w:rsid w:val="009D42CB"/>
    <w:rsid w:val="009D4358"/>
    <w:rsid w:val="009D4568"/>
    <w:rsid w:val="009D4788"/>
    <w:rsid w:val="009D48F1"/>
    <w:rsid w:val="009D492B"/>
    <w:rsid w:val="009D4A77"/>
    <w:rsid w:val="009D4D7C"/>
    <w:rsid w:val="009D4DB3"/>
    <w:rsid w:val="009D4E33"/>
    <w:rsid w:val="009D516F"/>
    <w:rsid w:val="009D524D"/>
    <w:rsid w:val="009D52C1"/>
    <w:rsid w:val="009D5475"/>
    <w:rsid w:val="009D5485"/>
    <w:rsid w:val="009D548B"/>
    <w:rsid w:val="009D560C"/>
    <w:rsid w:val="009D5630"/>
    <w:rsid w:val="009D5707"/>
    <w:rsid w:val="009D579D"/>
    <w:rsid w:val="009D5844"/>
    <w:rsid w:val="009D58BC"/>
    <w:rsid w:val="009D5935"/>
    <w:rsid w:val="009D5B37"/>
    <w:rsid w:val="009D5CDE"/>
    <w:rsid w:val="009D5CE4"/>
    <w:rsid w:val="009D5CF1"/>
    <w:rsid w:val="009D5D04"/>
    <w:rsid w:val="009D5ED5"/>
    <w:rsid w:val="009D5EFF"/>
    <w:rsid w:val="009D604F"/>
    <w:rsid w:val="009D60B2"/>
    <w:rsid w:val="009D62E7"/>
    <w:rsid w:val="009D633C"/>
    <w:rsid w:val="009D644A"/>
    <w:rsid w:val="009D647C"/>
    <w:rsid w:val="009D6532"/>
    <w:rsid w:val="009D66A0"/>
    <w:rsid w:val="009D6821"/>
    <w:rsid w:val="009D6947"/>
    <w:rsid w:val="009D6948"/>
    <w:rsid w:val="009D699F"/>
    <w:rsid w:val="009D69A0"/>
    <w:rsid w:val="009D6A48"/>
    <w:rsid w:val="009D6C2D"/>
    <w:rsid w:val="009D6D2A"/>
    <w:rsid w:val="009D6E29"/>
    <w:rsid w:val="009D71D7"/>
    <w:rsid w:val="009D73A6"/>
    <w:rsid w:val="009D73B6"/>
    <w:rsid w:val="009D7606"/>
    <w:rsid w:val="009D76A7"/>
    <w:rsid w:val="009D777B"/>
    <w:rsid w:val="009D77B5"/>
    <w:rsid w:val="009D77F0"/>
    <w:rsid w:val="009D77F6"/>
    <w:rsid w:val="009D786D"/>
    <w:rsid w:val="009D7A09"/>
    <w:rsid w:val="009D7A62"/>
    <w:rsid w:val="009D7B73"/>
    <w:rsid w:val="009D7BBE"/>
    <w:rsid w:val="009D7BE0"/>
    <w:rsid w:val="009D7C9D"/>
    <w:rsid w:val="009D7EB8"/>
    <w:rsid w:val="009D7ED0"/>
    <w:rsid w:val="009D7EDA"/>
    <w:rsid w:val="009D7EDE"/>
    <w:rsid w:val="009D7F78"/>
    <w:rsid w:val="009D7F94"/>
    <w:rsid w:val="009E0054"/>
    <w:rsid w:val="009E00FF"/>
    <w:rsid w:val="009E0117"/>
    <w:rsid w:val="009E01FD"/>
    <w:rsid w:val="009E0367"/>
    <w:rsid w:val="009E03D3"/>
    <w:rsid w:val="009E04A0"/>
    <w:rsid w:val="009E050F"/>
    <w:rsid w:val="009E0576"/>
    <w:rsid w:val="009E05A7"/>
    <w:rsid w:val="009E05E0"/>
    <w:rsid w:val="009E06DD"/>
    <w:rsid w:val="009E0702"/>
    <w:rsid w:val="009E0712"/>
    <w:rsid w:val="009E0811"/>
    <w:rsid w:val="009E0818"/>
    <w:rsid w:val="009E09D7"/>
    <w:rsid w:val="009E0EBF"/>
    <w:rsid w:val="009E0FCC"/>
    <w:rsid w:val="009E11A2"/>
    <w:rsid w:val="009E11D8"/>
    <w:rsid w:val="009E129C"/>
    <w:rsid w:val="009E131E"/>
    <w:rsid w:val="009E15E2"/>
    <w:rsid w:val="009E1668"/>
    <w:rsid w:val="009E167B"/>
    <w:rsid w:val="009E167D"/>
    <w:rsid w:val="009E184B"/>
    <w:rsid w:val="009E1A0E"/>
    <w:rsid w:val="009E1B55"/>
    <w:rsid w:val="009E1C08"/>
    <w:rsid w:val="009E1C84"/>
    <w:rsid w:val="009E2083"/>
    <w:rsid w:val="009E2128"/>
    <w:rsid w:val="009E21F9"/>
    <w:rsid w:val="009E2220"/>
    <w:rsid w:val="009E2232"/>
    <w:rsid w:val="009E2340"/>
    <w:rsid w:val="009E23A0"/>
    <w:rsid w:val="009E248A"/>
    <w:rsid w:val="009E24C5"/>
    <w:rsid w:val="009E25B7"/>
    <w:rsid w:val="009E28EF"/>
    <w:rsid w:val="009E29EB"/>
    <w:rsid w:val="009E2A26"/>
    <w:rsid w:val="009E2A7C"/>
    <w:rsid w:val="009E2B57"/>
    <w:rsid w:val="009E2BE2"/>
    <w:rsid w:val="009E2C5A"/>
    <w:rsid w:val="009E2D49"/>
    <w:rsid w:val="009E2D7F"/>
    <w:rsid w:val="009E2DA2"/>
    <w:rsid w:val="009E2E0C"/>
    <w:rsid w:val="009E2E52"/>
    <w:rsid w:val="009E2E8C"/>
    <w:rsid w:val="009E2F02"/>
    <w:rsid w:val="009E305F"/>
    <w:rsid w:val="009E30EA"/>
    <w:rsid w:val="009E3198"/>
    <w:rsid w:val="009E3213"/>
    <w:rsid w:val="009E32A8"/>
    <w:rsid w:val="009E3319"/>
    <w:rsid w:val="009E3439"/>
    <w:rsid w:val="009E3530"/>
    <w:rsid w:val="009E356F"/>
    <w:rsid w:val="009E359F"/>
    <w:rsid w:val="009E3764"/>
    <w:rsid w:val="009E3868"/>
    <w:rsid w:val="009E3967"/>
    <w:rsid w:val="009E3A26"/>
    <w:rsid w:val="009E3A51"/>
    <w:rsid w:val="009E3A8C"/>
    <w:rsid w:val="009E3B74"/>
    <w:rsid w:val="009E3BD2"/>
    <w:rsid w:val="009E439F"/>
    <w:rsid w:val="009E440A"/>
    <w:rsid w:val="009E443E"/>
    <w:rsid w:val="009E44E8"/>
    <w:rsid w:val="009E4536"/>
    <w:rsid w:val="009E45D8"/>
    <w:rsid w:val="009E45F2"/>
    <w:rsid w:val="009E4644"/>
    <w:rsid w:val="009E479F"/>
    <w:rsid w:val="009E47AF"/>
    <w:rsid w:val="009E48A4"/>
    <w:rsid w:val="009E4A63"/>
    <w:rsid w:val="009E4A89"/>
    <w:rsid w:val="009E4AA6"/>
    <w:rsid w:val="009E4AE3"/>
    <w:rsid w:val="009E4AF7"/>
    <w:rsid w:val="009E4B13"/>
    <w:rsid w:val="009E4B94"/>
    <w:rsid w:val="009E4C9D"/>
    <w:rsid w:val="009E4D4A"/>
    <w:rsid w:val="009E4E42"/>
    <w:rsid w:val="009E4E68"/>
    <w:rsid w:val="009E505E"/>
    <w:rsid w:val="009E51AA"/>
    <w:rsid w:val="009E51E2"/>
    <w:rsid w:val="009E522A"/>
    <w:rsid w:val="009E52A4"/>
    <w:rsid w:val="009E5334"/>
    <w:rsid w:val="009E53F2"/>
    <w:rsid w:val="009E551A"/>
    <w:rsid w:val="009E560F"/>
    <w:rsid w:val="009E5778"/>
    <w:rsid w:val="009E5909"/>
    <w:rsid w:val="009E5A17"/>
    <w:rsid w:val="009E5A48"/>
    <w:rsid w:val="009E5AD1"/>
    <w:rsid w:val="009E5B52"/>
    <w:rsid w:val="009E5B86"/>
    <w:rsid w:val="009E5CB0"/>
    <w:rsid w:val="009E5D36"/>
    <w:rsid w:val="009E5E19"/>
    <w:rsid w:val="009E5F6A"/>
    <w:rsid w:val="009E5F8E"/>
    <w:rsid w:val="009E5FB8"/>
    <w:rsid w:val="009E5FFA"/>
    <w:rsid w:val="009E60E9"/>
    <w:rsid w:val="009E6185"/>
    <w:rsid w:val="009E6225"/>
    <w:rsid w:val="009E62CA"/>
    <w:rsid w:val="009E6419"/>
    <w:rsid w:val="009E645F"/>
    <w:rsid w:val="009E64BC"/>
    <w:rsid w:val="009E65A2"/>
    <w:rsid w:val="009E65F1"/>
    <w:rsid w:val="009E669F"/>
    <w:rsid w:val="009E66CB"/>
    <w:rsid w:val="009E67A6"/>
    <w:rsid w:val="009E6821"/>
    <w:rsid w:val="009E6841"/>
    <w:rsid w:val="009E6886"/>
    <w:rsid w:val="009E68D0"/>
    <w:rsid w:val="009E690A"/>
    <w:rsid w:val="009E6981"/>
    <w:rsid w:val="009E6A8D"/>
    <w:rsid w:val="009E6AB5"/>
    <w:rsid w:val="009E6C75"/>
    <w:rsid w:val="009E6D4D"/>
    <w:rsid w:val="009E6D8F"/>
    <w:rsid w:val="009E6E62"/>
    <w:rsid w:val="009E6EC6"/>
    <w:rsid w:val="009E6FFB"/>
    <w:rsid w:val="009E7054"/>
    <w:rsid w:val="009E7092"/>
    <w:rsid w:val="009E70FD"/>
    <w:rsid w:val="009E7218"/>
    <w:rsid w:val="009E7796"/>
    <w:rsid w:val="009E784C"/>
    <w:rsid w:val="009E7907"/>
    <w:rsid w:val="009E7998"/>
    <w:rsid w:val="009E7ADB"/>
    <w:rsid w:val="009E7B2A"/>
    <w:rsid w:val="009E7BBE"/>
    <w:rsid w:val="009E7C3A"/>
    <w:rsid w:val="009E7DA0"/>
    <w:rsid w:val="009E7EC7"/>
    <w:rsid w:val="009E7FA2"/>
    <w:rsid w:val="009E7FF9"/>
    <w:rsid w:val="009F026A"/>
    <w:rsid w:val="009F0539"/>
    <w:rsid w:val="009F05A5"/>
    <w:rsid w:val="009F06DB"/>
    <w:rsid w:val="009F0786"/>
    <w:rsid w:val="009F0813"/>
    <w:rsid w:val="009F0BD3"/>
    <w:rsid w:val="009F0CAD"/>
    <w:rsid w:val="009F0ED7"/>
    <w:rsid w:val="009F0F62"/>
    <w:rsid w:val="009F0F9C"/>
    <w:rsid w:val="009F1177"/>
    <w:rsid w:val="009F1192"/>
    <w:rsid w:val="009F1193"/>
    <w:rsid w:val="009F1200"/>
    <w:rsid w:val="009F1273"/>
    <w:rsid w:val="009F137D"/>
    <w:rsid w:val="009F1574"/>
    <w:rsid w:val="009F167F"/>
    <w:rsid w:val="009F17DB"/>
    <w:rsid w:val="009F188B"/>
    <w:rsid w:val="009F190B"/>
    <w:rsid w:val="009F196A"/>
    <w:rsid w:val="009F19D0"/>
    <w:rsid w:val="009F1A64"/>
    <w:rsid w:val="009F1AED"/>
    <w:rsid w:val="009F1C49"/>
    <w:rsid w:val="009F1C56"/>
    <w:rsid w:val="009F1D7D"/>
    <w:rsid w:val="009F1E76"/>
    <w:rsid w:val="009F225B"/>
    <w:rsid w:val="009F2374"/>
    <w:rsid w:val="009F241A"/>
    <w:rsid w:val="009F2540"/>
    <w:rsid w:val="009F25CA"/>
    <w:rsid w:val="009F2749"/>
    <w:rsid w:val="009F27B6"/>
    <w:rsid w:val="009F27CC"/>
    <w:rsid w:val="009F284D"/>
    <w:rsid w:val="009F28C1"/>
    <w:rsid w:val="009F29DA"/>
    <w:rsid w:val="009F2A7C"/>
    <w:rsid w:val="009F2ADA"/>
    <w:rsid w:val="009F2B2A"/>
    <w:rsid w:val="009F2C1E"/>
    <w:rsid w:val="009F2C4C"/>
    <w:rsid w:val="009F2D23"/>
    <w:rsid w:val="009F2DB8"/>
    <w:rsid w:val="009F2E2F"/>
    <w:rsid w:val="009F2EC3"/>
    <w:rsid w:val="009F2F8E"/>
    <w:rsid w:val="009F2FC8"/>
    <w:rsid w:val="009F2FCC"/>
    <w:rsid w:val="009F30A9"/>
    <w:rsid w:val="009F32B7"/>
    <w:rsid w:val="009F348B"/>
    <w:rsid w:val="009F3571"/>
    <w:rsid w:val="009F3579"/>
    <w:rsid w:val="009F3630"/>
    <w:rsid w:val="009F3681"/>
    <w:rsid w:val="009F37B8"/>
    <w:rsid w:val="009F3A9D"/>
    <w:rsid w:val="009F3BC5"/>
    <w:rsid w:val="009F3BFE"/>
    <w:rsid w:val="009F3EC8"/>
    <w:rsid w:val="009F3F58"/>
    <w:rsid w:val="009F3FF9"/>
    <w:rsid w:val="009F4067"/>
    <w:rsid w:val="009F4090"/>
    <w:rsid w:val="009F40B3"/>
    <w:rsid w:val="009F422F"/>
    <w:rsid w:val="009F42DC"/>
    <w:rsid w:val="009F430D"/>
    <w:rsid w:val="009F43FB"/>
    <w:rsid w:val="009F446B"/>
    <w:rsid w:val="009F4554"/>
    <w:rsid w:val="009F4574"/>
    <w:rsid w:val="009F4615"/>
    <w:rsid w:val="009F462C"/>
    <w:rsid w:val="009F4800"/>
    <w:rsid w:val="009F48ED"/>
    <w:rsid w:val="009F4929"/>
    <w:rsid w:val="009F4944"/>
    <w:rsid w:val="009F4949"/>
    <w:rsid w:val="009F4A6A"/>
    <w:rsid w:val="009F4ABD"/>
    <w:rsid w:val="009F4B93"/>
    <w:rsid w:val="009F4C79"/>
    <w:rsid w:val="009F4E69"/>
    <w:rsid w:val="009F4ECB"/>
    <w:rsid w:val="009F4EE8"/>
    <w:rsid w:val="009F4F9B"/>
    <w:rsid w:val="009F5048"/>
    <w:rsid w:val="009F507A"/>
    <w:rsid w:val="009F5101"/>
    <w:rsid w:val="009F529A"/>
    <w:rsid w:val="009F52B7"/>
    <w:rsid w:val="009F52DB"/>
    <w:rsid w:val="009F54A4"/>
    <w:rsid w:val="009F54AE"/>
    <w:rsid w:val="009F55F2"/>
    <w:rsid w:val="009F5630"/>
    <w:rsid w:val="009F56C8"/>
    <w:rsid w:val="009F56F0"/>
    <w:rsid w:val="009F56F8"/>
    <w:rsid w:val="009F570F"/>
    <w:rsid w:val="009F5852"/>
    <w:rsid w:val="009F59E1"/>
    <w:rsid w:val="009F5A24"/>
    <w:rsid w:val="009F5AE4"/>
    <w:rsid w:val="009F5AEF"/>
    <w:rsid w:val="009F5B7C"/>
    <w:rsid w:val="009F5B8B"/>
    <w:rsid w:val="009F5D2C"/>
    <w:rsid w:val="009F5DEC"/>
    <w:rsid w:val="009F6212"/>
    <w:rsid w:val="009F622D"/>
    <w:rsid w:val="009F627F"/>
    <w:rsid w:val="009F646E"/>
    <w:rsid w:val="009F64AA"/>
    <w:rsid w:val="009F64B2"/>
    <w:rsid w:val="009F6556"/>
    <w:rsid w:val="009F6569"/>
    <w:rsid w:val="009F65F7"/>
    <w:rsid w:val="009F6626"/>
    <w:rsid w:val="009F66CE"/>
    <w:rsid w:val="009F674C"/>
    <w:rsid w:val="009F6759"/>
    <w:rsid w:val="009F6778"/>
    <w:rsid w:val="009F685C"/>
    <w:rsid w:val="009F6947"/>
    <w:rsid w:val="009F6C82"/>
    <w:rsid w:val="009F6CB4"/>
    <w:rsid w:val="009F6D3F"/>
    <w:rsid w:val="009F6E55"/>
    <w:rsid w:val="009F6E64"/>
    <w:rsid w:val="009F6E7A"/>
    <w:rsid w:val="009F6F97"/>
    <w:rsid w:val="009F700B"/>
    <w:rsid w:val="009F7088"/>
    <w:rsid w:val="009F7367"/>
    <w:rsid w:val="009F7488"/>
    <w:rsid w:val="009F7520"/>
    <w:rsid w:val="009F758D"/>
    <w:rsid w:val="009F75EE"/>
    <w:rsid w:val="009F7695"/>
    <w:rsid w:val="009F7784"/>
    <w:rsid w:val="009F779C"/>
    <w:rsid w:val="009F78EF"/>
    <w:rsid w:val="009F795E"/>
    <w:rsid w:val="009F79C9"/>
    <w:rsid w:val="009F7AAB"/>
    <w:rsid w:val="009F7B61"/>
    <w:rsid w:val="009F7B69"/>
    <w:rsid w:val="009F7D0B"/>
    <w:rsid w:val="009F7E0C"/>
    <w:rsid w:val="00A00065"/>
    <w:rsid w:val="00A0017C"/>
    <w:rsid w:val="00A0018E"/>
    <w:rsid w:val="00A00262"/>
    <w:rsid w:val="00A00337"/>
    <w:rsid w:val="00A0033D"/>
    <w:rsid w:val="00A0042A"/>
    <w:rsid w:val="00A0050F"/>
    <w:rsid w:val="00A00541"/>
    <w:rsid w:val="00A0056A"/>
    <w:rsid w:val="00A00A97"/>
    <w:rsid w:val="00A00C0B"/>
    <w:rsid w:val="00A00D07"/>
    <w:rsid w:val="00A00DD9"/>
    <w:rsid w:val="00A00DDB"/>
    <w:rsid w:val="00A00E54"/>
    <w:rsid w:val="00A00E7F"/>
    <w:rsid w:val="00A00EEA"/>
    <w:rsid w:val="00A00FF2"/>
    <w:rsid w:val="00A01159"/>
    <w:rsid w:val="00A01179"/>
    <w:rsid w:val="00A0129F"/>
    <w:rsid w:val="00A014FF"/>
    <w:rsid w:val="00A01534"/>
    <w:rsid w:val="00A01591"/>
    <w:rsid w:val="00A016C0"/>
    <w:rsid w:val="00A0172C"/>
    <w:rsid w:val="00A01730"/>
    <w:rsid w:val="00A017E8"/>
    <w:rsid w:val="00A018F2"/>
    <w:rsid w:val="00A01919"/>
    <w:rsid w:val="00A0195C"/>
    <w:rsid w:val="00A0198C"/>
    <w:rsid w:val="00A01A10"/>
    <w:rsid w:val="00A01A20"/>
    <w:rsid w:val="00A01A24"/>
    <w:rsid w:val="00A01A9D"/>
    <w:rsid w:val="00A01B4B"/>
    <w:rsid w:val="00A01BB4"/>
    <w:rsid w:val="00A01CC9"/>
    <w:rsid w:val="00A01CDC"/>
    <w:rsid w:val="00A01D76"/>
    <w:rsid w:val="00A01DC5"/>
    <w:rsid w:val="00A01E59"/>
    <w:rsid w:val="00A01E62"/>
    <w:rsid w:val="00A01F68"/>
    <w:rsid w:val="00A01FB9"/>
    <w:rsid w:val="00A0203C"/>
    <w:rsid w:val="00A020A3"/>
    <w:rsid w:val="00A0212C"/>
    <w:rsid w:val="00A02486"/>
    <w:rsid w:val="00A0259D"/>
    <w:rsid w:val="00A0289D"/>
    <w:rsid w:val="00A02941"/>
    <w:rsid w:val="00A0294D"/>
    <w:rsid w:val="00A02962"/>
    <w:rsid w:val="00A02976"/>
    <w:rsid w:val="00A02BB9"/>
    <w:rsid w:val="00A02BDB"/>
    <w:rsid w:val="00A02C3C"/>
    <w:rsid w:val="00A02CED"/>
    <w:rsid w:val="00A02D21"/>
    <w:rsid w:val="00A02E4B"/>
    <w:rsid w:val="00A02FD7"/>
    <w:rsid w:val="00A03120"/>
    <w:rsid w:val="00A03368"/>
    <w:rsid w:val="00A0338C"/>
    <w:rsid w:val="00A03408"/>
    <w:rsid w:val="00A034D2"/>
    <w:rsid w:val="00A03618"/>
    <w:rsid w:val="00A0362C"/>
    <w:rsid w:val="00A03789"/>
    <w:rsid w:val="00A0387D"/>
    <w:rsid w:val="00A0388F"/>
    <w:rsid w:val="00A03970"/>
    <w:rsid w:val="00A0398B"/>
    <w:rsid w:val="00A039D8"/>
    <w:rsid w:val="00A03CAB"/>
    <w:rsid w:val="00A03DFE"/>
    <w:rsid w:val="00A03E40"/>
    <w:rsid w:val="00A03E60"/>
    <w:rsid w:val="00A03E88"/>
    <w:rsid w:val="00A03F05"/>
    <w:rsid w:val="00A04124"/>
    <w:rsid w:val="00A041E0"/>
    <w:rsid w:val="00A0428F"/>
    <w:rsid w:val="00A0446F"/>
    <w:rsid w:val="00A0449C"/>
    <w:rsid w:val="00A0451F"/>
    <w:rsid w:val="00A047A0"/>
    <w:rsid w:val="00A04855"/>
    <w:rsid w:val="00A04876"/>
    <w:rsid w:val="00A04A36"/>
    <w:rsid w:val="00A04A6A"/>
    <w:rsid w:val="00A04AA4"/>
    <w:rsid w:val="00A04B06"/>
    <w:rsid w:val="00A04B7C"/>
    <w:rsid w:val="00A04BB2"/>
    <w:rsid w:val="00A04EEA"/>
    <w:rsid w:val="00A04F39"/>
    <w:rsid w:val="00A04F8C"/>
    <w:rsid w:val="00A04FBD"/>
    <w:rsid w:val="00A04FCB"/>
    <w:rsid w:val="00A04FF8"/>
    <w:rsid w:val="00A05095"/>
    <w:rsid w:val="00A050F9"/>
    <w:rsid w:val="00A05112"/>
    <w:rsid w:val="00A0519A"/>
    <w:rsid w:val="00A051C9"/>
    <w:rsid w:val="00A0523B"/>
    <w:rsid w:val="00A0529C"/>
    <w:rsid w:val="00A052FB"/>
    <w:rsid w:val="00A05323"/>
    <w:rsid w:val="00A05436"/>
    <w:rsid w:val="00A054A9"/>
    <w:rsid w:val="00A05531"/>
    <w:rsid w:val="00A0556F"/>
    <w:rsid w:val="00A05582"/>
    <w:rsid w:val="00A0564D"/>
    <w:rsid w:val="00A0582C"/>
    <w:rsid w:val="00A0590E"/>
    <w:rsid w:val="00A05A4E"/>
    <w:rsid w:val="00A05B69"/>
    <w:rsid w:val="00A05D5B"/>
    <w:rsid w:val="00A05D6C"/>
    <w:rsid w:val="00A05DFB"/>
    <w:rsid w:val="00A05EF8"/>
    <w:rsid w:val="00A05F1A"/>
    <w:rsid w:val="00A05F44"/>
    <w:rsid w:val="00A061C8"/>
    <w:rsid w:val="00A06331"/>
    <w:rsid w:val="00A06363"/>
    <w:rsid w:val="00A0647F"/>
    <w:rsid w:val="00A064B9"/>
    <w:rsid w:val="00A06576"/>
    <w:rsid w:val="00A06770"/>
    <w:rsid w:val="00A067DA"/>
    <w:rsid w:val="00A06863"/>
    <w:rsid w:val="00A06898"/>
    <w:rsid w:val="00A069F1"/>
    <w:rsid w:val="00A06BD2"/>
    <w:rsid w:val="00A06BF6"/>
    <w:rsid w:val="00A06C43"/>
    <w:rsid w:val="00A06C9E"/>
    <w:rsid w:val="00A06D85"/>
    <w:rsid w:val="00A06E67"/>
    <w:rsid w:val="00A06E90"/>
    <w:rsid w:val="00A072AF"/>
    <w:rsid w:val="00A07358"/>
    <w:rsid w:val="00A07382"/>
    <w:rsid w:val="00A0760C"/>
    <w:rsid w:val="00A0763A"/>
    <w:rsid w:val="00A0773F"/>
    <w:rsid w:val="00A07781"/>
    <w:rsid w:val="00A077BF"/>
    <w:rsid w:val="00A077D6"/>
    <w:rsid w:val="00A07818"/>
    <w:rsid w:val="00A0793B"/>
    <w:rsid w:val="00A07984"/>
    <w:rsid w:val="00A07A08"/>
    <w:rsid w:val="00A07ACA"/>
    <w:rsid w:val="00A07B23"/>
    <w:rsid w:val="00A07B72"/>
    <w:rsid w:val="00A07BF7"/>
    <w:rsid w:val="00A07CD8"/>
    <w:rsid w:val="00A07DAF"/>
    <w:rsid w:val="00A07ECB"/>
    <w:rsid w:val="00A10116"/>
    <w:rsid w:val="00A10120"/>
    <w:rsid w:val="00A10151"/>
    <w:rsid w:val="00A10163"/>
    <w:rsid w:val="00A10234"/>
    <w:rsid w:val="00A10299"/>
    <w:rsid w:val="00A10386"/>
    <w:rsid w:val="00A1058A"/>
    <w:rsid w:val="00A1061E"/>
    <w:rsid w:val="00A1078A"/>
    <w:rsid w:val="00A10859"/>
    <w:rsid w:val="00A108A9"/>
    <w:rsid w:val="00A10924"/>
    <w:rsid w:val="00A10997"/>
    <w:rsid w:val="00A10A2F"/>
    <w:rsid w:val="00A10A3F"/>
    <w:rsid w:val="00A10A42"/>
    <w:rsid w:val="00A10B0B"/>
    <w:rsid w:val="00A10C34"/>
    <w:rsid w:val="00A10C58"/>
    <w:rsid w:val="00A10D0B"/>
    <w:rsid w:val="00A10DFB"/>
    <w:rsid w:val="00A10F36"/>
    <w:rsid w:val="00A11030"/>
    <w:rsid w:val="00A11121"/>
    <w:rsid w:val="00A1117F"/>
    <w:rsid w:val="00A11184"/>
    <w:rsid w:val="00A11288"/>
    <w:rsid w:val="00A112CA"/>
    <w:rsid w:val="00A11416"/>
    <w:rsid w:val="00A11771"/>
    <w:rsid w:val="00A117F9"/>
    <w:rsid w:val="00A1181C"/>
    <w:rsid w:val="00A1195E"/>
    <w:rsid w:val="00A119F9"/>
    <w:rsid w:val="00A11A2F"/>
    <w:rsid w:val="00A11A50"/>
    <w:rsid w:val="00A11B6F"/>
    <w:rsid w:val="00A11C7A"/>
    <w:rsid w:val="00A11D11"/>
    <w:rsid w:val="00A11D41"/>
    <w:rsid w:val="00A11D76"/>
    <w:rsid w:val="00A11D93"/>
    <w:rsid w:val="00A11FC2"/>
    <w:rsid w:val="00A120F5"/>
    <w:rsid w:val="00A1214F"/>
    <w:rsid w:val="00A121CF"/>
    <w:rsid w:val="00A12237"/>
    <w:rsid w:val="00A12301"/>
    <w:rsid w:val="00A123E7"/>
    <w:rsid w:val="00A12506"/>
    <w:rsid w:val="00A1250D"/>
    <w:rsid w:val="00A1255D"/>
    <w:rsid w:val="00A12564"/>
    <w:rsid w:val="00A12567"/>
    <w:rsid w:val="00A1258F"/>
    <w:rsid w:val="00A12604"/>
    <w:rsid w:val="00A126B3"/>
    <w:rsid w:val="00A127C2"/>
    <w:rsid w:val="00A12977"/>
    <w:rsid w:val="00A129DB"/>
    <w:rsid w:val="00A12A64"/>
    <w:rsid w:val="00A12B7A"/>
    <w:rsid w:val="00A12B87"/>
    <w:rsid w:val="00A12D83"/>
    <w:rsid w:val="00A12EC7"/>
    <w:rsid w:val="00A12F3C"/>
    <w:rsid w:val="00A12F8F"/>
    <w:rsid w:val="00A12FC2"/>
    <w:rsid w:val="00A130D3"/>
    <w:rsid w:val="00A13126"/>
    <w:rsid w:val="00A134FE"/>
    <w:rsid w:val="00A13582"/>
    <w:rsid w:val="00A1367A"/>
    <w:rsid w:val="00A13922"/>
    <w:rsid w:val="00A13A26"/>
    <w:rsid w:val="00A13AB8"/>
    <w:rsid w:val="00A13AEF"/>
    <w:rsid w:val="00A13B05"/>
    <w:rsid w:val="00A13B74"/>
    <w:rsid w:val="00A13C7C"/>
    <w:rsid w:val="00A13D1A"/>
    <w:rsid w:val="00A13DDD"/>
    <w:rsid w:val="00A13F1D"/>
    <w:rsid w:val="00A1401C"/>
    <w:rsid w:val="00A14069"/>
    <w:rsid w:val="00A1417E"/>
    <w:rsid w:val="00A14303"/>
    <w:rsid w:val="00A1455B"/>
    <w:rsid w:val="00A14638"/>
    <w:rsid w:val="00A14707"/>
    <w:rsid w:val="00A1478D"/>
    <w:rsid w:val="00A14987"/>
    <w:rsid w:val="00A14A6F"/>
    <w:rsid w:val="00A14B2B"/>
    <w:rsid w:val="00A14C50"/>
    <w:rsid w:val="00A14C80"/>
    <w:rsid w:val="00A14E33"/>
    <w:rsid w:val="00A1505C"/>
    <w:rsid w:val="00A1517E"/>
    <w:rsid w:val="00A15365"/>
    <w:rsid w:val="00A154E1"/>
    <w:rsid w:val="00A1553E"/>
    <w:rsid w:val="00A1562D"/>
    <w:rsid w:val="00A15630"/>
    <w:rsid w:val="00A158DF"/>
    <w:rsid w:val="00A15939"/>
    <w:rsid w:val="00A15AB4"/>
    <w:rsid w:val="00A15B1C"/>
    <w:rsid w:val="00A15B30"/>
    <w:rsid w:val="00A15BE1"/>
    <w:rsid w:val="00A15C00"/>
    <w:rsid w:val="00A15CAA"/>
    <w:rsid w:val="00A15D23"/>
    <w:rsid w:val="00A15E0C"/>
    <w:rsid w:val="00A15EE2"/>
    <w:rsid w:val="00A1617F"/>
    <w:rsid w:val="00A1619F"/>
    <w:rsid w:val="00A161F0"/>
    <w:rsid w:val="00A16251"/>
    <w:rsid w:val="00A162E1"/>
    <w:rsid w:val="00A16374"/>
    <w:rsid w:val="00A1638F"/>
    <w:rsid w:val="00A1639B"/>
    <w:rsid w:val="00A1645F"/>
    <w:rsid w:val="00A16620"/>
    <w:rsid w:val="00A167BF"/>
    <w:rsid w:val="00A1689A"/>
    <w:rsid w:val="00A16935"/>
    <w:rsid w:val="00A16945"/>
    <w:rsid w:val="00A16A49"/>
    <w:rsid w:val="00A16BCD"/>
    <w:rsid w:val="00A16D15"/>
    <w:rsid w:val="00A16E05"/>
    <w:rsid w:val="00A16E2A"/>
    <w:rsid w:val="00A16E56"/>
    <w:rsid w:val="00A16F91"/>
    <w:rsid w:val="00A16FD5"/>
    <w:rsid w:val="00A17009"/>
    <w:rsid w:val="00A170B9"/>
    <w:rsid w:val="00A170F3"/>
    <w:rsid w:val="00A171EC"/>
    <w:rsid w:val="00A17233"/>
    <w:rsid w:val="00A172B7"/>
    <w:rsid w:val="00A172DD"/>
    <w:rsid w:val="00A173EF"/>
    <w:rsid w:val="00A17430"/>
    <w:rsid w:val="00A17448"/>
    <w:rsid w:val="00A174E7"/>
    <w:rsid w:val="00A17526"/>
    <w:rsid w:val="00A1765E"/>
    <w:rsid w:val="00A17745"/>
    <w:rsid w:val="00A17965"/>
    <w:rsid w:val="00A1797B"/>
    <w:rsid w:val="00A17AF8"/>
    <w:rsid w:val="00A17BBB"/>
    <w:rsid w:val="00A17BDD"/>
    <w:rsid w:val="00A17C0F"/>
    <w:rsid w:val="00A17CC2"/>
    <w:rsid w:val="00A17CCE"/>
    <w:rsid w:val="00A17CEE"/>
    <w:rsid w:val="00A17E36"/>
    <w:rsid w:val="00A20077"/>
    <w:rsid w:val="00A200DF"/>
    <w:rsid w:val="00A20160"/>
    <w:rsid w:val="00A2019F"/>
    <w:rsid w:val="00A20230"/>
    <w:rsid w:val="00A20391"/>
    <w:rsid w:val="00A203C4"/>
    <w:rsid w:val="00A204EF"/>
    <w:rsid w:val="00A20514"/>
    <w:rsid w:val="00A2053C"/>
    <w:rsid w:val="00A2055B"/>
    <w:rsid w:val="00A20640"/>
    <w:rsid w:val="00A207C2"/>
    <w:rsid w:val="00A20881"/>
    <w:rsid w:val="00A20967"/>
    <w:rsid w:val="00A209F6"/>
    <w:rsid w:val="00A20D58"/>
    <w:rsid w:val="00A20F3C"/>
    <w:rsid w:val="00A20F73"/>
    <w:rsid w:val="00A21000"/>
    <w:rsid w:val="00A2106C"/>
    <w:rsid w:val="00A21243"/>
    <w:rsid w:val="00A2141E"/>
    <w:rsid w:val="00A2145D"/>
    <w:rsid w:val="00A215F6"/>
    <w:rsid w:val="00A21681"/>
    <w:rsid w:val="00A2172A"/>
    <w:rsid w:val="00A21764"/>
    <w:rsid w:val="00A2194F"/>
    <w:rsid w:val="00A21A7D"/>
    <w:rsid w:val="00A21B88"/>
    <w:rsid w:val="00A21BBD"/>
    <w:rsid w:val="00A21C34"/>
    <w:rsid w:val="00A21D11"/>
    <w:rsid w:val="00A21D7A"/>
    <w:rsid w:val="00A21DCE"/>
    <w:rsid w:val="00A21DF8"/>
    <w:rsid w:val="00A21EA4"/>
    <w:rsid w:val="00A21EFF"/>
    <w:rsid w:val="00A220C2"/>
    <w:rsid w:val="00A2210C"/>
    <w:rsid w:val="00A222D8"/>
    <w:rsid w:val="00A22369"/>
    <w:rsid w:val="00A2238E"/>
    <w:rsid w:val="00A2249F"/>
    <w:rsid w:val="00A228CD"/>
    <w:rsid w:val="00A229E3"/>
    <w:rsid w:val="00A22B52"/>
    <w:rsid w:val="00A22D3F"/>
    <w:rsid w:val="00A23057"/>
    <w:rsid w:val="00A2305A"/>
    <w:rsid w:val="00A2318D"/>
    <w:rsid w:val="00A2318F"/>
    <w:rsid w:val="00A23206"/>
    <w:rsid w:val="00A23333"/>
    <w:rsid w:val="00A23368"/>
    <w:rsid w:val="00A23379"/>
    <w:rsid w:val="00A23442"/>
    <w:rsid w:val="00A23533"/>
    <w:rsid w:val="00A23606"/>
    <w:rsid w:val="00A2372B"/>
    <w:rsid w:val="00A2375B"/>
    <w:rsid w:val="00A2375D"/>
    <w:rsid w:val="00A237E1"/>
    <w:rsid w:val="00A23A18"/>
    <w:rsid w:val="00A23A4D"/>
    <w:rsid w:val="00A23B47"/>
    <w:rsid w:val="00A23B49"/>
    <w:rsid w:val="00A23BBB"/>
    <w:rsid w:val="00A23C04"/>
    <w:rsid w:val="00A23C25"/>
    <w:rsid w:val="00A23CAF"/>
    <w:rsid w:val="00A23CDB"/>
    <w:rsid w:val="00A23EF5"/>
    <w:rsid w:val="00A2401F"/>
    <w:rsid w:val="00A240AF"/>
    <w:rsid w:val="00A241A9"/>
    <w:rsid w:val="00A24208"/>
    <w:rsid w:val="00A242EA"/>
    <w:rsid w:val="00A243E3"/>
    <w:rsid w:val="00A2450A"/>
    <w:rsid w:val="00A245CA"/>
    <w:rsid w:val="00A24859"/>
    <w:rsid w:val="00A249F3"/>
    <w:rsid w:val="00A24BAA"/>
    <w:rsid w:val="00A24BC2"/>
    <w:rsid w:val="00A24BE2"/>
    <w:rsid w:val="00A24CC2"/>
    <w:rsid w:val="00A24D2E"/>
    <w:rsid w:val="00A251AE"/>
    <w:rsid w:val="00A251E7"/>
    <w:rsid w:val="00A25249"/>
    <w:rsid w:val="00A2537D"/>
    <w:rsid w:val="00A25395"/>
    <w:rsid w:val="00A253CA"/>
    <w:rsid w:val="00A2543A"/>
    <w:rsid w:val="00A25583"/>
    <w:rsid w:val="00A255D8"/>
    <w:rsid w:val="00A255F8"/>
    <w:rsid w:val="00A25604"/>
    <w:rsid w:val="00A2592E"/>
    <w:rsid w:val="00A25A0F"/>
    <w:rsid w:val="00A25ABA"/>
    <w:rsid w:val="00A25B16"/>
    <w:rsid w:val="00A25CC4"/>
    <w:rsid w:val="00A25D8F"/>
    <w:rsid w:val="00A25E9E"/>
    <w:rsid w:val="00A25EA0"/>
    <w:rsid w:val="00A25F7A"/>
    <w:rsid w:val="00A25F9F"/>
    <w:rsid w:val="00A2608A"/>
    <w:rsid w:val="00A260BA"/>
    <w:rsid w:val="00A26189"/>
    <w:rsid w:val="00A261D6"/>
    <w:rsid w:val="00A262CC"/>
    <w:rsid w:val="00A26699"/>
    <w:rsid w:val="00A266F4"/>
    <w:rsid w:val="00A2670F"/>
    <w:rsid w:val="00A267C1"/>
    <w:rsid w:val="00A2683D"/>
    <w:rsid w:val="00A26859"/>
    <w:rsid w:val="00A26951"/>
    <w:rsid w:val="00A26B6E"/>
    <w:rsid w:val="00A26CDB"/>
    <w:rsid w:val="00A26D14"/>
    <w:rsid w:val="00A26FE6"/>
    <w:rsid w:val="00A2708A"/>
    <w:rsid w:val="00A27362"/>
    <w:rsid w:val="00A2736C"/>
    <w:rsid w:val="00A27378"/>
    <w:rsid w:val="00A27520"/>
    <w:rsid w:val="00A27584"/>
    <w:rsid w:val="00A276D6"/>
    <w:rsid w:val="00A27777"/>
    <w:rsid w:val="00A277E6"/>
    <w:rsid w:val="00A2786E"/>
    <w:rsid w:val="00A27910"/>
    <w:rsid w:val="00A2792C"/>
    <w:rsid w:val="00A27972"/>
    <w:rsid w:val="00A27977"/>
    <w:rsid w:val="00A279D3"/>
    <w:rsid w:val="00A279F1"/>
    <w:rsid w:val="00A27A51"/>
    <w:rsid w:val="00A27BE0"/>
    <w:rsid w:val="00A27BEB"/>
    <w:rsid w:val="00A27CF2"/>
    <w:rsid w:val="00A27D67"/>
    <w:rsid w:val="00A27E07"/>
    <w:rsid w:val="00A27F6F"/>
    <w:rsid w:val="00A27FC4"/>
    <w:rsid w:val="00A30000"/>
    <w:rsid w:val="00A30010"/>
    <w:rsid w:val="00A3002D"/>
    <w:rsid w:val="00A300E4"/>
    <w:rsid w:val="00A3018D"/>
    <w:rsid w:val="00A302B9"/>
    <w:rsid w:val="00A30448"/>
    <w:rsid w:val="00A304FE"/>
    <w:rsid w:val="00A30689"/>
    <w:rsid w:val="00A30806"/>
    <w:rsid w:val="00A30815"/>
    <w:rsid w:val="00A3095A"/>
    <w:rsid w:val="00A309C5"/>
    <w:rsid w:val="00A30A6A"/>
    <w:rsid w:val="00A30AB0"/>
    <w:rsid w:val="00A30B04"/>
    <w:rsid w:val="00A30B31"/>
    <w:rsid w:val="00A30B8D"/>
    <w:rsid w:val="00A30C2A"/>
    <w:rsid w:val="00A30C81"/>
    <w:rsid w:val="00A30D54"/>
    <w:rsid w:val="00A30DDB"/>
    <w:rsid w:val="00A30EF5"/>
    <w:rsid w:val="00A30F35"/>
    <w:rsid w:val="00A30F37"/>
    <w:rsid w:val="00A310E6"/>
    <w:rsid w:val="00A31174"/>
    <w:rsid w:val="00A31358"/>
    <w:rsid w:val="00A3147C"/>
    <w:rsid w:val="00A31588"/>
    <w:rsid w:val="00A3163E"/>
    <w:rsid w:val="00A316AC"/>
    <w:rsid w:val="00A31A56"/>
    <w:rsid w:val="00A31A97"/>
    <w:rsid w:val="00A31C5D"/>
    <w:rsid w:val="00A31CD4"/>
    <w:rsid w:val="00A31CEB"/>
    <w:rsid w:val="00A31D4D"/>
    <w:rsid w:val="00A31EA9"/>
    <w:rsid w:val="00A32249"/>
    <w:rsid w:val="00A3225D"/>
    <w:rsid w:val="00A3227A"/>
    <w:rsid w:val="00A322CE"/>
    <w:rsid w:val="00A322EE"/>
    <w:rsid w:val="00A32471"/>
    <w:rsid w:val="00A32481"/>
    <w:rsid w:val="00A32561"/>
    <w:rsid w:val="00A32781"/>
    <w:rsid w:val="00A327BE"/>
    <w:rsid w:val="00A3283D"/>
    <w:rsid w:val="00A328F7"/>
    <w:rsid w:val="00A32ADA"/>
    <w:rsid w:val="00A32B64"/>
    <w:rsid w:val="00A32C67"/>
    <w:rsid w:val="00A32C93"/>
    <w:rsid w:val="00A32CDB"/>
    <w:rsid w:val="00A32D8B"/>
    <w:rsid w:val="00A32E66"/>
    <w:rsid w:val="00A32E82"/>
    <w:rsid w:val="00A32E95"/>
    <w:rsid w:val="00A32EA8"/>
    <w:rsid w:val="00A32FC3"/>
    <w:rsid w:val="00A330A6"/>
    <w:rsid w:val="00A33100"/>
    <w:rsid w:val="00A331E4"/>
    <w:rsid w:val="00A33210"/>
    <w:rsid w:val="00A33298"/>
    <w:rsid w:val="00A333B7"/>
    <w:rsid w:val="00A334EB"/>
    <w:rsid w:val="00A33635"/>
    <w:rsid w:val="00A33736"/>
    <w:rsid w:val="00A3385E"/>
    <w:rsid w:val="00A338A6"/>
    <w:rsid w:val="00A338E7"/>
    <w:rsid w:val="00A33999"/>
    <w:rsid w:val="00A339A0"/>
    <w:rsid w:val="00A33A18"/>
    <w:rsid w:val="00A33A8E"/>
    <w:rsid w:val="00A33B51"/>
    <w:rsid w:val="00A33B52"/>
    <w:rsid w:val="00A33BD0"/>
    <w:rsid w:val="00A33C8B"/>
    <w:rsid w:val="00A33D40"/>
    <w:rsid w:val="00A33D90"/>
    <w:rsid w:val="00A33DE9"/>
    <w:rsid w:val="00A33E50"/>
    <w:rsid w:val="00A3408A"/>
    <w:rsid w:val="00A341B0"/>
    <w:rsid w:val="00A3420E"/>
    <w:rsid w:val="00A3424F"/>
    <w:rsid w:val="00A34290"/>
    <w:rsid w:val="00A3433D"/>
    <w:rsid w:val="00A34400"/>
    <w:rsid w:val="00A3445D"/>
    <w:rsid w:val="00A344D3"/>
    <w:rsid w:val="00A34578"/>
    <w:rsid w:val="00A3459D"/>
    <w:rsid w:val="00A345CF"/>
    <w:rsid w:val="00A34649"/>
    <w:rsid w:val="00A346CD"/>
    <w:rsid w:val="00A346E9"/>
    <w:rsid w:val="00A34702"/>
    <w:rsid w:val="00A3482E"/>
    <w:rsid w:val="00A34854"/>
    <w:rsid w:val="00A34951"/>
    <w:rsid w:val="00A349BE"/>
    <w:rsid w:val="00A34DB1"/>
    <w:rsid w:val="00A34E50"/>
    <w:rsid w:val="00A34ECE"/>
    <w:rsid w:val="00A34FC5"/>
    <w:rsid w:val="00A34FDC"/>
    <w:rsid w:val="00A34FDD"/>
    <w:rsid w:val="00A351C9"/>
    <w:rsid w:val="00A351D0"/>
    <w:rsid w:val="00A351E7"/>
    <w:rsid w:val="00A35271"/>
    <w:rsid w:val="00A352B7"/>
    <w:rsid w:val="00A352C8"/>
    <w:rsid w:val="00A352E3"/>
    <w:rsid w:val="00A35380"/>
    <w:rsid w:val="00A353C5"/>
    <w:rsid w:val="00A35580"/>
    <w:rsid w:val="00A3559C"/>
    <w:rsid w:val="00A35712"/>
    <w:rsid w:val="00A3581C"/>
    <w:rsid w:val="00A358B9"/>
    <w:rsid w:val="00A358ED"/>
    <w:rsid w:val="00A359C4"/>
    <w:rsid w:val="00A35A19"/>
    <w:rsid w:val="00A35A49"/>
    <w:rsid w:val="00A35BB5"/>
    <w:rsid w:val="00A35CA4"/>
    <w:rsid w:val="00A35CB5"/>
    <w:rsid w:val="00A35DB1"/>
    <w:rsid w:val="00A35DEC"/>
    <w:rsid w:val="00A35E7D"/>
    <w:rsid w:val="00A35F06"/>
    <w:rsid w:val="00A35F7B"/>
    <w:rsid w:val="00A360C5"/>
    <w:rsid w:val="00A3614A"/>
    <w:rsid w:val="00A36285"/>
    <w:rsid w:val="00A36317"/>
    <w:rsid w:val="00A36338"/>
    <w:rsid w:val="00A36389"/>
    <w:rsid w:val="00A3639D"/>
    <w:rsid w:val="00A363D5"/>
    <w:rsid w:val="00A36496"/>
    <w:rsid w:val="00A36596"/>
    <w:rsid w:val="00A3661B"/>
    <w:rsid w:val="00A367B2"/>
    <w:rsid w:val="00A368D3"/>
    <w:rsid w:val="00A369A3"/>
    <w:rsid w:val="00A36B15"/>
    <w:rsid w:val="00A36BF4"/>
    <w:rsid w:val="00A36C09"/>
    <w:rsid w:val="00A36CBE"/>
    <w:rsid w:val="00A36D69"/>
    <w:rsid w:val="00A36E18"/>
    <w:rsid w:val="00A371AE"/>
    <w:rsid w:val="00A371C1"/>
    <w:rsid w:val="00A37428"/>
    <w:rsid w:val="00A375C4"/>
    <w:rsid w:val="00A378E3"/>
    <w:rsid w:val="00A37900"/>
    <w:rsid w:val="00A379C2"/>
    <w:rsid w:val="00A37B19"/>
    <w:rsid w:val="00A37B2C"/>
    <w:rsid w:val="00A37B6C"/>
    <w:rsid w:val="00A37C39"/>
    <w:rsid w:val="00A37D8E"/>
    <w:rsid w:val="00A37DAD"/>
    <w:rsid w:val="00A37E41"/>
    <w:rsid w:val="00A37F31"/>
    <w:rsid w:val="00A37F89"/>
    <w:rsid w:val="00A37F8B"/>
    <w:rsid w:val="00A37FBE"/>
    <w:rsid w:val="00A40096"/>
    <w:rsid w:val="00A40138"/>
    <w:rsid w:val="00A4045E"/>
    <w:rsid w:val="00A404D5"/>
    <w:rsid w:val="00A40771"/>
    <w:rsid w:val="00A40B96"/>
    <w:rsid w:val="00A40C16"/>
    <w:rsid w:val="00A40DAF"/>
    <w:rsid w:val="00A4101F"/>
    <w:rsid w:val="00A41059"/>
    <w:rsid w:val="00A41083"/>
    <w:rsid w:val="00A41095"/>
    <w:rsid w:val="00A410D5"/>
    <w:rsid w:val="00A411DC"/>
    <w:rsid w:val="00A41282"/>
    <w:rsid w:val="00A412C6"/>
    <w:rsid w:val="00A41323"/>
    <w:rsid w:val="00A41438"/>
    <w:rsid w:val="00A41737"/>
    <w:rsid w:val="00A41784"/>
    <w:rsid w:val="00A418A1"/>
    <w:rsid w:val="00A418B4"/>
    <w:rsid w:val="00A41907"/>
    <w:rsid w:val="00A419AF"/>
    <w:rsid w:val="00A41A19"/>
    <w:rsid w:val="00A41BA7"/>
    <w:rsid w:val="00A41CE4"/>
    <w:rsid w:val="00A41DF3"/>
    <w:rsid w:val="00A41E46"/>
    <w:rsid w:val="00A41E76"/>
    <w:rsid w:val="00A41F87"/>
    <w:rsid w:val="00A42060"/>
    <w:rsid w:val="00A420AD"/>
    <w:rsid w:val="00A420F5"/>
    <w:rsid w:val="00A4229F"/>
    <w:rsid w:val="00A4242F"/>
    <w:rsid w:val="00A42495"/>
    <w:rsid w:val="00A42521"/>
    <w:rsid w:val="00A425C4"/>
    <w:rsid w:val="00A425F2"/>
    <w:rsid w:val="00A42731"/>
    <w:rsid w:val="00A427E4"/>
    <w:rsid w:val="00A428BB"/>
    <w:rsid w:val="00A4298C"/>
    <w:rsid w:val="00A429FF"/>
    <w:rsid w:val="00A42AFC"/>
    <w:rsid w:val="00A42C92"/>
    <w:rsid w:val="00A42CBA"/>
    <w:rsid w:val="00A42CC7"/>
    <w:rsid w:val="00A42DAE"/>
    <w:rsid w:val="00A42F62"/>
    <w:rsid w:val="00A430A7"/>
    <w:rsid w:val="00A435BB"/>
    <w:rsid w:val="00A436A2"/>
    <w:rsid w:val="00A437A2"/>
    <w:rsid w:val="00A437F2"/>
    <w:rsid w:val="00A438A2"/>
    <w:rsid w:val="00A438E2"/>
    <w:rsid w:val="00A43935"/>
    <w:rsid w:val="00A43A3E"/>
    <w:rsid w:val="00A43B5B"/>
    <w:rsid w:val="00A43B82"/>
    <w:rsid w:val="00A43C44"/>
    <w:rsid w:val="00A43D05"/>
    <w:rsid w:val="00A43F56"/>
    <w:rsid w:val="00A43F99"/>
    <w:rsid w:val="00A44043"/>
    <w:rsid w:val="00A440AE"/>
    <w:rsid w:val="00A440B6"/>
    <w:rsid w:val="00A441A9"/>
    <w:rsid w:val="00A442EF"/>
    <w:rsid w:val="00A44322"/>
    <w:rsid w:val="00A444D7"/>
    <w:rsid w:val="00A446A2"/>
    <w:rsid w:val="00A44777"/>
    <w:rsid w:val="00A447BD"/>
    <w:rsid w:val="00A447CF"/>
    <w:rsid w:val="00A4480A"/>
    <w:rsid w:val="00A4480D"/>
    <w:rsid w:val="00A44842"/>
    <w:rsid w:val="00A44892"/>
    <w:rsid w:val="00A44958"/>
    <w:rsid w:val="00A44A5A"/>
    <w:rsid w:val="00A44B61"/>
    <w:rsid w:val="00A44B71"/>
    <w:rsid w:val="00A44B7A"/>
    <w:rsid w:val="00A44B96"/>
    <w:rsid w:val="00A44BC0"/>
    <w:rsid w:val="00A44C1A"/>
    <w:rsid w:val="00A44CC0"/>
    <w:rsid w:val="00A4504E"/>
    <w:rsid w:val="00A4506F"/>
    <w:rsid w:val="00A45100"/>
    <w:rsid w:val="00A451FD"/>
    <w:rsid w:val="00A452D5"/>
    <w:rsid w:val="00A452ED"/>
    <w:rsid w:val="00A4536E"/>
    <w:rsid w:val="00A453CC"/>
    <w:rsid w:val="00A453CF"/>
    <w:rsid w:val="00A45404"/>
    <w:rsid w:val="00A4546E"/>
    <w:rsid w:val="00A45486"/>
    <w:rsid w:val="00A4548C"/>
    <w:rsid w:val="00A45567"/>
    <w:rsid w:val="00A45661"/>
    <w:rsid w:val="00A4573B"/>
    <w:rsid w:val="00A457C5"/>
    <w:rsid w:val="00A457D3"/>
    <w:rsid w:val="00A457F7"/>
    <w:rsid w:val="00A45990"/>
    <w:rsid w:val="00A459C9"/>
    <w:rsid w:val="00A459F1"/>
    <w:rsid w:val="00A45AFA"/>
    <w:rsid w:val="00A45C2B"/>
    <w:rsid w:val="00A45CCB"/>
    <w:rsid w:val="00A45D5F"/>
    <w:rsid w:val="00A45DA6"/>
    <w:rsid w:val="00A45E09"/>
    <w:rsid w:val="00A45E25"/>
    <w:rsid w:val="00A460E7"/>
    <w:rsid w:val="00A46200"/>
    <w:rsid w:val="00A4622C"/>
    <w:rsid w:val="00A462D6"/>
    <w:rsid w:val="00A462D9"/>
    <w:rsid w:val="00A4637A"/>
    <w:rsid w:val="00A4637D"/>
    <w:rsid w:val="00A46541"/>
    <w:rsid w:val="00A46542"/>
    <w:rsid w:val="00A4670F"/>
    <w:rsid w:val="00A46867"/>
    <w:rsid w:val="00A46897"/>
    <w:rsid w:val="00A46971"/>
    <w:rsid w:val="00A4698B"/>
    <w:rsid w:val="00A469C1"/>
    <w:rsid w:val="00A46B64"/>
    <w:rsid w:val="00A46B98"/>
    <w:rsid w:val="00A46CBA"/>
    <w:rsid w:val="00A46CC4"/>
    <w:rsid w:val="00A46DE7"/>
    <w:rsid w:val="00A47046"/>
    <w:rsid w:val="00A470D2"/>
    <w:rsid w:val="00A47229"/>
    <w:rsid w:val="00A47365"/>
    <w:rsid w:val="00A473D1"/>
    <w:rsid w:val="00A47589"/>
    <w:rsid w:val="00A475B7"/>
    <w:rsid w:val="00A47755"/>
    <w:rsid w:val="00A47767"/>
    <w:rsid w:val="00A4778F"/>
    <w:rsid w:val="00A478B0"/>
    <w:rsid w:val="00A4790D"/>
    <w:rsid w:val="00A47BFB"/>
    <w:rsid w:val="00A47DF8"/>
    <w:rsid w:val="00A47FBC"/>
    <w:rsid w:val="00A500B5"/>
    <w:rsid w:val="00A50288"/>
    <w:rsid w:val="00A50315"/>
    <w:rsid w:val="00A50958"/>
    <w:rsid w:val="00A509DB"/>
    <w:rsid w:val="00A50AD1"/>
    <w:rsid w:val="00A50B71"/>
    <w:rsid w:val="00A50D03"/>
    <w:rsid w:val="00A50D42"/>
    <w:rsid w:val="00A50D56"/>
    <w:rsid w:val="00A50DA5"/>
    <w:rsid w:val="00A50E3B"/>
    <w:rsid w:val="00A50FE5"/>
    <w:rsid w:val="00A50FE6"/>
    <w:rsid w:val="00A51099"/>
    <w:rsid w:val="00A510C4"/>
    <w:rsid w:val="00A510F4"/>
    <w:rsid w:val="00A5112F"/>
    <w:rsid w:val="00A512A1"/>
    <w:rsid w:val="00A512E3"/>
    <w:rsid w:val="00A51373"/>
    <w:rsid w:val="00A514B5"/>
    <w:rsid w:val="00A5150A"/>
    <w:rsid w:val="00A516CF"/>
    <w:rsid w:val="00A51731"/>
    <w:rsid w:val="00A517D4"/>
    <w:rsid w:val="00A5181C"/>
    <w:rsid w:val="00A51904"/>
    <w:rsid w:val="00A51A9D"/>
    <w:rsid w:val="00A51BB7"/>
    <w:rsid w:val="00A51BCC"/>
    <w:rsid w:val="00A51C9A"/>
    <w:rsid w:val="00A51FC7"/>
    <w:rsid w:val="00A51FF9"/>
    <w:rsid w:val="00A520BF"/>
    <w:rsid w:val="00A520F1"/>
    <w:rsid w:val="00A52416"/>
    <w:rsid w:val="00A524ED"/>
    <w:rsid w:val="00A525D4"/>
    <w:rsid w:val="00A52641"/>
    <w:rsid w:val="00A5265F"/>
    <w:rsid w:val="00A52882"/>
    <w:rsid w:val="00A52A36"/>
    <w:rsid w:val="00A52B46"/>
    <w:rsid w:val="00A52C5B"/>
    <w:rsid w:val="00A52C6E"/>
    <w:rsid w:val="00A52CB6"/>
    <w:rsid w:val="00A52D13"/>
    <w:rsid w:val="00A52D3E"/>
    <w:rsid w:val="00A52DCF"/>
    <w:rsid w:val="00A52E6D"/>
    <w:rsid w:val="00A52E96"/>
    <w:rsid w:val="00A52E9B"/>
    <w:rsid w:val="00A53005"/>
    <w:rsid w:val="00A5332A"/>
    <w:rsid w:val="00A53398"/>
    <w:rsid w:val="00A53477"/>
    <w:rsid w:val="00A5354A"/>
    <w:rsid w:val="00A535CC"/>
    <w:rsid w:val="00A5362F"/>
    <w:rsid w:val="00A53725"/>
    <w:rsid w:val="00A53748"/>
    <w:rsid w:val="00A537AC"/>
    <w:rsid w:val="00A538F7"/>
    <w:rsid w:val="00A53909"/>
    <w:rsid w:val="00A53980"/>
    <w:rsid w:val="00A53A62"/>
    <w:rsid w:val="00A53AA4"/>
    <w:rsid w:val="00A53AC6"/>
    <w:rsid w:val="00A53B0E"/>
    <w:rsid w:val="00A53B41"/>
    <w:rsid w:val="00A53C44"/>
    <w:rsid w:val="00A53C77"/>
    <w:rsid w:val="00A53D07"/>
    <w:rsid w:val="00A53F86"/>
    <w:rsid w:val="00A54317"/>
    <w:rsid w:val="00A5446E"/>
    <w:rsid w:val="00A5448B"/>
    <w:rsid w:val="00A54518"/>
    <w:rsid w:val="00A545A4"/>
    <w:rsid w:val="00A545C7"/>
    <w:rsid w:val="00A545C9"/>
    <w:rsid w:val="00A547B9"/>
    <w:rsid w:val="00A547FC"/>
    <w:rsid w:val="00A5489A"/>
    <w:rsid w:val="00A548F9"/>
    <w:rsid w:val="00A54957"/>
    <w:rsid w:val="00A54A6B"/>
    <w:rsid w:val="00A54B68"/>
    <w:rsid w:val="00A54CE8"/>
    <w:rsid w:val="00A54D5A"/>
    <w:rsid w:val="00A54E43"/>
    <w:rsid w:val="00A54E61"/>
    <w:rsid w:val="00A54ECB"/>
    <w:rsid w:val="00A55138"/>
    <w:rsid w:val="00A5513B"/>
    <w:rsid w:val="00A5513C"/>
    <w:rsid w:val="00A5520A"/>
    <w:rsid w:val="00A553C6"/>
    <w:rsid w:val="00A554DA"/>
    <w:rsid w:val="00A555E1"/>
    <w:rsid w:val="00A55616"/>
    <w:rsid w:val="00A557A2"/>
    <w:rsid w:val="00A557C9"/>
    <w:rsid w:val="00A55800"/>
    <w:rsid w:val="00A55930"/>
    <w:rsid w:val="00A55963"/>
    <w:rsid w:val="00A55AFF"/>
    <w:rsid w:val="00A55B7E"/>
    <w:rsid w:val="00A55BA9"/>
    <w:rsid w:val="00A55BB5"/>
    <w:rsid w:val="00A55BD7"/>
    <w:rsid w:val="00A55D30"/>
    <w:rsid w:val="00A55D9D"/>
    <w:rsid w:val="00A55DA1"/>
    <w:rsid w:val="00A55DAF"/>
    <w:rsid w:val="00A55DE9"/>
    <w:rsid w:val="00A5600F"/>
    <w:rsid w:val="00A5604F"/>
    <w:rsid w:val="00A56129"/>
    <w:rsid w:val="00A56347"/>
    <w:rsid w:val="00A5639A"/>
    <w:rsid w:val="00A56431"/>
    <w:rsid w:val="00A56493"/>
    <w:rsid w:val="00A56513"/>
    <w:rsid w:val="00A56667"/>
    <w:rsid w:val="00A5696D"/>
    <w:rsid w:val="00A56B11"/>
    <w:rsid w:val="00A56B2A"/>
    <w:rsid w:val="00A56BF2"/>
    <w:rsid w:val="00A56CB5"/>
    <w:rsid w:val="00A56CFD"/>
    <w:rsid w:val="00A56E08"/>
    <w:rsid w:val="00A56E70"/>
    <w:rsid w:val="00A56EB8"/>
    <w:rsid w:val="00A56F92"/>
    <w:rsid w:val="00A57121"/>
    <w:rsid w:val="00A5720D"/>
    <w:rsid w:val="00A57215"/>
    <w:rsid w:val="00A57282"/>
    <w:rsid w:val="00A573A2"/>
    <w:rsid w:val="00A574DD"/>
    <w:rsid w:val="00A57513"/>
    <w:rsid w:val="00A575D3"/>
    <w:rsid w:val="00A57773"/>
    <w:rsid w:val="00A57911"/>
    <w:rsid w:val="00A579C5"/>
    <w:rsid w:val="00A57A02"/>
    <w:rsid w:val="00A57ABC"/>
    <w:rsid w:val="00A57C5E"/>
    <w:rsid w:val="00A57CE3"/>
    <w:rsid w:val="00A57CFC"/>
    <w:rsid w:val="00A57D36"/>
    <w:rsid w:val="00A57D3B"/>
    <w:rsid w:val="00A57D99"/>
    <w:rsid w:val="00A57D9A"/>
    <w:rsid w:val="00A60045"/>
    <w:rsid w:val="00A602E9"/>
    <w:rsid w:val="00A6033B"/>
    <w:rsid w:val="00A6038B"/>
    <w:rsid w:val="00A6039E"/>
    <w:rsid w:val="00A604C6"/>
    <w:rsid w:val="00A6063C"/>
    <w:rsid w:val="00A60838"/>
    <w:rsid w:val="00A6096C"/>
    <w:rsid w:val="00A60A92"/>
    <w:rsid w:val="00A60B4C"/>
    <w:rsid w:val="00A60BF9"/>
    <w:rsid w:val="00A60C93"/>
    <w:rsid w:val="00A60CCD"/>
    <w:rsid w:val="00A60D01"/>
    <w:rsid w:val="00A60D9F"/>
    <w:rsid w:val="00A60EFC"/>
    <w:rsid w:val="00A60F76"/>
    <w:rsid w:val="00A610D5"/>
    <w:rsid w:val="00A6111E"/>
    <w:rsid w:val="00A6114B"/>
    <w:rsid w:val="00A612B6"/>
    <w:rsid w:val="00A613AF"/>
    <w:rsid w:val="00A61411"/>
    <w:rsid w:val="00A61473"/>
    <w:rsid w:val="00A616CD"/>
    <w:rsid w:val="00A61713"/>
    <w:rsid w:val="00A6186B"/>
    <w:rsid w:val="00A6186F"/>
    <w:rsid w:val="00A6187F"/>
    <w:rsid w:val="00A618A0"/>
    <w:rsid w:val="00A61B4F"/>
    <w:rsid w:val="00A61B88"/>
    <w:rsid w:val="00A61DB7"/>
    <w:rsid w:val="00A61DBB"/>
    <w:rsid w:val="00A61DF0"/>
    <w:rsid w:val="00A61F35"/>
    <w:rsid w:val="00A61F69"/>
    <w:rsid w:val="00A61FB8"/>
    <w:rsid w:val="00A61FC8"/>
    <w:rsid w:val="00A6210B"/>
    <w:rsid w:val="00A62127"/>
    <w:rsid w:val="00A6218F"/>
    <w:rsid w:val="00A622C5"/>
    <w:rsid w:val="00A62346"/>
    <w:rsid w:val="00A62525"/>
    <w:rsid w:val="00A625B4"/>
    <w:rsid w:val="00A625B7"/>
    <w:rsid w:val="00A62792"/>
    <w:rsid w:val="00A62907"/>
    <w:rsid w:val="00A62A21"/>
    <w:rsid w:val="00A62AF9"/>
    <w:rsid w:val="00A62B43"/>
    <w:rsid w:val="00A62BCE"/>
    <w:rsid w:val="00A62C2F"/>
    <w:rsid w:val="00A62C67"/>
    <w:rsid w:val="00A62CC4"/>
    <w:rsid w:val="00A62DAB"/>
    <w:rsid w:val="00A62DCC"/>
    <w:rsid w:val="00A62EDA"/>
    <w:rsid w:val="00A62EE6"/>
    <w:rsid w:val="00A62F16"/>
    <w:rsid w:val="00A63009"/>
    <w:rsid w:val="00A63023"/>
    <w:rsid w:val="00A63118"/>
    <w:rsid w:val="00A63386"/>
    <w:rsid w:val="00A635BC"/>
    <w:rsid w:val="00A6364C"/>
    <w:rsid w:val="00A6368F"/>
    <w:rsid w:val="00A63693"/>
    <w:rsid w:val="00A63698"/>
    <w:rsid w:val="00A63835"/>
    <w:rsid w:val="00A6392E"/>
    <w:rsid w:val="00A63A8F"/>
    <w:rsid w:val="00A63AD9"/>
    <w:rsid w:val="00A63BBF"/>
    <w:rsid w:val="00A63C2F"/>
    <w:rsid w:val="00A63D55"/>
    <w:rsid w:val="00A63D93"/>
    <w:rsid w:val="00A63DB2"/>
    <w:rsid w:val="00A63EB5"/>
    <w:rsid w:val="00A63EFF"/>
    <w:rsid w:val="00A63FA3"/>
    <w:rsid w:val="00A64142"/>
    <w:rsid w:val="00A64271"/>
    <w:rsid w:val="00A64416"/>
    <w:rsid w:val="00A644EB"/>
    <w:rsid w:val="00A646F3"/>
    <w:rsid w:val="00A64818"/>
    <w:rsid w:val="00A64864"/>
    <w:rsid w:val="00A6490A"/>
    <w:rsid w:val="00A6494B"/>
    <w:rsid w:val="00A6497F"/>
    <w:rsid w:val="00A649CF"/>
    <w:rsid w:val="00A64A2D"/>
    <w:rsid w:val="00A64A40"/>
    <w:rsid w:val="00A64B2E"/>
    <w:rsid w:val="00A64B2F"/>
    <w:rsid w:val="00A64B4C"/>
    <w:rsid w:val="00A64CE2"/>
    <w:rsid w:val="00A64D45"/>
    <w:rsid w:val="00A64D54"/>
    <w:rsid w:val="00A64FF4"/>
    <w:rsid w:val="00A65191"/>
    <w:rsid w:val="00A653AB"/>
    <w:rsid w:val="00A653F8"/>
    <w:rsid w:val="00A6549B"/>
    <w:rsid w:val="00A654D2"/>
    <w:rsid w:val="00A654D9"/>
    <w:rsid w:val="00A65524"/>
    <w:rsid w:val="00A655AB"/>
    <w:rsid w:val="00A655FA"/>
    <w:rsid w:val="00A6572F"/>
    <w:rsid w:val="00A657C6"/>
    <w:rsid w:val="00A657D4"/>
    <w:rsid w:val="00A6584D"/>
    <w:rsid w:val="00A658CE"/>
    <w:rsid w:val="00A65A46"/>
    <w:rsid w:val="00A65BAC"/>
    <w:rsid w:val="00A65C86"/>
    <w:rsid w:val="00A65CCB"/>
    <w:rsid w:val="00A65E17"/>
    <w:rsid w:val="00A65EAC"/>
    <w:rsid w:val="00A65FD4"/>
    <w:rsid w:val="00A6603F"/>
    <w:rsid w:val="00A6604C"/>
    <w:rsid w:val="00A66090"/>
    <w:rsid w:val="00A66101"/>
    <w:rsid w:val="00A662AC"/>
    <w:rsid w:val="00A66325"/>
    <w:rsid w:val="00A66380"/>
    <w:rsid w:val="00A663BC"/>
    <w:rsid w:val="00A66594"/>
    <w:rsid w:val="00A665D5"/>
    <w:rsid w:val="00A66654"/>
    <w:rsid w:val="00A666F7"/>
    <w:rsid w:val="00A666FB"/>
    <w:rsid w:val="00A667E2"/>
    <w:rsid w:val="00A66855"/>
    <w:rsid w:val="00A6687F"/>
    <w:rsid w:val="00A6693D"/>
    <w:rsid w:val="00A66B12"/>
    <w:rsid w:val="00A66C0D"/>
    <w:rsid w:val="00A66C2C"/>
    <w:rsid w:val="00A66DE6"/>
    <w:rsid w:val="00A66E0F"/>
    <w:rsid w:val="00A66E1C"/>
    <w:rsid w:val="00A66F53"/>
    <w:rsid w:val="00A66FE3"/>
    <w:rsid w:val="00A67141"/>
    <w:rsid w:val="00A67142"/>
    <w:rsid w:val="00A67278"/>
    <w:rsid w:val="00A67280"/>
    <w:rsid w:val="00A672C9"/>
    <w:rsid w:val="00A673C7"/>
    <w:rsid w:val="00A67509"/>
    <w:rsid w:val="00A676B1"/>
    <w:rsid w:val="00A67737"/>
    <w:rsid w:val="00A67763"/>
    <w:rsid w:val="00A677C2"/>
    <w:rsid w:val="00A677EA"/>
    <w:rsid w:val="00A678D5"/>
    <w:rsid w:val="00A678FC"/>
    <w:rsid w:val="00A67931"/>
    <w:rsid w:val="00A679C7"/>
    <w:rsid w:val="00A67A18"/>
    <w:rsid w:val="00A67AC1"/>
    <w:rsid w:val="00A67AD2"/>
    <w:rsid w:val="00A67CBF"/>
    <w:rsid w:val="00A67CFC"/>
    <w:rsid w:val="00A67DAD"/>
    <w:rsid w:val="00A67DF5"/>
    <w:rsid w:val="00A67E6F"/>
    <w:rsid w:val="00A70011"/>
    <w:rsid w:val="00A70557"/>
    <w:rsid w:val="00A706EA"/>
    <w:rsid w:val="00A70720"/>
    <w:rsid w:val="00A7074C"/>
    <w:rsid w:val="00A7078E"/>
    <w:rsid w:val="00A707AA"/>
    <w:rsid w:val="00A7095E"/>
    <w:rsid w:val="00A70A44"/>
    <w:rsid w:val="00A70BA6"/>
    <w:rsid w:val="00A70BF6"/>
    <w:rsid w:val="00A70CB5"/>
    <w:rsid w:val="00A70E57"/>
    <w:rsid w:val="00A70EF7"/>
    <w:rsid w:val="00A70FF4"/>
    <w:rsid w:val="00A71022"/>
    <w:rsid w:val="00A710FD"/>
    <w:rsid w:val="00A7116E"/>
    <w:rsid w:val="00A711E4"/>
    <w:rsid w:val="00A712BF"/>
    <w:rsid w:val="00A71418"/>
    <w:rsid w:val="00A714FD"/>
    <w:rsid w:val="00A715C9"/>
    <w:rsid w:val="00A716FC"/>
    <w:rsid w:val="00A7172B"/>
    <w:rsid w:val="00A71820"/>
    <w:rsid w:val="00A71DF3"/>
    <w:rsid w:val="00A71E45"/>
    <w:rsid w:val="00A720F4"/>
    <w:rsid w:val="00A72131"/>
    <w:rsid w:val="00A721AA"/>
    <w:rsid w:val="00A7242C"/>
    <w:rsid w:val="00A72685"/>
    <w:rsid w:val="00A72723"/>
    <w:rsid w:val="00A72796"/>
    <w:rsid w:val="00A72821"/>
    <w:rsid w:val="00A72A19"/>
    <w:rsid w:val="00A72BCF"/>
    <w:rsid w:val="00A72BEA"/>
    <w:rsid w:val="00A72D2B"/>
    <w:rsid w:val="00A72F59"/>
    <w:rsid w:val="00A72F7C"/>
    <w:rsid w:val="00A72FAD"/>
    <w:rsid w:val="00A730A5"/>
    <w:rsid w:val="00A730AD"/>
    <w:rsid w:val="00A7314A"/>
    <w:rsid w:val="00A7319A"/>
    <w:rsid w:val="00A7328A"/>
    <w:rsid w:val="00A7348A"/>
    <w:rsid w:val="00A735FA"/>
    <w:rsid w:val="00A736CA"/>
    <w:rsid w:val="00A7377F"/>
    <w:rsid w:val="00A737B9"/>
    <w:rsid w:val="00A737D7"/>
    <w:rsid w:val="00A738FD"/>
    <w:rsid w:val="00A73A8F"/>
    <w:rsid w:val="00A73B5A"/>
    <w:rsid w:val="00A73B73"/>
    <w:rsid w:val="00A73C54"/>
    <w:rsid w:val="00A73CBA"/>
    <w:rsid w:val="00A73D38"/>
    <w:rsid w:val="00A73EBF"/>
    <w:rsid w:val="00A73F29"/>
    <w:rsid w:val="00A74143"/>
    <w:rsid w:val="00A7438F"/>
    <w:rsid w:val="00A745BE"/>
    <w:rsid w:val="00A7465D"/>
    <w:rsid w:val="00A7466C"/>
    <w:rsid w:val="00A7475E"/>
    <w:rsid w:val="00A747BE"/>
    <w:rsid w:val="00A748CB"/>
    <w:rsid w:val="00A74951"/>
    <w:rsid w:val="00A74A2B"/>
    <w:rsid w:val="00A74C4E"/>
    <w:rsid w:val="00A74D87"/>
    <w:rsid w:val="00A74F5F"/>
    <w:rsid w:val="00A75004"/>
    <w:rsid w:val="00A7501C"/>
    <w:rsid w:val="00A75047"/>
    <w:rsid w:val="00A7504D"/>
    <w:rsid w:val="00A752A9"/>
    <w:rsid w:val="00A75414"/>
    <w:rsid w:val="00A75457"/>
    <w:rsid w:val="00A754F8"/>
    <w:rsid w:val="00A7564A"/>
    <w:rsid w:val="00A756D1"/>
    <w:rsid w:val="00A757F3"/>
    <w:rsid w:val="00A75B37"/>
    <w:rsid w:val="00A75B44"/>
    <w:rsid w:val="00A75BB3"/>
    <w:rsid w:val="00A75BBD"/>
    <w:rsid w:val="00A75CA0"/>
    <w:rsid w:val="00A75F03"/>
    <w:rsid w:val="00A75FEC"/>
    <w:rsid w:val="00A76211"/>
    <w:rsid w:val="00A7653A"/>
    <w:rsid w:val="00A76700"/>
    <w:rsid w:val="00A76736"/>
    <w:rsid w:val="00A76770"/>
    <w:rsid w:val="00A76805"/>
    <w:rsid w:val="00A76924"/>
    <w:rsid w:val="00A769CD"/>
    <w:rsid w:val="00A76A93"/>
    <w:rsid w:val="00A76AAE"/>
    <w:rsid w:val="00A76B6F"/>
    <w:rsid w:val="00A76C8D"/>
    <w:rsid w:val="00A76D9D"/>
    <w:rsid w:val="00A76DD0"/>
    <w:rsid w:val="00A76E59"/>
    <w:rsid w:val="00A76E8F"/>
    <w:rsid w:val="00A76ECD"/>
    <w:rsid w:val="00A76F93"/>
    <w:rsid w:val="00A77034"/>
    <w:rsid w:val="00A7714A"/>
    <w:rsid w:val="00A7720D"/>
    <w:rsid w:val="00A7734A"/>
    <w:rsid w:val="00A77420"/>
    <w:rsid w:val="00A77582"/>
    <w:rsid w:val="00A775FC"/>
    <w:rsid w:val="00A7765E"/>
    <w:rsid w:val="00A77676"/>
    <w:rsid w:val="00A776DF"/>
    <w:rsid w:val="00A777FA"/>
    <w:rsid w:val="00A778EE"/>
    <w:rsid w:val="00A77905"/>
    <w:rsid w:val="00A77A2F"/>
    <w:rsid w:val="00A77A33"/>
    <w:rsid w:val="00A77B43"/>
    <w:rsid w:val="00A77B4D"/>
    <w:rsid w:val="00A77B8D"/>
    <w:rsid w:val="00A77C15"/>
    <w:rsid w:val="00A77C73"/>
    <w:rsid w:val="00A77CAD"/>
    <w:rsid w:val="00A77D3A"/>
    <w:rsid w:val="00A77DE4"/>
    <w:rsid w:val="00A77E7E"/>
    <w:rsid w:val="00A77FBA"/>
    <w:rsid w:val="00A801E3"/>
    <w:rsid w:val="00A80263"/>
    <w:rsid w:val="00A802FA"/>
    <w:rsid w:val="00A80312"/>
    <w:rsid w:val="00A8045F"/>
    <w:rsid w:val="00A80492"/>
    <w:rsid w:val="00A8060E"/>
    <w:rsid w:val="00A806CB"/>
    <w:rsid w:val="00A806DE"/>
    <w:rsid w:val="00A808E7"/>
    <w:rsid w:val="00A809A8"/>
    <w:rsid w:val="00A80A31"/>
    <w:rsid w:val="00A80A98"/>
    <w:rsid w:val="00A80B5B"/>
    <w:rsid w:val="00A80BC5"/>
    <w:rsid w:val="00A80DF0"/>
    <w:rsid w:val="00A80FE0"/>
    <w:rsid w:val="00A8106C"/>
    <w:rsid w:val="00A8129C"/>
    <w:rsid w:val="00A81359"/>
    <w:rsid w:val="00A8145A"/>
    <w:rsid w:val="00A8153E"/>
    <w:rsid w:val="00A815B4"/>
    <w:rsid w:val="00A816AE"/>
    <w:rsid w:val="00A816E3"/>
    <w:rsid w:val="00A81714"/>
    <w:rsid w:val="00A8181E"/>
    <w:rsid w:val="00A81861"/>
    <w:rsid w:val="00A81882"/>
    <w:rsid w:val="00A818FD"/>
    <w:rsid w:val="00A819A2"/>
    <w:rsid w:val="00A81A22"/>
    <w:rsid w:val="00A81A31"/>
    <w:rsid w:val="00A81C4B"/>
    <w:rsid w:val="00A81DE5"/>
    <w:rsid w:val="00A81DFC"/>
    <w:rsid w:val="00A81E99"/>
    <w:rsid w:val="00A81E9F"/>
    <w:rsid w:val="00A81F93"/>
    <w:rsid w:val="00A820C0"/>
    <w:rsid w:val="00A820DA"/>
    <w:rsid w:val="00A82152"/>
    <w:rsid w:val="00A822AA"/>
    <w:rsid w:val="00A82313"/>
    <w:rsid w:val="00A82348"/>
    <w:rsid w:val="00A82394"/>
    <w:rsid w:val="00A826FA"/>
    <w:rsid w:val="00A82891"/>
    <w:rsid w:val="00A82938"/>
    <w:rsid w:val="00A829F2"/>
    <w:rsid w:val="00A82A22"/>
    <w:rsid w:val="00A82A4A"/>
    <w:rsid w:val="00A82B08"/>
    <w:rsid w:val="00A82B2F"/>
    <w:rsid w:val="00A82EE2"/>
    <w:rsid w:val="00A82F7D"/>
    <w:rsid w:val="00A82F7E"/>
    <w:rsid w:val="00A83101"/>
    <w:rsid w:val="00A831ED"/>
    <w:rsid w:val="00A8320A"/>
    <w:rsid w:val="00A8340F"/>
    <w:rsid w:val="00A834C5"/>
    <w:rsid w:val="00A8359F"/>
    <w:rsid w:val="00A83813"/>
    <w:rsid w:val="00A8386E"/>
    <w:rsid w:val="00A838F3"/>
    <w:rsid w:val="00A839F4"/>
    <w:rsid w:val="00A83A3B"/>
    <w:rsid w:val="00A83D71"/>
    <w:rsid w:val="00A83DB9"/>
    <w:rsid w:val="00A83E3D"/>
    <w:rsid w:val="00A83E7F"/>
    <w:rsid w:val="00A83EA2"/>
    <w:rsid w:val="00A83FB5"/>
    <w:rsid w:val="00A8400C"/>
    <w:rsid w:val="00A84103"/>
    <w:rsid w:val="00A8414B"/>
    <w:rsid w:val="00A84182"/>
    <w:rsid w:val="00A8426D"/>
    <w:rsid w:val="00A8429E"/>
    <w:rsid w:val="00A84345"/>
    <w:rsid w:val="00A843ED"/>
    <w:rsid w:val="00A8444B"/>
    <w:rsid w:val="00A84453"/>
    <w:rsid w:val="00A84532"/>
    <w:rsid w:val="00A845EA"/>
    <w:rsid w:val="00A8475E"/>
    <w:rsid w:val="00A849EC"/>
    <w:rsid w:val="00A84A51"/>
    <w:rsid w:val="00A84A54"/>
    <w:rsid w:val="00A84AF0"/>
    <w:rsid w:val="00A84B09"/>
    <w:rsid w:val="00A84B58"/>
    <w:rsid w:val="00A84CE3"/>
    <w:rsid w:val="00A84D8D"/>
    <w:rsid w:val="00A84DF7"/>
    <w:rsid w:val="00A84E37"/>
    <w:rsid w:val="00A84F10"/>
    <w:rsid w:val="00A84FDE"/>
    <w:rsid w:val="00A850D7"/>
    <w:rsid w:val="00A85124"/>
    <w:rsid w:val="00A851DD"/>
    <w:rsid w:val="00A851EB"/>
    <w:rsid w:val="00A854B1"/>
    <w:rsid w:val="00A854D6"/>
    <w:rsid w:val="00A8550D"/>
    <w:rsid w:val="00A85525"/>
    <w:rsid w:val="00A8556F"/>
    <w:rsid w:val="00A8563C"/>
    <w:rsid w:val="00A85647"/>
    <w:rsid w:val="00A856FB"/>
    <w:rsid w:val="00A856FD"/>
    <w:rsid w:val="00A8579E"/>
    <w:rsid w:val="00A857D5"/>
    <w:rsid w:val="00A857DB"/>
    <w:rsid w:val="00A85919"/>
    <w:rsid w:val="00A859FE"/>
    <w:rsid w:val="00A85A60"/>
    <w:rsid w:val="00A85A78"/>
    <w:rsid w:val="00A85A80"/>
    <w:rsid w:val="00A85A86"/>
    <w:rsid w:val="00A85B48"/>
    <w:rsid w:val="00A85B86"/>
    <w:rsid w:val="00A85B95"/>
    <w:rsid w:val="00A85C73"/>
    <w:rsid w:val="00A85CFF"/>
    <w:rsid w:val="00A85E6A"/>
    <w:rsid w:val="00A85F5A"/>
    <w:rsid w:val="00A86047"/>
    <w:rsid w:val="00A8605B"/>
    <w:rsid w:val="00A86102"/>
    <w:rsid w:val="00A8614E"/>
    <w:rsid w:val="00A863D0"/>
    <w:rsid w:val="00A8642E"/>
    <w:rsid w:val="00A864E1"/>
    <w:rsid w:val="00A86556"/>
    <w:rsid w:val="00A8660E"/>
    <w:rsid w:val="00A86661"/>
    <w:rsid w:val="00A86704"/>
    <w:rsid w:val="00A86770"/>
    <w:rsid w:val="00A86819"/>
    <w:rsid w:val="00A8689F"/>
    <w:rsid w:val="00A869DD"/>
    <w:rsid w:val="00A86AF0"/>
    <w:rsid w:val="00A86B16"/>
    <w:rsid w:val="00A86B20"/>
    <w:rsid w:val="00A86B2A"/>
    <w:rsid w:val="00A86B3E"/>
    <w:rsid w:val="00A86D52"/>
    <w:rsid w:val="00A86DBA"/>
    <w:rsid w:val="00A86DDE"/>
    <w:rsid w:val="00A86F89"/>
    <w:rsid w:val="00A87021"/>
    <w:rsid w:val="00A87220"/>
    <w:rsid w:val="00A87289"/>
    <w:rsid w:val="00A873E7"/>
    <w:rsid w:val="00A875BD"/>
    <w:rsid w:val="00A87724"/>
    <w:rsid w:val="00A8778F"/>
    <w:rsid w:val="00A87814"/>
    <w:rsid w:val="00A87988"/>
    <w:rsid w:val="00A87A66"/>
    <w:rsid w:val="00A87C03"/>
    <w:rsid w:val="00A87C31"/>
    <w:rsid w:val="00A87C68"/>
    <w:rsid w:val="00A87D7B"/>
    <w:rsid w:val="00A87E99"/>
    <w:rsid w:val="00A87F71"/>
    <w:rsid w:val="00A87F80"/>
    <w:rsid w:val="00A90075"/>
    <w:rsid w:val="00A9019B"/>
    <w:rsid w:val="00A901DC"/>
    <w:rsid w:val="00A90273"/>
    <w:rsid w:val="00A902E8"/>
    <w:rsid w:val="00A9030B"/>
    <w:rsid w:val="00A9038C"/>
    <w:rsid w:val="00A906FE"/>
    <w:rsid w:val="00A90789"/>
    <w:rsid w:val="00A90887"/>
    <w:rsid w:val="00A90BCE"/>
    <w:rsid w:val="00A90E8A"/>
    <w:rsid w:val="00A90E9F"/>
    <w:rsid w:val="00A90EC1"/>
    <w:rsid w:val="00A90FF1"/>
    <w:rsid w:val="00A91019"/>
    <w:rsid w:val="00A91469"/>
    <w:rsid w:val="00A91482"/>
    <w:rsid w:val="00A914FC"/>
    <w:rsid w:val="00A91562"/>
    <w:rsid w:val="00A915CF"/>
    <w:rsid w:val="00A9165B"/>
    <w:rsid w:val="00A918D5"/>
    <w:rsid w:val="00A91938"/>
    <w:rsid w:val="00A919A8"/>
    <w:rsid w:val="00A91A8B"/>
    <w:rsid w:val="00A91AEC"/>
    <w:rsid w:val="00A91B3D"/>
    <w:rsid w:val="00A91B5F"/>
    <w:rsid w:val="00A91B96"/>
    <w:rsid w:val="00A91D6B"/>
    <w:rsid w:val="00A91E2D"/>
    <w:rsid w:val="00A91F24"/>
    <w:rsid w:val="00A91F93"/>
    <w:rsid w:val="00A92189"/>
    <w:rsid w:val="00A921AA"/>
    <w:rsid w:val="00A921BB"/>
    <w:rsid w:val="00A921FC"/>
    <w:rsid w:val="00A92238"/>
    <w:rsid w:val="00A9223D"/>
    <w:rsid w:val="00A92241"/>
    <w:rsid w:val="00A92249"/>
    <w:rsid w:val="00A9225C"/>
    <w:rsid w:val="00A922E3"/>
    <w:rsid w:val="00A92382"/>
    <w:rsid w:val="00A9264D"/>
    <w:rsid w:val="00A926CF"/>
    <w:rsid w:val="00A927B0"/>
    <w:rsid w:val="00A927E1"/>
    <w:rsid w:val="00A92823"/>
    <w:rsid w:val="00A929C8"/>
    <w:rsid w:val="00A92ACE"/>
    <w:rsid w:val="00A92ECE"/>
    <w:rsid w:val="00A92FD5"/>
    <w:rsid w:val="00A93000"/>
    <w:rsid w:val="00A93059"/>
    <w:rsid w:val="00A9317D"/>
    <w:rsid w:val="00A93336"/>
    <w:rsid w:val="00A935D6"/>
    <w:rsid w:val="00A936DB"/>
    <w:rsid w:val="00A936E9"/>
    <w:rsid w:val="00A936FD"/>
    <w:rsid w:val="00A93809"/>
    <w:rsid w:val="00A93A82"/>
    <w:rsid w:val="00A93AA0"/>
    <w:rsid w:val="00A93AB4"/>
    <w:rsid w:val="00A93CF2"/>
    <w:rsid w:val="00A93D79"/>
    <w:rsid w:val="00A93F59"/>
    <w:rsid w:val="00A93F63"/>
    <w:rsid w:val="00A940DF"/>
    <w:rsid w:val="00A941B5"/>
    <w:rsid w:val="00A9421D"/>
    <w:rsid w:val="00A942B2"/>
    <w:rsid w:val="00A94304"/>
    <w:rsid w:val="00A943B5"/>
    <w:rsid w:val="00A9446D"/>
    <w:rsid w:val="00A944B5"/>
    <w:rsid w:val="00A947C1"/>
    <w:rsid w:val="00A947ED"/>
    <w:rsid w:val="00A948DE"/>
    <w:rsid w:val="00A94A36"/>
    <w:rsid w:val="00A94A72"/>
    <w:rsid w:val="00A94D71"/>
    <w:rsid w:val="00A94F4E"/>
    <w:rsid w:val="00A950DE"/>
    <w:rsid w:val="00A950E4"/>
    <w:rsid w:val="00A95238"/>
    <w:rsid w:val="00A9528E"/>
    <w:rsid w:val="00A95339"/>
    <w:rsid w:val="00A9546A"/>
    <w:rsid w:val="00A9548C"/>
    <w:rsid w:val="00A95548"/>
    <w:rsid w:val="00A955D4"/>
    <w:rsid w:val="00A95955"/>
    <w:rsid w:val="00A959E5"/>
    <w:rsid w:val="00A95A30"/>
    <w:rsid w:val="00A95A8C"/>
    <w:rsid w:val="00A95B75"/>
    <w:rsid w:val="00A95BA5"/>
    <w:rsid w:val="00A95BA7"/>
    <w:rsid w:val="00A95BEE"/>
    <w:rsid w:val="00A95C3B"/>
    <w:rsid w:val="00A95DB4"/>
    <w:rsid w:val="00A95F36"/>
    <w:rsid w:val="00A95F76"/>
    <w:rsid w:val="00A960EA"/>
    <w:rsid w:val="00A960F0"/>
    <w:rsid w:val="00A96213"/>
    <w:rsid w:val="00A963D3"/>
    <w:rsid w:val="00A963FE"/>
    <w:rsid w:val="00A96459"/>
    <w:rsid w:val="00A964D8"/>
    <w:rsid w:val="00A96539"/>
    <w:rsid w:val="00A96564"/>
    <w:rsid w:val="00A96732"/>
    <w:rsid w:val="00A968D9"/>
    <w:rsid w:val="00A968E8"/>
    <w:rsid w:val="00A96964"/>
    <w:rsid w:val="00A96A88"/>
    <w:rsid w:val="00A96CF3"/>
    <w:rsid w:val="00A96D12"/>
    <w:rsid w:val="00A96F8D"/>
    <w:rsid w:val="00A96FB6"/>
    <w:rsid w:val="00A97049"/>
    <w:rsid w:val="00A970D5"/>
    <w:rsid w:val="00A9718D"/>
    <w:rsid w:val="00A971BD"/>
    <w:rsid w:val="00A971E2"/>
    <w:rsid w:val="00A971F8"/>
    <w:rsid w:val="00A9720B"/>
    <w:rsid w:val="00A9725F"/>
    <w:rsid w:val="00A972D5"/>
    <w:rsid w:val="00A97381"/>
    <w:rsid w:val="00A97394"/>
    <w:rsid w:val="00A973C8"/>
    <w:rsid w:val="00A973F2"/>
    <w:rsid w:val="00A97572"/>
    <w:rsid w:val="00A9762F"/>
    <w:rsid w:val="00A9779F"/>
    <w:rsid w:val="00A977B3"/>
    <w:rsid w:val="00A97919"/>
    <w:rsid w:val="00A97988"/>
    <w:rsid w:val="00A97ACD"/>
    <w:rsid w:val="00A97CB0"/>
    <w:rsid w:val="00A97D12"/>
    <w:rsid w:val="00A97E7E"/>
    <w:rsid w:val="00A97F05"/>
    <w:rsid w:val="00A97FC7"/>
    <w:rsid w:val="00AA0202"/>
    <w:rsid w:val="00AA021C"/>
    <w:rsid w:val="00AA0289"/>
    <w:rsid w:val="00AA032C"/>
    <w:rsid w:val="00AA044A"/>
    <w:rsid w:val="00AA0464"/>
    <w:rsid w:val="00AA04F0"/>
    <w:rsid w:val="00AA0501"/>
    <w:rsid w:val="00AA0632"/>
    <w:rsid w:val="00AA07E7"/>
    <w:rsid w:val="00AA0887"/>
    <w:rsid w:val="00AA08C2"/>
    <w:rsid w:val="00AA093F"/>
    <w:rsid w:val="00AA0984"/>
    <w:rsid w:val="00AA0B43"/>
    <w:rsid w:val="00AA0B89"/>
    <w:rsid w:val="00AA0BC5"/>
    <w:rsid w:val="00AA0C4F"/>
    <w:rsid w:val="00AA0D57"/>
    <w:rsid w:val="00AA0D5B"/>
    <w:rsid w:val="00AA0EC7"/>
    <w:rsid w:val="00AA0F32"/>
    <w:rsid w:val="00AA0F40"/>
    <w:rsid w:val="00AA0FBD"/>
    <w:rsid w:val="00AA0FC4"/>
    <w:rsid w:val="00AA1093"/>
    <w:rsid w:val="00AA10D0"/>
    <w:rsid w:val="00AA1139"/>
    <w:rsid w:val="00AA1150"/>
    <w:rsid w:val="00AA11B3"/>
    <w:rsid w:val="00AA141D"/>
    <w:rsid w:val="00AA1420"/>
    <w:rsid w:val="00AA14AC"/>
    <w:rsid w:val="00AA15CF"/>
    <w:rsid w:val="00AA1644"/>
    <w:rsid w:val="00AA1688"/>
    <w:rsid w:val="00AA1694"/>
    <w:rsid w:val="00AA1815"/>
    <w:rsid w:val="00AA1874"/>
    <w:rsid w:val="00AA1894"/>
    <w:rsid w:val="00AA1897"/>
    <w:rsid w:val="00AA190B"/>
    <w:rsid w:val="00AA1929"/>
    <w:rsid w:val="00AA198F"/>
    <w:rsid w:val="00AA1BEB"/>
    <w:rsid w:val="00AA1CB1"/>
    <w:rsid w:val="00AA1F01"/>
    <w:rsid w:val="00AA2284"/>
    <w:rsid w:val="00AA22CB"/>
    <w:rsid w:val="00AA23B4"/>
    <w:rsid w:val="00AA2584"/>
    <w:rsid w:val="00AA268C"/>
    <w:rsid w:val="00AA27D0"/>
    <w:rsid w:val="00AA2821"/>
    <w:rsid w:val="00AA286B"/>
    <w:rsid w:val="00AA28E6"/>
    <w:rsid w:val="00AA2BE2"/>
    <w:rsid w:val="00AA2BEF"/>
    <w:rsid w:val="00AA2CB9"/>
    <w:rsid w:val="00AA2D05"/>
    <w:rsid w:val="00AA2D32"/>
    <w:rsid w:val="00AA2E4A"/>
    <w:rsid w:val="00AA2F03"/>
    <w:rsid w:val="00AA2FE2"/>
    <w:rsid w:val="00AA3485"/>
    <w:rsid w:val="00AA348F"/>
    <w:rsid w:val="00AA359B"/>
    <w:rsid w:val="00AA35A2"/>
    <w:rsid w:val="00AA36A2"/>
    <w:rsid w:val="00AA372D"/>
    <w:rsid w:val="00AA37EE"/>
    <w:rsid w:val="00AA3862"/>
    <w:rsid w:val="00AA38BB"/>
    <w:rsid w:val="00AA3A43"/>
    <w:rsid w:val="00AA3C93"/>
    <w:rsid w:val="00AA3CA0"/>
    <w:rsid w:val="00AA3E89"/>
    <w:rsid w:val="00AA3EE7"/>
    <w:rsid w:val="00AA4028"/>
    <w:rsid w:val="00AA411E"/>
    <w:rsid w:val="00AA411F"/>
    <w:rsid w:val="00AA415B"/>
    <w:rsid w:val="00AA428D"/>
    <w:rsid w:val="00AA4319"/>
    <w:rsid w:val="00AA4525"/>
    <w:rsid w:val="00AA46F2"/>
    <w:rsid w:val="00AA47E2"/>
    <w:rsid w:val="00AA4958"/>
    <w:rsid w:val="00AA4A53"/>
    <w:rsid w:val="00AA4B8B"/>
    <w:rsid w:val="00AA4BA6"/>
    <w:rsid w:val="00AA4C05"/>
    <w:rsid w:val="00AA4C60"/>
    <w:rsid w:val="00AA4CEA"/>
    <w:rsid w:val="00AA4DF2"/>
    <w:rsid w:val="00AA4E22"/>
    <w:rsid w:val="00AA4E62"/>
    <w:rsid w:val="00AA4E74"/>
    <w:rsid w:val="00AA4FEC"/>
    <w:rsid w:val="00AA4FF5"/>
    <w:rsid w:val="00AA5056"/>
    <w:rsid w:val="00AA50A1"/>
    <w:rsid w:val="00AA50F0"/>
    <w:rsid w:val="00AA51D0"/>
    <w:rsid w:val="00AA51F5"/>
    <w:rsid w:val="00AA5223"/>
    <w:rsid w:val="00AA53A3"/>
    <w:rsid w:val="00AA5457"/>
    <w:rsid w:val="00AA5473"/>
    <w:rsid w:val="00AA5506"/>
    <w:rsid w:val="00AA5621"/>
    <w:rsid w:val="00AA57CF"/>
    <w:rsid w:val="00AA5833"/>
    <w:rsid w:val="00AA5853"/>
    <w:rsid w:val="00AA58FC"/>
    <w:rsid w:val="00AA59B5"/>
    <w:rsid w:val="00AA5A17"/>
    <w:rsid w:val="00AA5B8D"/>
    <w:rsid w:val="00AA5CD6"/>
    <w:rsid w:val="00AA5DA3"/>
    <w:rsid w:val="00AA5DD5"/>
    <w:rsid w:val="00AA5E84"/>
    <w:rsid w:val="00AA6018"/>
    <w:rsid w:val="00AA6065"/>
    <w:rsid w:val="00AA606B"/>
    <w:rsid w:val="00AA6261"/>
    <w:rsid w:val="00AA6281"/>
    <w:rsid w:val="00AA62A9"/>
    <w:rsid w:val="00AA64AB"/>
    <w:rsid w:val="00AA6789"/>
    <w:rsid w:val="00AA6817"/>
    <w:rsid w:val="00AA68D9"/>
    <w:rsid w:val="00AA68FE"/>
    <w:rsid w:val="00AA6979"/>
    <w:rsid w:val="00AA6D1D"/>
    <w:rsid w:val="00AA6E19"/>
    <w:rsid w:val="00AA6E2A"/>
    <w:rsid w:val="00AA6EAC"/>
    <w:rsid w:val="00AA6EE4"/>
    <w:rsid w:val="00AA6FA7"/>
    <w:rsid w:val="00AA704A"/>
    <w:rsid w:val="00AA742F"/>
    <w:rsid w:val="00AA748F"/>
    <w:rsid w:val="00AA752C"/>
    <w:rsid w:val="00AA753D"/>
    <w:rsid w:val="00AA7552"/>
    <w:rsid w:val="00AA7641"/>
    <w:rsid w:val="00AA768F"/>
    <w:rsid w:val="00AA7744"/>
    <w:rsid w:val="00AA7754"/>
    <w:rsid w:val="00AA77EA"/>
    <w:rsid w:val="00AA77F8"/>
    <w:rsid w:val="00AA7831"/>
    <w:rsid w:val="00AA7910"/>
    <w:rsid w:val="00AA7960"/>
    <w:rsid w:val="00AA7BBB"/>
    <w:rsid w:val="00AA7BDE"/>
    <w:rsid w:val="00AA7C2C"/>
    <w:rsid w:val="00AA7CAE"/>
    <w:rsid w:val="00AA7D0E"/>
    <w:rsid w:val="00AA7E5E"/>
    <w:rsid w:val="00AA7EC2"/>
    <w:rsid w:val="00AA7FD0"/>
    <w:rsid w:val="00AB00C0"/>
    <w:rsid w:val="00AB0133"/>
    <w:rsid w:val="00AB0166"/>
    <w:rsid w:val="00AB01A8"/>
    <w:rsid w:val="00AB0232"/>
    <w:rsid w:val="00AB02AE"/>
    <w:rsid w:val="00AB02D8"/>
    <w:rsid w:val="00AB044B"/>
    <w:rsid w:val="00AB06C4"/>
    <w:rsid w:val="00AB0744"/>
    <w:rsid w:val="00AB075E"/>
    <w:rsid w:val="00AB0B38"/>
    <w:rsid w:val="00AB0B6E"/>
    <w:rsid w:val="00AB0C34"/>
    <w:rsid w:val="00AB0CD3"/>
    <w:rsid w:val="00AB0D03"/>
    <w:rsid w:val="00AB0EBA"/>
    <w:rsid w:val="00AB0EF0"/>
    <w:rsid w:val="00AB0FFC"/>
    <w:rsid w:val="00AB1001"/>
    <w:rsid w:val="00AB117C"/>
    <w:rsid w:val="00AB1194"/>
    <w:rsid w:val="00AB11F0"/>
    <w:rsid w:val="00AB1401"/>
    <w:rsid w:val="00AB140B"/>
    <w:rsid w:val="00AB1461"/>
    <w:rsid w:val="00AB1489"/>
    <w:rsid w:val="00AB1521"/>
    <w:rsid w:val="00AB164C"/>
    <w:rsid w:val="00AB1664"/>
    <w:rsid w:val="00AB1707"/>
    <w:rsid w:val="00AB1763"/>
    <w:rsid w:val="00AB1913"/>
    <w:rsid w:val="00AB1A04"/>
    <w:rsid w:val="00AB1AA2"/>
    <w:rsid w:val="00AB1BC2"/>
    <w:rsid w:val="00AB1BF1"/>
    <w:rsid w:val="00AB1EB8"/>
    <w:rsid w:val="00AB1F44"/>
    <w:rsid w:val="00AB2126"/>
    <w:rsid w:val="00AB24F3"/>
    <w:rsid w:val="00AB25EB"/>
    <w:rsid w:val="00AB269C"/>
    <w:rsid w:val="00AB26A4"/>
    <w:rsid w:val="00AB27D2"/>
    <w:rsid w:val="00AB2814"/>
    <w:rsid w:val="00AB2A33"/>
    <w:rsid w:val="00AB2C7F"/>
    <w:rsid w:val="00AB2DD2"/>
    <w:rsid w:val="00AB2EC5"/>
    <w:rsid w:val="00AB2F19"/>
    <w:rsid w:val="00AB2FBF"/>
    <w:rsid w:val="00AB2FD8"/>
    <w:rsid w:val="00AB31BD"/>
    <w:rsid w:val="00AB3291"/>
    <w:rsid w:val="00AB333B"/>
    <w:rsid w:val="00AB33DF"/>
    <w:rsid w:val="00AB35CD"/>
    <w:rsid w:val="00AB35EA"/>
    <w:rsid w:val="00AB3745"/>
    <w:rsid w:val="00AB37CD"/>
    <w:rsid w:val="00AB3A7D"/>
    <w:rsid w:val="00AB3AB6"/>
    <w:rsid w:val="00AB3B23"/>
    <w:rsid w:val="00AB3B3F"/>
    <w:rsid w:val="00AB3C08"/>
    <w:rsid w:val="00AB3C31"/>
    <w:rsid w:val="00AB3D7D"/>
    <w:rsid w:val="00AB3D96"/>
    <w:rsid w:val="00AB3DFD"/>
    <w:rsid w:val="00AB3E4A"/>
    <w:rsid w:val="00AB3ECA"/>
    <w:rsid w:val="00AB3FBC"/>
    <w:rsid w:val="00AB3FC2"/>
    <w:rsid w:val="00AB43F5"/>
    <w:rsid w:val="00AB440B"/>
    <w:rsid w:val="00AB45D6"/>
    <w:rsid w:val="00AB4656"/>
    <w:rsid w:val="00AB4818"/>
    <w:rsid w:val="00AB4A1A"/>
    <w:rsid w:val="00AB4AF5"/>
    <w:rsid w:val="00AB4B35"/>
    <w:rsid w:val="00AB4E38"/>
    <w:rsid w:val="00AB4E9D"/>
    <w:rsid w:val="00AB4EF0"/>
    <w:rsid w:val="00AB51C5"/>
    <w:rsid w:val="00AB53B1"/>
    <w:rsid w:val="00AB5490"/>
    <w:rsid w:val="00AB5537"/>
    <w:rsid w:val="00AB5590"/>
    <w:rsid w:val="00AB573B"/>
    <w:rsid w:val="00AB583D"/>
    <w:rsid w:val="00AB5BB4"/>
    <w:rsid w:val="00AB5C26"/>
    <w:rsid w:val="00AB5E6D"/>
    <w:rsid w:val="00AB5FAD"/>
    <w:rsid w:val="00AB6039"/>
    <w:rsid w:val="00AB6060"/>
    <w:rsid w:val="00AB60AF"/>
    <w:rsid w:val="00AB618E"/>
    <w:rsid w:val="00AB61C8"/>
    <w:rsid w:val="00AB61FD"/>
    <w:rsid w:val="00AB6246"/>
    <w:rsid w:val="00AB62AB"/>
    <w:rsid w:val="00AB63E5"/>
    <w:rsid w:val="00AB644E"/>
    <w:rsid w:val="00AB655B"/>
    <w:rsid w:val="00AB6946"/>
    <w:rsid w:val="00AB69B8"/>
    <w:rsid w:val="00AB6AFE"/>
    <w:rsid w:val="00AB6B41"/>
    <w:rsid w:val="00AB6BF4"/>
    <w:rsid w:val="00AB6C7A"/>
    <w:rsid w:val="00AB6D28"/>
    <w:rsid w:val="00AB6D83"/>
    <w:rsid w:val="00AB6F89"/>
    <w:rsid w:val="00AB73A6"/>
    <w:rsid w:val="00AB75D4"/>
    <w:rsid w:val="00AB772B"/>
    <w:rsid w:val="00AB773C"/>
    <w:rsid w:val="00AB790C"/>
    <w:rsid w:val="00AB7940"/>
    <w:rsid w:val="00AB7994"/>
    <w:rsid w:val="00AB7AE8"/>
    <w:rsid w:val="00AB7B71"/>
    <w:rsid w:val="00AB7CE4"/>
    <w:rsid w:val="00AB7EA7"/>
    <w:rsid w:val="00AB7EB6"/>
    <w:rsid w:val="00AC00FC"/>
    <w:rsid w:val="00AC013F"/>
    <w:rsid w:val="00AC0196"/>
    <w:rsid w:val="00AC019A"/>
    <w:rsid w:val="00AC01D8"/>
    <w:rsid w:val="00AC034B"/>
    <w:rsid w:val="00AC0583"/>
    <w:rsid w:val="00AC068A"/>
    <w:rsid w:val="00AC06EE"/>
    <w:rsid w:val="00AC0856"/>
    <w:rsid w:val="00AC08C2"/>
    <w:rsid w:val="00AC090F"/>
    <w:rsid w:val="00AC0A33"/>
    <w:rsid w:val="00AC0A82"/>
    <w:rsid w:val="00AC0CDD"/>
    <w:rsid w:val="00AC0E77"/>
    <w:rsid w:val="00AC0E7A"/>
    <w:rsid w:val="00AC0E9C"/>
    <w:rsid w:val="00AC0E9D"/>
    <w:rsid w:val="00AC0EFB"/>
    <w:rsid w:val="00AC0F42"/>
    <w:rsid w:val="00AC0FB1"/>
    <w:rsid w:val="00AC1370"/>
    <w:rsid w:val="00AC13DE"/>
    <w:rsid w:val="00AC152D"/>
    <w:rsid w:val="00AC1594"/>
    <w:rsid w:val="00AC159A"/>
    <w:rsid w:val="00AC15B1"/>
    <w:rsid w:val="00AC16D6"/>
    <w:rsid w:val="00AC188D"/>
    <w:rsid w:val="00AC18B1"/>
    <w:rsid w:val="00AC192C"/>
    <w:rsid w:val="00AC1B81"/>
    <w:rsid w:val="00AC1BA6"/>
    <w:rsid w:val="00AC1BC7"/>
    <w:rsid w:val="00AC1C0B"/>
    <w:rsid w:val="00AC1C91"/>
    <w:rsid w:val="00AC1DEB"/>
    <w:rsid w:val="00AC1E62"/>
    <w:rsid w:val="00AC1EE8"/>
    <w:rsid w:val="00AC1F16"/>
    <w:rsid w:val="00AC1F34"/>
    <w:rsid w:val="00AC1F4A"/>
    <w:rsid w:val="00AC1FB0"/>
    <w:rsid w:val="00AC1FFD"/>
    <w:rsid w:val="00AC2029"/>
    <w:rsid w:val="00AC2135"/>
    <w:rsid w:val="00AC2253"/>
    <w:rsid w:val="00AC2476"/>
    <w:rsid w:val="00AC25B5"/>
    <w:rsid w:val="00AC2709"/>
    <w:rsid w:val="00AC278A"/>
    <w:rsid w:val="00AC283B"/>
    <w:rsid w:val="00AC2874"/>
    <w:rsid w:val="00AC28EE"/>
    <w:rsid w:val="00AC293D"/>
    <w:rsid w:val="00AC29FF"/>
    <w:rsid w:val="00AC2A34"/>
    <w:rsid w:val="00AC2A9C"/>
    <w:rsid w:val="00AC2D2B"/>
    <w:rsid w:val="00AC2D37"/>
    <w:rsid w:val="00AC2D57"/>
    <w:rsid w:val="00AC2D7F"/>
    <w:rsid w:val="00AC2F5C"/>
    <w:rsid w:val="00AC315C"/>
    <w:rsid w:val="00AC31AE"/>
    <w:rsid w:val="00AC3250"/>
    <w:rsid w:val="00AC32EF"/>
    <w:rsid w:val="00AC3394"/>
    <w:rsid w:val="00AC33E0"/>
    <w:rsid w:val="00AC33F8"/>
    <w:rsid w:val="00AC35FF"/>
    <w:rsid w:val="00AC377A"/>
    <w:rsid w:val="00AC3874"/>
    <w:rsid w:val="00AC38AE"/>
    <w:rsid w:val="00AC3924"/>
    <w:rsid w:val="00AC3984"/>
    <w:rsid w:val="00AC39AB"/>
    <w:rsid w:val="00AC3A4F"/>
    <w:rsid w:val="00AC3A68"/>
    <w:rsid w:val="00AC3A7C"/>
    <w:rsid w:val="00AC3B37"/>
    <w:rsid w:val="00AC3B3E"/>
    <w:rsid w:val="00AC3C04"/>
    <w:rsid w:val="00AC3FD5"/>
    <w:rsid w:val="00AC41D9"/>
    <w:rsid w:val="00AC4363"/>
    <w:rsid w:val="00AC438D"/>
    <w:rsid w:val="00AC4444"/>
    <w:rsid w:val="00AC45E7"/>
    <w:rsid w:val="00AC47B0"/>
    <w:rsid w:val="00AC4A01"/>
    <w:rsid w:val="00AC4A35"/>
    <w:rsid w:val="00AC4B51"/>
    <w:rsid w:val="00AC4B72"/>
    <w:rsid w:val="00AC4C79"/>
    <w:rsid w:val="00AC4D7C"/>
    <w:rsid w:val="00AC4E9D"/>
    <w:rsid w:val="00AC4F29"/>
    <w:rsid w:val="00AC4F7B"/>
    <w:rsid w:val="00AC5039"/>
    <w:rsid w:val="00AC5194"/>
    <w:rsid w:val="00AC51B3"/>
    <w:rsid w:val="00AC5220"/>
    <w:rsid w:val="00AC523F"/>
    <w:rsid w:val="00AC5306"/>
    <w:rsid w:val="00AC5323"/>
    <w:rsid w:val="00AC5582"/>
    <w:rsid w:val="00AC5593"/>
    <w:rsid w:val="00AC5684"/>
    <w:rsid w:val="00AC5749"/>
    <w:rsid w:val="00AC5799"/>
    <w:rsid w:val="00AC5822"/>
    <w:rsid w:val="00AC58E9"/>
    <w:rsid w:val="00AC5958"/>
    <w:rsid w:val="00AC59C5"/>
    <w:rsid w:val="00AC5A3F"/>
    <w:rsid w:val="00AC5B6E"/>
    <w:rsid w:val="00AC5B8C"/>
    <w:rsid w:val="00AC5BA5"/>
    <w:rsid w:val="00AC5D02"/>
    <w:rsid w:val="00AC5DBE"/>
    <w:rsid w:val="00AC5E18"/>
    <w:rsid w:val="00AC5E7A"/>
    <w:rsid w:val="00AC5F83"/>
    <w:rsid w:val="00AC6038"/>
    <w:rsid w:val="00AC6204"/>
    <w:rsid w:val="00AC634C"/>
    <w:rsid w:val="00AC6377"/>
    <w:rsid w:val="00AC63B8"/>
    <w:rsid w:val="00AC63F1"/>
    <w:rsid w:val="00AC65A0"/>
    <w:rsid w:val="00AC65E2"/>
    <w:rsid w:val="00AC662C"/>
    <w:rsid w:val="00AC67DC"/>
    <w:rsid w:val="00AC6909"/>
    <w:rsid w:val="00AC691D"/>
    <w:rsid w:val="00AC6934"/>
    <w:rsid w:val="00AC69B2"/>
    <w:rsid w:val="00AC6A9E"/>
    <w:rsid w:val="00AC6B1D"/>
    <w:rsid w:val="00AC6C6E"/>
    <w:rsid w:val="00AC6DA5"/>
    <w:rsid w:val="00AC6E09"/>
    <w:rsid w:val="00AC6E2C"/>
    <w:rsid w:val="00AC6E32"/>
    <w:rsid w:val="00AC6FF0"/>
    <w:rsid w:val="00AC7288"/>
    <w:rsid w:val="00AC72BA"/>
    <w:rsid w:val="00AC73BF"/>
    <w:rsid w:val="00AC741A"/>
    <w:rsid w:val="00AC7437"/>
    <w:rsid w:val="00AC74F1"/>
    <w:rsid w:val="00AC757C"/>
    <w:rsid w:val="00AC7858"/>
    <w:rsid w:val="00AC78BE"/>
    <w:rsid w:val="00AC7908"/>
    <w:rsid w:val="00AC7A47"/>
    <w:rsid w:val="00AC7A52"/>
    <w:rsid w:val="00AC7B51"/>
    <w:rsid w:val="00AC7B83"/>
    <w:rsid w:val="00AC7CDE"/>
    <w:rsid w:val="00AC7D85"/>
    <w:rsid w:val="00AC7E35"/>
    <w:rsid w:val="00AC7E38"/>
    <w:rsid w:val="00AC7E79"/>
    <w:rsid w:val="00AC7F1E"/>
    <w:rsid w:val="00AC7FDA"/>
    <w:rsid w:val="00AD003D"/>
    <w:rsid w:val="00AD009D"/>
    <w:rsid w:val="00AD0106"/>
    <w:rsid w:val="00AD032F"/>
    <w:rsid w:val="00AD0430"/>
    <w:rsid w:val="00AD0459"/>
    <w:rsid w:val="00AD04A8"/>
    <w:rsid w:val="00AD04D1"/>
    <w:rsid w:val="00AD0590"/>
    <w:rsid w:val="00AD0625"/>
    <w:rsid w:val="00AD086B"/>
    <w:rsid w:val="00AD0904"/>
    <w:rsid w:val="00AD099F"/>
    <w:rsid w:val="00AD09B8"/>
    <w:rsid w:val="00AD0AE4"/>
    <w:rsid w:val="00AD0B1B"/>
    <w:rsid w:val="00AD0BA4"/>
    <w:rsid w:val="00AD0C87"/>
    <w:rsid w:val="00AD0EAA"/>
    <w:rsid w:val="00AD0F8B"/>
    <w:rsid w:val="00AD1042"/>
    <w:rsid w:val="00AD109D"/>
    <w:rsid w:val="00AD1237"/>
    <w:rsid w:val="00AD12C4"/>
    <w:rsid w:val="00AD1337"/>
    <w:rsid w:val="00AD138A"/>
    <w:rsid w:val="00AD13BA"/>
    <w:rsid w:val="00AD141A"/>
    <w:rsid w:val="00AD1531"/>
    <w:rsid w:val="00AD161C"/>
    <w:rsid w:val="00AD1794"/>
    <w:rsid w:val="00AD17EC"/>
    <w:rsid w:val="00AD1822"/>
    <w:rsid w:val="00AD1AE2"/>
    <w:rsid w:val="00AD1BBB"/>
    <w:rsid w:val="00AD1D6C"/>
    <w:rsid w:val="00AD1E39"/>
    <w:rsid w:val="00AD1F7A"/>
    <w:rsid w:val="00AD2154"/>
    <w:rsid w:val="00AD215F"/>
    <w:rsid w:val="00AD217D"/>
    <w:rsid w:val="00AD218C"/>
    <w:rsid w:val="00AD231A"/>
    <w:rsid w:val="00AD2328"/>
    <w:rsid w:val="00AD232F"/>
    <w:rsid w:val="00AD234A"/>
    <w:rsid w:val="00AD2411"/>
    <w:rsid w:val="00AD2471"/>
    <w:rsid w:val="00AD24E8"/>
    <w:rsid w:val="00AD250F"/>
    <w:rsid w:val="00AD252E"/>
    <w:rsid w:val="00AD2625"/>
    <w:rsid w:val="00AD275F"/>
    <w:rsid w:val="00AD277D"/>
    <w:rsid w:val="00AD28C0"/>
    <w:rsid w:val="00AD2AD8"/>
    <w:rsid w:val="00AD2B5B"/>
    <w:rsid w:val="00AD2C07"/>
    <w:rsid w:val="00AD2C11"/>
    <w:rsid w:val="00AD2CC7"/>
    <w:rsid w:val="00AD2E0D"/>
    <w:rsid w:val="00AD2EC5"/>
    <w:rsid w:val="00AD2F22"/>
    <w:rsid w:val="00AD30AE"/>
    <w:rsid w:val="00AD30ED"/>
    <w:rsid w:val="00AD3113"/>
    <w:rsid w:val="00AD3136"/>
    <w:rsid w:val="00AD3180"/>
    <w:rsid w:val="00AD3238"/>
    <w:rsid w:val="00AD329A"/>
    <w:rsid w:val="00AD3373"/>
    <w:rsid w:val="00AD3492"/>
    <w:rsid w:val="00AD34A5"/>
    <w:rsid w:val="00AD385D"/>
    <w:rsid w:val="00AD38B9"/>
    <w:rsid w:val="00AD39E0"/>
    <w:rsid w:val="00AD3A41"/>
    <w:rsid w:val="00AD3B5E"/>
    <w:rsid w:val="00AD3BCA"/>
    <w:rsid w:val="00AD3C32"/>
    <w:rsid w:val="00AD3C48"/>
    <w:rsid w:val="00AD3C8D"/>
    <w:rsid w:val="00AD3D08"/>
    <w:rsid w:val="00AD3D6A"/>
    <w:rsid w:val="00AD3D92"/>
    <w:rsid w:val="00AD3E83"/>
    <w:rsid w:val="00AD3F4A"/>
    <w:rsid w:val="00AD3FBA"/>
    <w:rsid w:val="00AD4009"/>
    <w:rsid w:val="00AD401E"/>
    <w:rsid w:val="00AD43A6"/>
    <w:rsid w:val="00AD43BA"/>
    <w:rsid w:val="00AD44E1"/>
    <w:rsid w:val="00AD4534"/>
    <w:rsid w:val="00AD4620"/>
    <w:rsid w:val="00AD469E"/>
    <w:rsid w:val="00AD46CD"/>
    <w:rsid w:val="00AD46D6"/>
    <w:rsid w:val="00AD486E"/>
    <w:rsid w:val="00AD4994"/>
    <w:rsid w:val="00AD4BA3"/>
    <w:rsid w:val="00AD4D36"/>
    <w:rsid w:val="00AD4D50"/>
    <w:rsid w:val="00AD4E0C"/>
    <w:rsid w:val="00AD4FAC"/>
    <w:rsid w:val="00AD5063"/>
    <w:rsid w:val="00AD508F"/>
    <w:rsid w:val="00AD51DC"/>
    <w:rsid w:val="00AD51F4"/>
    <w:rsid w:val="00AD527E"/>
    <w:rsid w:val="00AD5290"/>
    <w:rsid w:val="00AD52C8"/>
    <w:rsid w:val="00AD5409"/>
    <w:rsid w:val="00AD5418"/>
    <w:rsid w:val="00AD5422"/>
    <w:rsid w:val="00AD54EF"/>
    <w:rsid w:val="00AD568F"/>
    <w:rsid w:val="00AD583E"/>
    <w:rsid w:val="00AD58B7"/>
    <w:rsid w:val="00AD5930"/>
    <w:rsid w:val="00AD5DA8"/>
    <w:rsid w:val="00AD5EB4"/>
    <w:rsid w:val="00AD6058"/>
    <w:rsid w:val="00AD6176"/>
    <w:rsid w:val="00AD619C"/>
    <w:rsid w:val="00AD619F"/>
    <w:rsid w:val="00AD6266"/>
    <w:rsid w:val="00AD63BF"/>
    <w:rsid w:val="00AD63FF"/>
    <w:rsid w:val="00AD6438"/>
    <w:rsid w:val="00AD656F"/>
    <w:rsid w:val="00AD65F2"/>
    <w:rsid w:val="00AD6608"/>
    <w:rsid w:val="00AD661D"/>
    <w:rsid w:val="00AD66F6"/>
    <w:rsid w:val="00AD696A"/>
    <w:rsid w:val="00AD6A82"/>
    <w:rsid w:val="00AD6B21"/>
    <w:rsid w:val="00AD6BAE"/>
    <w:rsid w:val="00AD6BB8"/>
    <w:rsid w:val="00AD6BD9"/>
    <w:rsid w:val="00AD6C86"/>
    <w:rsid w:val="00AD6E81"/>
    <w:rsid w:val="00AD6FD3"/>
    <w:rsid w:val="00AD7038"/>
    <w:rsid w:val="00AD709F"/>
    <w:rsid w:val="00AD70FF"/>
    <w:rsid w:val="00AD716E"/>
    <w:rsid w:val="00AD71CE"/>
    <w:rsid w:val="00AD7413"/>
    <w:rsid w:val="00AD74F2"/>
    <w:rsid w:val="00AD7543"/>
    <w:rsid w:val="00AD75C7"/>
    <w:rsid w:val="00AD75F8"/>
    <w:rsid w:val="00AD7608"/>
    <w:rsid w:val="00AD7634"/>
    <w:rsid w:val="00AD7805"/>
    <w:rsid w:val="00AD7848"/>
    <w:rsid w:val="00AD78FF"/>
    <w:rsid w:val="00AD7911"/>
    <w:rsid w:val="00AD7B3C"/>
    <w:rsid w:val="00AD7CDA"/>
    <w:rsid w:val="00AD7DB5"/>
    <w:rsid w:val="00AD7DDC"/>
    <w:rsid w:val="00AD7ED4"/>
    <w:rsid w:val="00AD7EFB"/>
    <w:rsid w:val="00AD7FBC"/>
    <w:rsid w:val="00AE0076"/>
    <w:rsid w:val="00AE0130"/>
    <w:rsid w:val="00AE023E"/>
    <w:rsid w:val="00AE0241"/>
    <w:rsid w:val="00AE0359"/>
    <w:rsid w:val="00AE03A4"/>
    <w:rsid w:val="00AE041C"/>
    <w:rsid w:val="00AE041E"/>
    <w:rsid w:val="00AE0450"/>
    <w:rsid w:val="00AE0506"/>
    <w:rsid w:val="00AE0523"/>
    <w:rsid w:val="00AE0568"/>
    <w:rsid w:val="00AE05C5"/>
    <w:rsid w:val="00AE07BB"/>
    <w:rsid w:val="00AE0A53"/>
    <w:rsid w:val="00AE0B95"/>
    <w:rsid w:val="00AE0CDB"/>
    <w:rsid w:val="00AE0DB4"/>
    <w:rsid w:val="00AE11AC"/>
    <w:rsid w:val="00AE11C0"/>
    <w:rsid w:val="00AE14BC"/>
    <w:rsid w:val="00AE14D9"/>
    <w:rsid w:val="00AE16CE"/>
    <w:rsid w:val="00AE16DB"/>
    <w:rsid w:val="00AE18EB"/>
    <w:rsid w:val="00AE19A5"/>
    <w:rsid w:val="00AE19DB"/>
    <w:rsid w:val="00AE1A10"/>
    <w:rsid w:val="00AE1AAF"/>
    <w:rsid w:val="00AE1C73"/>
    <w:rsid w:val="00AE1D94"/>
    <w:rsid w:val="00AE1FEE"/>
    <w:rsid w:val="00AE2031"/>
    <w:rsid w:val="00AE2059"/>
    <w:rsid w:val="00AE210E"/>
    <w:rsid w:val="00AE214B"/>
    <w:rsid w:val="00AE214E"/>
    <w:rsid w:val="00AE21AB"/>
    <w:rsid w:val="00AE21C7"/>
    <w:rsid w:val="00AE228F"/>
    <w:rsid w:val="00AE22CC"/>
    <w:rsid w:val="00AE242C"/>
    <w:rsid w:val="00AE249B"/>
    <w:rsid w:val="00AE24F4"/>
    <w:rsid w:val="00AE2601"/>
    <w:rsid w:val="00AE2626"/>
    <w:rsid w:val="00AE2834"/>
    <w:rsid w:val="00AE288F"/>
    <w:rsid w:val="00AE294D"/>
    <w:rsid w:val="00AE2998"/>
    <w:rsid w:val="00AE29D9"/>
    <w:rsid w:val="00AE29F4"/>
    <w:rsid w:val="00AE29FE"/>
    <w:rsid w:val="00AE2CA7"/>
    <w:rsid w:val="00AE2D0E"/>
    <w:rsid w:val="00AE2DF9"/>
    <w:rsid w:val="00AE2E21"/>
    <w:rsid w:val="00AE2E7B"/>
    <w:rsid w:val="00AE2FB4"/>
    <w:rsid w:val="00AE300C"/>
    <w:rsid w:val="00AE307C"/>
    <w:rsid w:val="00AE30D4"/>
    <w:rsid w:val="00AE323B"/>
    <w:rsid w:val="00AE324E"/>
    <w:rsid w:val="00AE32E0"/>
    <w:rsid w:val="00AE336B"/>
    <w:rsid w:val="00AE343B"/>
    <w:rsid w:val="00AE349B"/>
    <w:rsid w:val="00AE349D"/>
    <w:rsid w:val="00AE34CC"/>
    <w:rsid w:val="00AE366E"/>
    <w:rsid w:val="00AE36BD"/>
    <w:rsid w:val="00AE3708"/>
    <w:rsid w:val="00AE37EF"/>
    <w:rsid w:val="00AE3837"/>
    <w:rsid w:val="00AE396A"/>
    <w:rsid w:val="00AE3973"/>
    <w:rsid w:val="00AE39CC"/>
    <w:rsid w:val="00AE3B05"/>
    <w:rsid w:val="00AE3BA3"/>
    <w:rsid w:val="00AE3BE5"/>
    <w:rsid w:val="00AE3D47"/>
    <w:rsid w:val="00AE3DFC"/>
    <w:rsid w:val="00AE3E06"/>
    <w:rsid w:val="00AE4008"/>
    <w:rsid w:val="00AE409E"/>
    <w:rsid w:val="00AE4111"/>
    <w:rsid w:val="00AE4263"/>
    <w:rsid w:val="00AE4296"/>
    <w:rsid w:val="00AE46DB"/>
    <w:rsid w:val="00AE4701"/>
    <w:rsid w:val="00AE4B7A"/>
    <w:rsid w:val="00AE4D3A"/>
    <w:rsid w:val="00AE4E73"/>
    <w:rsid w:val="00AE50D1"/>
    <w:rsid w:val="00AE5279"/>
    <w:rsid w:val="00AE52EA"/>
    <w:rsid w:val="00AE530D"/>
    <w:rsid w:val="00AE5369"/>
    <w:rsid w:val="00AE53BB"/>
    <w:rsid w:val="00AE546E"/>
    <w:rsid w:val="00AE5537"/>
    <w:rsid w:val="00AE553C"/>
    <w:rsid w:val="00AE554B"/>
    <w:rsid w:val="00AE58E5"/>
    <w:rsid w:val="00AE5995"/>
    <w:rsid w:val="00AE5B85"/>
    <w:rsid w:val="00AE5BF0"/>
    <w:rsid w:val="00AE5BF2"/>
    <w:rsid w:val="00AE5F46"/>
    <w:rsid w:val="00AE5F73"/>
    <w:rsid w:val="00AE5FEE"/>
    <w:rsid w:val="00AE6080"/>
    <w:rsid w:val="00AE60E3"/>
    <w:rsid w:val="00AE61DA"/>
    <w:rsid w:val="00AE631B"/>
    <w:rsid w:val="00AE6404"/>
    <w:rsid w:val="00AE6659"/>
    <w:rsid w:val="00AE665D"/>
    <w:rsid w:val="00AE66D3"/>
    <w:rsid w:val="00AE6711"/>
    <w:rsid w:val="00AE69B5"/>
    <w:rsid w:val="00AE69BF"/>
    <w:rsid w:val="00AE6A2D"/>
    <w:rsid w:val="00AE6AEF"/>
    <w:rsid w:val="00AE6BFB"/>
    <w:rsid w:val="00AE6CB8"/>
    <w:rsid w:val="00AE6D10"/>
    <w:rsid w:val="00AE6DDA"/>
    <w:rsid w:val="00AE6E3C"/>
    <w:rsid w:val="00AE6EDC"/>
    <w:rsid w:val="00AE6F00"/>
    <w:rsid w:val="00AE6F85"/>
    <w:rsid w:val="00AE7003"/>
    <w:rsid w:val="00AE70A5"/>
    <w:rsid w:val="00AE7105"/>
    <w:rsid w:val="00AE7153"/>
    <w:rsid w:val="00AE726E"/>
    <w:rsid w:val="00AE7277"/>
    <w:rsid w:val="00AE72B9"/>
    <w:rsid w:val="00AE7306"/>
    <w:rsid w:val="00AE73AB"/>
    <w:rsid w:val="00AE741C"/>
    <w:rsid w:val="00AE7463"/>
    <w:rsid w:val="00AE7512"/>
    <w:rsid w:val="00AE75A6"/>
    <w:rsid w:val="00AE7663"/>
    <w:rsid w:val="00AE76FA"/>
    <w:rsid w:val="00AE77CA"/>
    <w:rsid w:val="00AE785A"/>
    <w:rsid w:val="00AE78B8"/>
    <w:rsid w:val="00AE7974"/>
    <w:rsid w:val="00AE798D"/>
    <w:rsid w:val="00AE79B4"/>
    <w:rsid w:val="00AE7A90"/>
    <w:rsid w:val="00AE7B48"/>
    <w:rsid w:val="00AE7BC4"/>
    <w:rsid w:val="00AE7D72"/>
    <w:rsid w:val="00AE7F6A"/>
    <w:rsid w:val="00AE7FA4"/>
    <w:rsid w:val="00AF0053"/>
    <w:rsid w:val="00AF0063"/>
    <w:rsid w:val="00AF008F"/>
    <w:rsid w:val="00AF0309"/>
    <w:rsid w:val="00AF05AA"/>
    <w:rsid w:val="00AF0671"/>
    <w:rsid w:val="00AF086D"/>
    <w:rsid w:val="00AF0880"/>
    <w:rsid w:val="00AF095E"/>
    <w:rsid w:val="00AF09A8"/>
    <w:rsid w:val="00AF09C3"/>
    <w:rsid w:val="00AF09C8"/>
    <w:rsid w:val="00AF0AFB"/>
    <w:rsid w:val="00AF0B0B"/>
    <w:rsid w:val="00AF0B14"/>
    <w:rsid w:val="00AF0B71"/>
    <w:rsid w:val="00AF0B97"/>
    <w:rsid w:val="00AF0CB3"/>
    <w:rsid w:val="00AF0D23"/>
    <w:rsid w:val="00AF0DED"/>
    <w:rsid w:val="00AF0EA2"/>
    <w:rsid w:val="00AF0FBD"/>
    <w:rsid w:val="00AF115E"/>
    <w:rsid w:val="00AF11D2"/>
    <w:rsid w:val="00AF1237"/>
    <w:rsid w:val="00AF1347"/>
    <w:rsid w:val="00AF159B"/>
    <w:rsid w:val="00AF161A"/>
    <w:rsid w:val="00AF1705"/>
    <w:rsid w:val="00AF18C8"/>
    <w:rsid w:val="00AF1920"/>
    <w:rsid w:val="00AF1928"/>
    <w:rsid w:val="00AF1948"/>
    <w:rsid w:val="00AF1ABD"/>
    <w:rsid w:val="00AF1AD4"/>
    <w:rsid w:val="00AF1AE4"/>
    <w:rsid w:val="00AF1B39"/>
    <w:rsid w:val="00AF1BE1"/>
    <w:rsid w:val="00AF1C2A"/>
    <w:rsid w:val="00AF1C9F"/>
    <w:rsid w:val="00AF1CFC"/>
    <w:rsid w:val="00AF1E4C"/>
    <w:rsid w:val="00AF20B9"/>
    <w:rsid w:val="00AF213A"/>
    <w:rsid w:val="00AF263B"/>
    <w:rsid w:val="00AF27AA"/>
    <w:rsid w:val="00AF27BF"/>
    <w:rsid w:val="00AF2852"/>
    <w:rsid w:val="00AF2888"/>
    <w:rsid w:val="00AF2936"/>
    <w:rsid w:val="00AF295E"/>
    <w:rsid w:val="00AF2969"/>
    <w:rsid w:val="00AF298B"/>
    <w:rsid w:val="00AF299F"/>
    <w:rsid w:val="00AF2A78"/>
    <w:rsid w:val="00AF2B47"/>
    <w:rsid w:val="00AF2B92"/>
    <w:rsid w:val="00AF2B95"/>
    <w:rsid w:val="00AF2B98"/>
    <w:rsid w:val="00AF2C9A"/>
    <w:rsid w:val="00AF2D53"/>
    <w:rsid w:val="00AF2E8D"/>
    <w:rsid w:val="00AF2EF1"/>
    <w:rsid w:val="00AF2FE6"/>
    <w:rsid w:val="00AF30C2"/>
    <w:rsid w:val="00AF31F2"/>
    <w:rsid w:val="00AF3240"/>
    <w:rsid w:val="00AF3246"/>
    <w:rsid w:val="00AF3260"/>
    <w:rsid w:val="00AF3379"/>
    <w:rsid w:val="00AF356F"/>
    <w:rsid w:val="00AF37CD"/>
    <w:rsid w:val="00AF384A"/>
    <w:rsid w:val="00AF3924"/>
    <w:rsid w:val="00AF39CB"/>
    <w:rsid w:val="00AF39DC"/>
    <w:rsid w:val="00AF3AF6"/>
    <w:rsid w:val="00AF3C00"/>
    <w:rsid w:val="00AF3C52"/>
    <w:rsid w:val="00AF3D3C"/>
    <w:rsid w:val="00AF3DEF"/>
    <w:rsid w:val="00AF3ED7"/>
    <w:rsid w:val="00AF3F57"/>
    <w:rsid w:val="00AF42EF"/>
    <w:rsid w:val="00AF4391"/>
    <w:rsid w:val="00AF4417"/>
    <w:rsid w:val="00AF44BB"/>
    <w:rsid w:val="00AF4505"/>
    <w:rsid w:val="00AF45AD"/>
    <w:rsid w:val="00AF46F5"/>
    <w:rsid w:val="00AF499C"/>
    <w:rsid w:val="00AF49F2"/>
    <w:rsid w:val="00AF4B00"/>
    <w:rsid w:val="00AF4B32"/>
    <w:rsid w:val="00AF4B7D"/>
    <w:rsid w:val="00AF4D75"/>
    <w:rsid w:val="00AF4E49"/>
    <w:rsid w:val="00AF4E69"/>
    <w:rsid w:val="00AF4EAC"/>
    <w:rsid w:val="00AF5043"/>
    <w:rsid w:val="00AF512F"/>
    <w:rsid w:val="00AF5193"/>
    <w:rsid w:val="00AF51A8"/>
    <w:rsid w:val="00AF5276"/>
    <w:rsid w:val="00AF5352"/>
    <w:rsid w:val="00AF5381"/>
    <w:rsid w:val="00AF5418"/>
    <w:rsid w:val="00AF5423"/>
    <w:rsid w:val="00AF548A"/>
    <w:rsid w:val="00AF56F5"/>
    <w:rsid w:val="00AF5785"/>
    <w:rsid w:val="00AF5AB5"/>
    <w:rsid w:val="00AF5B66"/>
    <w:rsid w:val="00AF5C4C"/>
    <w:rsid w:val="00AF5D6C"/>
    <w:rsid w:val="00AF5E44"/>
    <w:rsid w:val="00AF5EAF"/>
    <w:rsid w:val="00AF5EBD"/>
    <w:rsid w:val="00AF602C"/>
    <w:rsid w:val="00AF6044"/>
    <w:rsid w:val="00AF60E1"/>
    <w:rsid w:val="00AF6513"/>
    <w:rsid w:val="00AF662E"/>
    <w:rsid w:val="00AF662F"/>
    <w:rsid w:val="00AF66FA"/>
    <w:rsid w:val="00AF670A"/>
    <w:rsid w:val="00AF686E"/>
    <w:rsid w:val="00AF688A"/>
    <w:rsid w:val="00AF68D7"/>
    <w:rsid w:val="00AF6906"/>
    <w:rsid w:val="00AF6951"/>
    <w:rsid w:val="00AF697D"/>
    <w:rsid w:val="00AF69BC"/>
    <w:rsid w:val="00AF69EB"/>
    <w:rsid w:val="00AF6A46"/>
    <w:rsid w:val="00AF6BE5"/>
    <w:rsid w:val="00AF6BFB"/>
    <w:rsid w:val="00AF6D87"/>
    <w:rsid w:val="00AF6E0C"/>
    <w:rsid w:val="00AF70C2"/>
    <w:rsid w:val="00AF70E9"/>
    <w:rsid w:val="00AF7156"/>
    <w:rsid w:val="00AF7390"/>
    <w:rsid w:val="00AF73AF"/>
    <w:rsid w:val="00AF741E"/>
    <w:rsid w:val="00AF757A"/>
    <w:rsid w:val="00AF7599"/>
    <w:rsid w:val="00AF76D7"/>
    <w:rsid w:val="00AF784E"/>
    <w:rsid w:val="00AF78C4"/>
    <w:rsid w:val="00AF7A9E"/>
    <w:rsid w:val="00AF7B1B"/>
    <w:rsid w:val="00AF7B38"/>
    <w:rsid w:val="00AF7C54"/>
    <w:rsid w:val="00AF7E35"/>
    <w:rsid w:val="00AF7E94"/>
    <w:rsid w:val="00AF7F24"/>
    <w:rsid w:val="00B0025E"/>
    <w:rsid w:val="00B00293"/>
    <w:rsid w:val="00B0029A"/>
    <w:rsid w:val="00B002B3"/>
    <w:rsid w:val="00B00310"/>
    <w:rsid w:val="00B0039B"/>
    <w:rsid w:val="00B0065B"/>
    <w:rsid w:val="00B0065F"/>
    <w:rsid w:val="00B00699"/>
    <w:rsid w:val="00B006AB"/>
    <w:rsid w:val="00B0073B"/>
    <w:rsid w:val="00B00808"/>
    <w:rsid w:val="00B00B15"/>
    <w:rsid w:val="00B00B59"/>
    <w:rsid w:val="00B00BBC"/>
    <w:rsid w:val="00B00D7A"/>
    <w:rsid w:val="00B0122B"/>
    <w:rsid w:val="00B0124C"/>
    <w:rsid w:val="00B01560"/>
    <w:rsid w:val="00B016B8"/>
    <w:rsid w:val="00B0171A"/>
    <w:rsid w:val="00B0191E"/>
    <w:rsid w:val="00B019F4"/>
    <w:rsid w:val="00B019F8"/>
    <w:rsid w:val="00B01BBB"/>
    <w:rsid w:val="00B01CD1"/>
    <w:rsid w:val="00B01CE1"/>
    <w:rsid w:val="00B01CEF"/>
    <w:rsid w:val="00B01D59"/>
    <w:rsid w:val="00B01EA8"/>
    <w:rsid w:val="00B01F4C"/>
    <w:rsid w:val="00B01F5E"/>
    <w:rsid w:val="00B01FC6"/>
    <w:rsid w:val="00B0206C"/>
    <w:rsid w:val="00B020FA"/>
    <w:rsid w:val="00B0229E"/>
    <w:rsid w:val="00B022AA"/>
    <w:rsid w:val="00B02364"/>
    <w:rsid w:val="00B0249C"/>
    <w:rsid w:val="00B025BC"/>
    <w:rsid w:val="00B02604"/>
    <w:rsid w:val="00B0261E"/>
    <w:rsid w:val="00B0267E"/>
    <w:rsid w:val="00B026B8"/>
    <w:rsid w:val="00B0270D"/>
    <w:rsid w:val="00B027B6"/>
    <w:rsid w:val="00B0285B"/>
    <w:rsid w:val="00B0286E"/>
    <w:rsid w:val="00B02BA7"/>
    <w:rsid w:val="00B02D5A"/>
    <w:rsid w:val="00B02EA3"/>
    <w:rsid w:val="00B03008"/>
    <w:rsid w:val="00B0303F"/>
    <w:rsid w:val="00B03098"/>
    <w:rsid w:val="00B03133"/>
    <w:rsid w:val="00B03390"/>
    <w:rsid w:val="00B0341A"/>
    <w:rsid w:val="00B03625"/>
    <w:rsid w:val="00B037ED"/>
    <w:rsid w:val="00B0389C"/>
    <w:rsid w:val="00B038D0"/>
    <w:rsid w:val="00B038DD"/>
    <w:rsid w:val="00B0398E"/>
    <w:rsid w:val="00B03AB4"/>
    <w:rsid w:val="00B03C46"/>
    <w:rsid w:val="00B03C63"/>
    <w:rsid w:val="00B03CD2"/>
    <w:rsid w:val="00B03DB0"/>
    <w:rsid w:val="00B03DD6"/>
    <w:rsid w:val="00B03F9D"/>
    <w:rsid w:val="00B042C7"/>
    <w:rsid w:val="00B04365"/>
    <w:rsid w:val="00B043AF"/>
    <w:rsid w:val="00B04540"/>
    <w:rsid w:val="00B04720"/>
    <w:rsid w:val="00B047E1"/>
    <w:rsid w:val="00B047FC"/>
    <w:rsid w:val="00B048FD"/>
    <w:rsid w:val="00B049B0"/>
    <w:rsid w:val="00B049FF"/>
    <w:rsid w:val="00B04C29"/>
    <w:rsid w:val="00B04D7E"/>
    <w:rsid w:val="00B04EC7"/>
    <w:rsid w:val="00B04F1C"/>
    <w:rsid w:val="00B04FA9"/>
    <w:rsid w:val="00B05104"/>
    <w:rsid w:val="00B05149"/>
    <w:rsid w:val="00B0539A"/>
    <w:rsid w:val="00B053C6"/>
    <w:rsid w:val="00B053C7"/>
    <w:rsid w:val="00B05494"/>
    <w:rsid w:val="00B054C5"/>
    <w:rsid w:val="00B054CE"/>
    <w:rsid w:val="00B0552F"/>
    <w:rsid w:val="00B0579D"/>
    <w:rsid w:val="00B05857"/>
    <w:rsid w:val="00B05899"/>
    <w:rsid w:val="00B05AF2"/>
    <w:rsid w:val="00B05B3F"/>
    <w:rsid w:val="00B05B55"/>
    <w:rsid w:val="00B05B88"/>
    <w:rsid w:val="00B05B8B"/>
    <w:rsid w:val="00B05B92"/>
    <w:rsid w:val="00B05BDC"/>
    <w:rsid w:val="00B05C86"/>
    <w:rsid w:val="00B05C8F"/>
    <w:rsid w:val="00B05D39"/>
    <w:rsid w:val="00B05EAC"/>
    <w:rsid w:val="00B05ECF"/>
    <w:rsid w:val="00B0605C"/>
    <w:rsid w:val="00B061BB"/>
    <w:rsid w:val="00B061DA"/>
    <w:rsid w:val="00B062DB"/>
    <w:rsid w:val="00B063A9"/>
    <w:rsid w:val="00B063FD"/>
    <w:rsid w:val="00B0648A"/>
    <w:rsid w:val="00B06565"/>
    <w:rsid w:val="00B065D6"/>
    <w:rsid w:val="00B067E1"/>
    <w:rsid w:val="00B0685C"/>
    <w:rsid w:val="00B06974"/>
    <w:rsid w:val="00B06A88"/>
    <w:rsid w:val="00B06A99"/>
    <w:rsid w:val="00B06AD8"/>
    <w:rsid w:val="00B06B2C"/>
    <w:rsid w:val="00B06BAB"/>
    <w:rsid w:val="00B06C2A"/>
    <w:rsid w:val="00B06C87"/>
    <w:rsid w:val="00B06E13"/>
    <w:rsid w:val="00B0705D"/>
    <w:rsid w:val="00B07185"/>
    <w:rsid w:val="00B071BA"/>
    <w:rsid w:val="00B072B8"/>
    <w:rsid w:val="00B072BB"/>
    <w:rsid w:val="00B074EA"/>
    <w:rsid w:val="00B07518"/>
    <w:rsid w:val="00B07624"/>
    <w:rsid w:val="00B07870"/>
    <w:rsid w:val="00B078C1"/>
    <w:rsid w:val="00B0790C"/>
    <w:rsid w:val="00B07A33"/>
    <w:rsid w:val="00B07AC3"/>
    <w:rsid w:val="00B07B21"/>
    <w:rsid w:val="00B07BF0"/>
    <w:rsid w:val="00B07BF2"/>
    <w:rsid w:val="00B07C62"/>
    <w:rsid w:val="00B07C73"/>
    <w:rsid w:val="00B07CB0"/>
    <w:rsid w:val="00B07CF8"/>
    <w:rsid w:val="00B07D2E"/>
    <w:rsid w:val="00B07D9C"/>
    <w:rsid w:val="00B07DAB"/>
    <w:rsid w:val="00B07E1F"/>
    <w:rsid w:val="00B07EAE"/>
    <w:rsid w:val="00B07FED"/>
    <w:rsid w:val="00B10195"/>
    <w:rsid w:val="00B10377"/>
    <w:rsid w:val="00B1037B"/>
    <w:rsid w:val="00B103AF"/>
    <w:rsid w:val="00B10561"/>
    <w:rsid w:val="00B10595"/>
    <w:rsid w:val="00B105A1"/>
    <w:rsid w:val="00B106FA"/>
    <w:rsid w:val="00B1079C"/>
    <w:rsid w:val="00B108AB"/>
    <w:rsid w:val="00B10932"/>
    <w:rsid w:val="00B10CA6"/>
    <w:rsid w:val="00B10CB4"/>
    <w:rsid w:val="00B10D5B"/>
    <w:rsid w:val="00B10ED6"/>
    <w:rsid w:val="00B10EF7"/>
    <w:rsid w:val="00B10FB7"/>
    <w:rsid w:val="00B10FC6"/>
    <w:rsid w:val="00B11128"/>
    <w:rsid w:val="00B11232"/>
    <w:rsid w:val="00B11297"/>
    <w:rsid w:val="00B11370"/>
    <w:rsid w:val="00B1155F"/>
    <w:rsid w:val="00B1174E"/>
    <w:rsid w:val="00B11796"/>
    <w:rsid w:val="00B11810"/>
    <w:rsid w:val="00B11898"/>
    <w:rsid w:val="00B1197C"/>
    <w:rsid w:val="00B11B02"/>
    <w:rsid w:val="00B11B80"/>
    <w:rsid w:val="00B11E20"/>
    <w:rsid w:val="00B11E70"/>
    <w:rsid w:val="00B11EB8"/>
    <w:rsid w:val="00B11F56"/>
    <w:rsid w:val="00B11FF9"/>
    <w:rsid w:val="00B12061"/>
    <w:rsid w:val="00B12071"/>
    <w:rsid w:val="00B120D4"/>
    <w:rsid w:val="00B1220E"/>
    <w:rsid w:val="00B12260"/>
    <w:rsid w:val="00B122A4"/>
    <w:rsid w:val="00B12401"/>
    <w:rsid w:val="00B12469"/>
    <w:rsid w:val="00B12568"/>
    <w:rsid w:val="00B1260A"/>
    <w:rsid w:val="00B126AC"/>
    <w:rsid w:val="00B126C1"/>
    <w:rsid w:val="00B12845"/>
    <w:rsid w:val="00B12879"/>
    <w:rsid w:val="00B12893"/>
    <w:rsid w:val="00B1289F"/>
    <w:rsid w:val="00B1296F"/>
    <w:rsid w:val="00B12C3A"/>
    <w:rsid w:val="00B12C8A"/>
    <w:rsid w:val="00B12CED"/>
    <w:rsid w:val="00B12DA6"/>
    <w:rsid w:val="00B12E66"/>
    <w:rsid w:val="00B12EA5"/>
    <w:rsid w:val="00B1300E"/>
    <w:rsid w:val="00B130B7"/>
    <w:rsid w:val="00B13106"/>
    <w:rsid w:val="00B1324C"/>
    <w:rsid w:val="00B1337B"/>
    <w:rsid w:val="00B1339D"/>
    <w:rsid w:val="00B134AE"/>
    <w:rsid w:val="00B135E7"/>
    <w:rsid w:val="00B13809"/>
    <w:rsid w:val="00B1381E"/>
    <w:rsid w:val="00B13908"/>
    <w:rsid w:val="00B1394E"/>
    <w:rsid w:val="00B13ABB"/>
    <w:rsid w:val="00B13ACF"/>
    <w:rsid w:val="00B13B20"/>
    <w:rsid w:val="00B13C59"/>
    <w:rsid w:val="00B13C8A"/>
    <w:rsid w:val="00B13CFA"/>
    <w:rsid w:val="00B13E02"/>
    <w:rsid w:val="00B13E5A"/>
    <w:rsid w:val="00B140DA"/>
    <w:rsid w:val="00B14119"/>
    <w:rsid w:val="00B1433B"/>
    <w:rsid w:val="00B1437A"/>
    <w:rsid w:val="00B14411"/>
    <w:rsid w:val="00B144A6"/>
    <w:rsid w:val="00B1451B"/>
    <w:rsid w:val="00B145AC"/>
    <w:rsid w:val="00B145B3"/>
    <w:rsid w:val="00B14945"/>
    <w:rsid w:val="00B14A03"/>
    <w:rsid w:val="00B14A13"/>
    <w:rsid w:val="00B14A5B"/>
    <w:rsid w:val="00B14CFD"/>
    <w:rsid w:val="00B14F23"/>
    <w:rsid w:val="00B14F37"/>
    <w:rsid w:val="00B150D2"/>
    <w:rsid w:val="00B151F5"/>
    <w:rsid w:val="00B15339"/>
    <w:rsid w:val="00B15407"/>
    <w:rsid w:val="00B154CD"/>
    <w:rsid w:val="00B15526"/>
    <w:rsid w:val="00B157E5"/>
    <w:rsid w:val="00B157E6"/>
    <w:rsid w:val="00B159BE"/>
    <w:rsid w:val="00B159D4"/>
    <w:rsid w:val="00B15A8A"/>
    <w:rsid w:val="00B15AAD"/>
    <w:rsid w:val="00B15B66"/>
    <w:rsid w:val="00B15BD3"/>
    <w:rsid w:val="00B15C08"/>
    <w:rsid w:val="00B15C2F"/>
    <w:rsid w:val="00B15CB6"/>
    <w:rsid w:val="00B15D41"/>
    <w:rsid w:val="00B15D4B"/>
    <w:rsid w:val="00B15DA5"/>
    <w:rsid w:val="00B1627E"/>
    <w:rsid w:val="00B162F8"/>
    <w:rsid w:val="00B163B8"/>
    <w:rsid w:val="00B163D7"/>
    <w:rsid w:val="00B1641B"/>
    <w:rsid w:val="00B16458"/>
    <w:rsid w:val="00B164D3"/>
    <w:rsid w:val="00B165B1"/>
    <w:rsid w:val="00B16631"/>
    <w:rsid w:val="00B16817"/>
    <w:rsid w:val="00B16922"/>
    <w:rsid w:val="00B169A8"/>
    <w:rsid w:val="00B16A4D"/>
    <w:rsid w:val="00B16AC7"/>
    <w:rsid w:val="00B16AD7"/>
    <w:rsid w:val="00B16C1F"/>
    <w:rsid w:val="00B16C9E"/>
    <w:rsid w:val="00B16D0F"/>
    <w:rsid w:val="00B16D5C"/>
    <w:rsid w:val="00B16D94"/>
    <w:rsid w:val="00B16E3E"/>
    <w:rsid w:val="00B16E68"/>
    <w:rsid w:val="00B16F08"/>
    <w:rsid w:val="00B16FCA"/>
    <w:rsid w:val="00B172FA"/>
    <w:rsid w:val="00B1741E"/>
    <w:rsid w:val="00B174EB"/>
    <w:rsid w:val="00B17525"/>
    <w:rsid w:val="00B17590"/>
    <w:rsid w:val="00B17640"/>
    <w:rsid w:val="00B1765F"/>
    <w:rsid w:val="00B17694"/>
    <w:rsid w:val="00B176DC"/>
    <w:rsid w:val="00B178A0"/>
    <w:rsid w:val="00B178CA"/>
    <w:rsid w:val="00B17949"/>
    <w:rsid w:val="00B17A61"/>
    <w:rsid w:val="00B17BFB"/>
    <w:rsid w:val="00B17CE5"/>
    <w:rsid w:val="00B17F5B"/>
    <w:rsid w:val="00B202DD"/>
    <w:rsid w:val="00B2035A"/>
    <w:rsid w:val="00B203E2"/>
    <w:rsid w:val="00B2054A"/>
    <w:rsid w:val="00B20599"/>
    <w:rsid w:val="00B20659"/>
    <w:rsid w:val="00B208FE"/>
    <w:rsid w:val="00B209AE"/>
    <w:rsid w:val="00B20B99"/>
    <w:rsid w:val="00B20C42"/>
    <w:rsid w:val="00B20E8F"/>
    <w:rsid w:val="00B20EDF"/>
    <w:rsid w:val="00B20F42"/>
    <w:rsid w:val="00B21003"/>
    <w:rsid w:val="00B2124C"/>
    <w:rsid w:val="00B212F3"/>
    <w:rsid w:val="00B21451"/>
    <w:rsid w:val="00B214EB"/>
    <w:rsid w:val="00B2151D"/>
    <w:rsid w:val="00B215F6"/>
    <w:rsid w:val="00B215FF"/>
    <w:rsid w:val="00B2163F"/>
    <w:rsid w:val="00B2166F"/>
    <w:rsid w:val="00B216B5"/>
    <w:rsid w:val="00B216D4"/>
    <w:rsid w:val="00B216FF"/>
    <w:rsid w:val="00B217C5"/>
    <w:rsid w:val="00B21862"/>
    <w:rsid w:val="00B21901"/>
    <w:rsid w:val="00B2198E"/>
    <w:rsid w:val="00B219F4"/>
    <w:rsid w:val="00B21A26"/>
    <w:rsid w:val="00B21AFA"/>
    <w:rsid w:val="00B21FD0"/>
    <w:rsid w:val="00B22029"/>
    <w:rsid w:val="00B22067"/>
    <w:rsid w:val="00B220AB"/>
    <w:rsid w:val="00B220F4"/>
    <w:rsid w:val="00B220F5"/>
    <w:rsid w:val="00B2210D"/>
    <w:rsid w:val="00B22166"/>
    <w:rsid w:val="00B22252"/>
    <w:rsid w:val="00B22256"/>
    <w:rsid w:val="00B22292"/>
    <w:rsid w:val="00B222BA"/>
    <w:rsid w:val="00B223CF"/>
    <w:rsid w:val="00B2240E"/>
    <w:rsid w:val="00B224B1"/>
    <w:rsid w:val="00B224B5"/>
    <w:rsid w:val="00B224EA"/>
    <w:rsid w:val="00B2255A"/>
    <w:rsid w:val="00B2262E"/>
    <w:rsid w:val="00B226D5"/>
    <w:rsid w:val="00B227A9"/>
    <w:rsid w:val="00B2281E"/>
    <w:rsid w:val="00B2290E"/>
    <w:rsid w:val="00B22977"/>
    <w:rsid w:val="00B22B7E"/>
    <w:rsid w:val="00B22BB9"/>
    <w:rsid w:val="00B22C9F"/>
    <w:rsid w:val="00B22D33"/>
    <w:rsid w:val="00B22D46"/>
    <w:rsid w:val="00B22EC7"/>
    <w:rsid w:val="00B22F09"/>
    <w:rsid w:val="00B22F5B"/>
    <w:rsid w:val="00B23023"/>
    <w:rsid w:val="00B23046"/>
    <w:rsid w:val="00B23080"/>
    <w:rsid w:val="00B23101"/>
    <w:rsid w:val="00B2321F"/>
    <w:rsid w:val="00B23285"/>
    <w:rsid w:val="00B232B2"/>
    <w:rsid w:val="00B232E6"/>
    <w:rsid w:val="00B232F8"/>
    <w:rsid w:val="00B2330D"/>
    <w:rsid w:val="00B2339C"/>
    <w:rsid w:val="00B23453"/>
    <w:rsid w:val="00B2348C"/>
    <w:rsid w:val="00B23682"/>
    <w:rsid w:val="00B2377C"/>
    <w:rsid w:val="00B237AB"/>
    <w:rsid w:val="00B23865"/>
    <w:rsid w:val="00B2398C"/>
    <w:rsid w:val="00B23BC9"/>
    <w:rsid w:val="00B23D2D"/>
    <w:rsid w:val="00B23D7C"/>
    <w:rsid w:val="00B23F0E"/>
    <w:rsid w:val="00B23FCE"/>
    <w:rsid w:val="00B240FC"/>
    <w:rsid w:val="00B24246"/>
    <w:rsid w:val="00B24279"/>
    <w:rsid w:val="00B24345"/>
    <w:rsid w:val="00B243F0"/>
    <w:rsid w:val="00B2442D"/>
    <w:rsid w:val="00B24541"/>
    <w:rsid w:val="00B245D2"/>
    <w:rsid w:val="00B24646"/>
    <w:rsid w:val="00B246C6"/>
    <w:rsid w:val="00B24AF6"/>
    <w:rsid w:val="00B24B67"/>
    <w:rsid w:val="00B24C44"/>
    <w:rsid w:val="00B24D98"/>
    <w:rsid w:val="00B24DBA"/>
    <w:rsid w:val="00B24E67"/>
    <w:rsid w:val="00B24EB0"/>
    <w:rsid w:val="00B24FE3"/>
    <w:rsid w:val="00B25041"/>
    <w:rsid w:val="00B2507C"/>
    <w:rsid w:val="00B253DB"/>
    <w:rsid w:val="00B25453"/>
    <w:rsid w:val="00B254A1"/>
    <w:rsid w:val="00B254F3"/>
    <w:rsid w:val="00B254F9"/>
    <w:rsid w:val="00B25535"/>
    <w:rsid w:val="00B2559D"/>
    <w:rsid w:val="00B25600"/>
    <w:rsid w:val="00B25912"/>
    <w:rsid w:val="00B25984"/>
    <w:rsid w:val="00B25BB6"/>
    <w:rsid w:val="00B25CC8"/>
    <w:rsid w:val="00B25CDE"/>
    <w:rsid w:val="00B25CF3"/>
    <w:rsid w:val="00B25EF3"/>
    <w:rsid w:val="00B25F42"/>
    <w:rsid w:val="00B25F82"/>
    <w:rsid w:val="00B26017"/>
    <w:rsid w:val="00B260FF"/>
    <w:rsid w:val="00B26266"/>
    <w:rsid w:val="00B263AA"/>
    <w:rsid w:val="00B26421"/>
    <w:rsid w:val="00B26445"/>
    <w:rsid w:val="00B265D7"/>
    <w:rsid w:val="00B26697"/>
    <w:rsid w:val="00B267A0"/>
    <w:rsid w:val="00B267CE"/>
    <w:rsid w:val="00B26830"/>
    <w:rsid w:val="00B26891"/>
    <w:rsid w:val="00B26A6A"/>
    <w:rsid w:val="00B26A6F"/>
    <w:rsid w:val="00B26B6B"/>
    <w:rsid w:val="00B26C61"/>
    <w:rsid w:val="00B26C82"/>
    <w:rsid w:val="00B26C97"/>
    <w:rsid w:val="00B26D56"/>
    <w:rsid w:val="00B26ED5"/>
    <w:rsid w:val="00B26F7E"/>
    <w:rsid w:val="00B27006"/>
    <w:rsid w:val="00B27096"/>
    <w:rsid w:val="00B270ED"/>
    <w:rsid w:val="00B270FB"/>
    <w:rsid w:val="00B2716D"/>
    <w:rsid w:val="00B271D7"/>
    <w:rsid w:val="00B2734B"/>
    <w:rsid w:val="00B274D9"/>
    <w:rsid w:val="00B2760E"/>
    <w:rsid w:val="00B2763C"/>
    <w:rsid w:val="00B276F0"/>
    <w:rsid w:val="00B27823"/>
    <w:rsid w:val="00B2782D"/>
    <w:rsid w:val="00B27983"/>
    <w:rsid w:val="00B27BCE"/>
    <w:rsid w:val="00B27D8F"/>
    <w:rsid w:val="00B27F01"/>
    <w:rsid w:val="00B30074"/>
    <w:rsid w:val="00B30099"/>
    <w:rsid w:val="00B300B9"/>
    <w:rsid w:val="00B300F9"/>
    <w:rsid w:val="00B30132"/>
    <w:rsid w:val="00B30170"/>
    <w:rsid w:val="00B301F8"/>
    <w:rsid w:val="00B30253"/>
    <w:rsid w:val="00B302CC"/>
    <w:rsid w:val="00B30340"/>
    <w:rsid w:val="00B30358"/>
    <w:rsid w:val="00B30359"/>
    <w:rsid w:val="00B3042C"/>
    <w:rsid w:val="00B304B5"/>
    <w:rsid w:val="00B304C0"/>
    <w:rsid w:val="00B306F0"/>
    <w:rsid w:val="00B30705"/>
    <w:rsid w:val="00B30714"/>
    <w:rsid w:val="00B3077A"/>
    <w:rsid w:val="00B30846"/>
    <w:rsid w:val="00B30932"/>
    <w:rsid w:val="00B309C2"/>
    <w:rsid w:val="00B30A5E"/>
    <w:rsid w:val="00B30B1E"/>
    <w:rsid w:val="00B30BF1"/>
    <w:rsid w:val="00B30C75"/>
    <w:rsid w:val="00B30CDC"/>
    <w:rsid w:val="00B30D43"/>
    <w:rsid w:val="00B30D74"/>
    <w:rsid w:val="00B30DFA"/>
    <w:rsid w:val="00B30E49"/>
    <w:rsid w:val="00B30E56"/>
    <w:rsid w:val="00B30E94"/>
    <w:rsid w:val="00B30F0F"/>
    <w:rsid w:val="00B30F3C"/>
    <w:rsid w:val="00B30FCA"/>
    <w:rsid w:val="00B310C1"/>
    <w:rsid w:val="00B31119"/>
    <w:rsid w:val="00B31148"/>
    <w:rsid w:val="00B3115B"/>
    <w:rsid w:val="00B3121E"/>
    <w:rsid w:val="00B31271"/>
    <w:rsid w:val="00B312E4"/>
    <w:rsid w:val="00B31320"/>
    <w:rsid w:val="00B3144E"/>
    <w:rsid w:val="00B31490"/>
    <w:rsid w:val="00B314B8"/>
    <w:rsid w:val="00B31572"/>
    <w:rsid w:val="00B31597"/>
    <w:rsid w:val="00B315E8"/>
    <w:rsid w:val="00B31605"/>
    <w:rsid w:val="00B31787"/>
    <w:rsid w:val="00B31817"/>
    <w:rsid w:val="00B31990"/>
    <w:rsid w:val="00B31ABD"/>
    <w:rsid w:val="00B31AC8"/>
    <w:rsid w:val="00B31B86"/>
    <w:rsid w:val="00B31BFD"/>
    <w:rsid w:val="00B31CEA"/>
    <w:rsid w:val="00B31DF5"/>
    <w:rsid w:val="00B31FA2"/>
    <w:rsid w:val="00B3214F"/>
    <w:rsid w:val="00B32212"/>
    <w:rsid w:val="00B3231B"/>
    <w:rsid w:val="00B32517"/>
    <w:rsid w:val="00B3271C"/>
    <w:rsid w:val="00B32878"/>
    <w:rsid w:val="00B32893"/>
    <w:rsid w:val="00B32A3E"/>
    <w:rsid w:val="00B32A43"/>
    <w:rsid w:val="00B32B00"/>
    <w:rsid w:val="00B32B0C"/>
    <w:rsid w:val="00B32B90"/>
    <w:rsid w:val="00B330E9"/>
    <w:rsid w:val="00B33127"/>
    <w:rsid w:val="00B331CC"/>
    <w:rsid w:val="00B332C9"/>
    <w:rsid w:val="00B33313"/>
    <w:rsid w:val="00B3333C"/>
    <w:rsid w:val="00B3348E"/>
    <w:rsid w:val="00B335DF"/>
    <w:rsid w:val="00B33633"/>
    <w:rsid w:val="00B33647"/>
    <w:rsid w:val="00B33731"/>
    <w:rsid w:val="00B339A2"/>
    <w:rsid w:val="00B33A02"/>
    <w:rsid w:val="00B33A6D"/>
    <w:rsid w:val="00B33B64"/>
    <w:rsid w:val="00B33EB2"/>
    <w:rsid w:val="00B33EC3"/>
    <w:rsid w:val="00B33F4A"/>
    <w:rsid w:val="00B33F96"/>
    <w:rsid w:val="00B33FCE"/>
    <w:rsid w:val="00B340B4"/>
    <w:rsid w:val="00B345EF"/>
    <w:rsid w:val="00B346C9"/>
    <w:rsid w:val="00B34749"/>
    <w:rsid w:val="00B347CD"/>
    <w:rsid w:val="00B347F3"/>
    <w:rsid w:val="00B348CB"/>
    <w:rsid w:val="00B349B9"/>
    <w:rsid w:val="00B349BA"/>
    <w:rsid w:val="00B34A8E"/>
    <w:rsid w:val="00B34C08"/>
    <w:rsid w:val="00B34CB0"/>
    <w:rsid w:val="00B34D0E"/>
    <w:rsid w:val="00B34FA5"/>
    <w:rsid w:val="00B34FCA"/>
    <w:rsid w:val="00B351A9"/>
    <w:rsid w:val="00B3526E"/>
    <w:rsid w:val="00B35440"/>
    <w:rsid w:val="00B3573E"/>
    <w:rsid w:val="00B35794"/>
    <w:rsid w:val="00B3579D"/>
    <w:rsid w:val="00B35B0F"/>
    <w:rsid w:val="00B35B86"/>
    <w:rsid w:val="00B35D83"/>
    <w:rsid w:val="00B35D97"/>
    <w:rsid w:val="00B35DE9"/>
    <w:rsid w:val="00B35DF0"/>
    <w:rsid w:val="00B35F11"/>
    <w:rsid w:val="00B35F31"/>
    <w:rsid w:val="00B35F7B"/>
    <w:rsid w:val="00B35F83"/>
    <w:rsid w:val="00B360CA"/>
    <w:rsid w:val="00B36287"/>
    <w:rsid w:val="00B3632E"/>
    <w:rsid w:val="00B3633E"/>
    <w:rsid w:val="00B3649A"/>
    <w:rsid w:val="00B36624"/>
    <w:rsid w:val="00B36655"/>
    <w:rsid w:val="00B36736"/>
    <w:rsid w:val="00B36765"/>
    <w:rsid w:val="00B367D1"/>
    <w:rsid w:val="00B367E5"/>
    <w:rsid w:val="00B36848"/>
    <w:rsid w:val="00B36879"/>
    <w:rsid w:val="00B36A52"/>
    <w:rsid w:val="00B36BDA"/>
    <w:rsid w:val="00B36C4D"/>
    <w:rsid w:val="00B36C97"/>
    <w:rsid w:val="00B36CE4"/>
    <w:rsid w:val="00B36D34"/>
    <w:rsid w:val="00B36D42"/>
    <w:rsid w:val="00B36ECC"/>
    <w:rsid w:val="00B36F3A"/>
    <w:rsid w:val="00B3701E"/>
    <w:rsid w:val="00B371AB"/>
    <w:rsid w:val="00B3725C"/>
    <w:rsid w:val="00B3727E"/>
    <w:rsid w:val="00B372E6"/>
    <w:rsid w:val="00B37393"/>
    <w:rsid w:val="00B37417"/>
    <w:rsid w:val="00B374E0"/>
    <w:rsid w:val="00B375F3"/>
    <w:rsid w:val="00B3766D"/>
    <w:rsid w:val="00B37767"/>
    <w:rsid w:val="00B3777B"/>
    <w:rsid w:val="00B3778C"/>
    <w:rsid w:val="00B37891"/>
    <w:rsid w:val="00B379E3"/>
    <w:rsid w:val="00B37A08"/>
    <w:rsid w:val="00B37A10"/>
    <w:rsid w:val="00B37AC1"/>
    <w:rsid w:val="00B37ADF"/>
    <w:rsid w:val="00B37B7F"/>
    <w:rsid w:val="00B37DE3"/>
    <w:rsid w:val="00B37F8E"/>
    <w:rsid w:val="00B37FC2"/>
    <w:rsid w:val="00B37FD3"/>
    <w:rsid w:val="00B40032"/>
    <w:rsid w:val="00B40099"/>
    <w:rsid w:val="00B4009C"/>
    <w:rsid w:val="00B40234"/>
    <w:rsid w:val="00B40313"/>
    <w:rsid w:val="00B4032B"/>
    <w:rsid w:val="00B4033F"/>
    <w:rsid w:val="00B40379"/>
    <w:rsid w:val="00B403D3"/>
    <w:rsid w:val="00B403D6"/>
    <w:rsid w:val="00B4051B"/>
    <w:rsid w:val="00B405E7"/>
    <w:rsid w:val="00B4067D"/>
    <w:rsid w:val="00B406E8"/>
    <w:rsid w:val="00B40766"/>
    <w:rsid w:val="00B407EA"/>
    <w:rsid w:val="00B407ED"/>
    <w:rsid w:val="00B40876"/>
    <w:rsid w:val="00B4095B"/>
    <w:rsid w:val="00B40BBD"/>
    <w:rsid w:val="00B40C3E"/>
    <w:rsid w:val="00B40C72"/>
    <w:rsid w:val="00B40CBD"/>
    <w:rsid w:val="00B40CC8"/>
    <w:rsid w:val="00B40DE6"/>
    <w:rsid w:val="00B40E3A"/>
    <w:rsid w:val="00B40E4B"/>
    <w:rsid w:val="00B40F49"/>
    <w:rsid w:val="00B40F9A"/>
    <w:rsid w:val="00B410CC"/>
    <w:rsid w:val="00B410FC"/>
    <w:rsid w:val="00B4113B"/>
    <w:rsid w:val="00B4117B"/>
    <w:rsid w:val="00B411AE"/>
    <w:rsid w:val="00B41256"/>
    <w:rsid w:val="00B412A7"/>
    <w:rsid w:val="00B41506"/>
    <w:rsid w:val="00B4151E"/>
    <w:rsid w:val="00B415C5"/>
    <w:rsid w:val="00B4172E"/>
    <w:rsid w:val="00B41889"/>
    <w:rsid w:val="00B418A9"/>
    <w:rsid w:val="00B41965"/>
    <w:rsid w:val="00B419E6"/>
    <w:rsid w:val="00B419F1"/>
    <w:rsid w:val="00B41B16"/>
    <w:rsid w:val="00B41B47"/>
    <w:rsid w:val="00B41B55"/>
    <w:rsid w:val="00B41BC6"/>
    <w:rsid w:val="00B41D95"/>
    <w:rsid w:val="00B41DD8"/>
    <w:rsid w:val="00B41F9F"/>
    <w:rsid w:val="00B41FC1"/>
    <w:rsid w:val="00B42018"/>
    <w:rsid w:val="00B4204E"/>
    <w:rsid w:val="00B420A2"/>
    <w:rsid w:val="00B4235C"/>
    <w:rsid w:val="00B42388"/>
    <w:rsid w:val="00B423A2"/>
    <w:rsid w:val="00B4240A"/>
    <w:rsid w:val="00B42484"/>
    <w:rsid w:val="00B42710"/>
    <w:rsid w:val="00B42728"/>
    <w:rsid w:val="00B42753"/>
    <w:rsid w:val="00B42801"/>
    <w:rsid w:val="00B42947"/>
    <w:rsid w:val="00B42959"/>
    <w:rsid w:val="00B429F2"/>
    <w:rsid w:val="00B42A5F"/>
    <w:rsid w:val="00B42A88"/>
    <w:rsid w:val="00B42B88"/>
    <w:rsid w:val="00B42C17"/>
    <w:rsid w:val="00B42C94"/>
    <w:rsid w:val="00B42E15"/>
    <w:rsid w:val="00B431F2"/>
    <w:rsid w:val="00B4333A"/>
    <w:rsid w:val="00B43684"/>
    <w:rsid w:val="00B437EB"/>
    <w:rsid w:val="00B43882"/>
    <w:rsid w:val="00B439B6"/>
    <w:rsid w:val="00B439F5"/>
    <w:rsid w:val="00B439FC"/>
    <w:rsid w:val="00B43ACD"/>
    <w:rsid w:val="00B43B12"/>
    <w:rsid w:val="00B43B83"/>
    <w:rsid w:val="00B43C0C"/>
    <w:rsid w:val="00B43C1D"/>
    <w:rsid w:val="00B43C2F"/>
    <w:rsid w:val="00B43D16"/>
    <w:rsid w:val="00B43D1F"/>
    <w:rsid w:val="00B43FC2"/>
    <w:rsid w:val="00B441ED"/>
    <w:rsid w:val="00B44384"/>
    <w:rsid w:val="00B443B2"/>
    <w:rsid w:val="00B4455B"/>
    <w:rsid w:val="00B44712"/>
    <w:rsid w:val="00B44718"/>
    <w:rsid w:val="00B4495C"/>
    <w:rsid w:val="00B449A4"/>
    <w:rsid w:val="00B44A1F"/>
    <w:rsid w:val="00B44A64"/>
    <w:rsid w:val="00B44CDF"/>
    <w:rsid w:val="00B44DB3"/>
    <w:rsid w:val="00B44DEB"/>
    <w:rsid w:val="00B44FA7"/>
    <w:rsid w:val="00B45032"/>
    <w:rsid w:val="00B4505B"/>
    <w:rsid w:val="00B4512C"/>
    <w:rsid w:val="00B45171"/>
    <w:rsid w:val="00B4533D"/>
    <w:rsid w:val="00B4535B"/>
    <w:rsid w:val="00B4536E"/>
    <w:rsid w:val="00B453B6"/>
    <w:rsid w:val="00B4541B"/>
    <w:rsid w:val="00B45534"/>
    <w:rsid w:val="00B45697"/>
    <w:rsid w:val="00B457CE"/>
    <w:rsid w:val="00B45821"/>
    <w:rsid w:val="00B458C8"/>
    <w:rsid w:val="00B4592C"/>
    <w:rsid w:val="00B4596B"/>
    <w:rsid w:val="00B45977"/>
    <w:rsid w:val="00B45984"/>
    <w:rsid w:val="00B459F1"/>
    <w:rsid w:val="00B45B07"/>
    <w:rsid w:val="00B45BCB"/>
    <w:rsid w:val="00B45D45"/>
    <w:rsid w:val="00B45D96"/>
    <w:rsid w:val="00B45F6C"/>
    <w:rsid w:val="00B46016"/>
    <w:rsid w:val="00B46180"/>
    <w:rsid w:val="00B46212"/>
    <w:rsid w:val="00B46287"/>
    <w:rsid w:val="00B46341"/>
    <w:rsid w:val="00B463D9"/>
    <w:rsid w:val="00B465D6"/>
    <w:rsid w:val="00B467C3"/>
    <w:rsid w:val="00B467FC"/>
    <w:rsid w:val="00B468DB"/>
    <w:rsid w:val="00B4699B"/>
    <w:rsid w:val="00B469D0"/>
    <w:rsid w:val="00B46A5B"/>
    <w:rsid w:val="00B46E75"/>
    <w:rsid w:val="00B46F06"/>
    <w:rsid w:val="00B46F1E"/>
    <w:rsid w:val="00B46F43"/>
    <w:rsid w:val="00B46FBE"/>
    <w:rsid w:val="00B4701C"/>
    <w:rsid w:val="00B471D8"/>
    <w:rsid w:val="00B474CD"/>
    <w:rsid w:val="00B47636"/>
    <w:rsid w:val="00B4765F"/>
    <w:rsid w:val="00B4769A"/>
    <w:rsid w:val="00B4787B"/>
    <w:rsid w:val="00B478BB"/>
    <w:rsid w:val="00B47A3B"/>
    <w:rsid w:val="00B47A47"/>
    <w:rsid w:val="00B47AB5"/>
    <w:rsid w:val="00B47AE1"/>
    <w:rsid w:val="00B47AE2"/>
    <w:rsid w:val="00B47C5C"/>
    <w:rsid w:val="00B47CF8"/>
    <w:rsid w:val="00B47DB6"/>
    <w:rsid w:val="00B5025F"/>
    <w:rsid w:val="00B5029C"/>
    <w:rsid w:val="00B50492"/>
    <w:rsid w:val="00B504A8"/>
    <w:rsid w:val="00B504B9"/>
    <w:rsid w:val="00B5061C"/>
    <w:rsid w:val="00B5073D"/>
    <w:rsid w:val="00B50852"/>
    <w:rsid w:val="00B5095A"/>
    <w:rsid w:val="00B50A6D"/>
    <w:rsid w:val="00B50A87"/>
    <w:rsid w:val="00B50B47"/>
    <w:rsid w:val="00B50BBA"/>
    <w:rsid w:val="00B50BF0"/>
    <w:rsid w:val="00B50E81"/>
    <w:rsid w:val="00B50FD5"/>
    <w:rsid w:val="00B51165"/>
    <w:rsid w:val="00B51196"/>
    <w:rsid w:val="00B51264"/>
    <w:rsid w:val="00B512F6"/>
    <w:rsid w:val="00B5135C"/>
    <w:rsid w:val="00B51433"/>
    <w:rsid w:val="00B514E8"/>
    <w:rsid w:val="00B515BD"/>
    <w:rsid w:val="00B515E2"/>
    <w:rsid w:val="00B51706"/>
    <w:rsid w:val="00B51718"/>
    <w:rsid w:val="00B5173B"/>
    <w:rsid w:val="00B51746"/>
    <w:rsid w:val="00B5192C"/>
    <w:rsid w:val="00B51984"/>
    <w:rsid w:val="00B519AB"/>
    <w:rsid w:val="00B51B6A"/>
    <w:rsid w:val="00B51B75"/>
    <w:rsid w:val="00B51BCC"/>
    <w:rsid w:val="00B51BCF"/>
    <w:rsid w:val="00B51C59"/>
    <w:rsid w:val="00B51C6C"/>
    <w:rsid w:val="00B51CCA"/>
    <w:rsid w:val="00B51CD8"/>
    <w:rsid w:val="00B51D7F"/>
    <w:rsid w:val="00B51E20"/>
    <w:rsid w:val="00B51F37"/>
    <w:rsid w:val="00B51FD3"/>
    <w:rsid w:val="00B5212C"/>
    <w:rsid w:val="00B52396"/>
    <w:rsid w:val="00B526F6"/>
    <w:rsid w:val="00B5272E"/>
    <w:rsid w:val="00B5277C"/>
    <w:rsid w:val="00B527DC"/>
    <w:rsid w:val="00B527E5"/>
    <w:rsid w:val="00B528B8"/>
    <w:rsid w:val="00B528EE"/>
    <w:rsid w:val="00B52AD9"/>
    <w:rsid w:val="00B52B06"/>
    <w:rsid w:val="00B52B85"/>
    <w:rsid w:val="00B52CC0"/>
    <w:rsid w:val="00B52D33"/>
    <w:rsid w:val="00B52D97"/>
    <w:rsid w:val="00B52DE9"/>
    <w:rsid w:val="00B52E64"/>
    <w:rsid w:val="00B532A5"/>
    <w:rsid w:val="00B53381"/>
    <w:rsid w:val="00B533EC"/>
    <w:rsid w:val="00B5344E"/>
    <w:rsid w:val="00B53466"/>
    <w:rsid w:val="00B534E4"/>
    <w:rsid w:val="00B53534"/>
    <w:rsid w:val="00B53628"/>
    <w:rsid w:val="00B53AC2"/>
    <w:rsid w:val="00B53AC7"/>
    <w:rsid w:val="00B53B31"/>
    <w:rsid w:val="00B53BD7"/>
    <w:rsid w:val="00B53C84"/>
    <w:rsid w:val="00B53DBE"/>
    <w:rsid w:val="00B53DCF"/>
    <w:rsid w:val="00B53DD8"/>
    <w:rsid w:val="00B53EF2"/>
    <w:rsid w:val="00B53F21"/>
    <w:rsid w:val="00B54096"/>
    <w:rsid w:val="00B5410E"/>
    <w:rsid w:val="00B542EB"/>
    <w:rsid w:val="00B54316"/>
    <w:rsid w:val="00B543F9"/>
    <w:rsid w:val="00B5468B"/>
    <w:rsid w:val="00B5499C"/>
    <w:rsid w:val="00B549C9"/>
    <w:rsid w:val="00B549DD"/>
    <w:rsid w:val="00B54A6F"/>
    <w:rsid w:val="00B54A9C"/>
    <w:rsid w:val="00B54B6E"/>
    <w:rsid w:val="00B54C51"/>
    <w:rsid w:val="00B54CA3"/>
    <w:rsid w:val="00B54CA6"/>
    <w:rsid w:val="00B54D33"/>
    <w:rsid w:val="00B54E21"/>
    <w:rsid w:val="00B54E8B"/>
    <w:rsid w:val="00B54F6A"/>
    <w:rsid w:val="00B54FFD"/>
    <w:rsid w:val="00B550BE"/>
    <w:rsid w:val="00B550F7"/>
    <w:rsid w:val="00B551C9"/>
    <w:rsid w:val="00B5528E"/>
    <w:rsid w:val="00B55290"/>
    <w:rsid w:val="00B553ED"/>
    <w:rsid w:val="00B5548F"/>
    <w:rsid w:val="00B554EE"/>
    <w:rsid w:val="00B55535"/>
    <w:rsid w:val="00B55559"/>
    <w:rsid w:val="00B55650"/>
    <w:rsid w:val="00B55808"/>
    <w:rsid w:val="00B55820"/>
    <w:rsid w:val="00B558AE"/>
    <w:rsid w:val="00B55952"/>
    <w:rsid w:val="00B55955"/>
    <w:rsid w:val="00B55B00"/>
    <w:rsid w:val="00B55C7C"/>
    <w:rsid w:val="00B55E5F"/>
    <w:rsid w:val="00B55F66"/>
    <w:rsid w:val="00B55F83"/>
    <w:rsid w:val="00B55FB8"/>
    <w:rsid w:val="00B560C0"/>
    <w:rsid w:val="00B561A3"/>
    <w:rsid w:val="00B56311"/>
    <w:rsid w:val="00B5641D"/>
    <w:rsid w:val="00B56446"/>
    <w:rsid w:val="00B56524"/>
    <w:rsid w:val="00B5666F"/>
    <w:rsid w:val="00B566F1"/>
    <w:rsid w:val="00B5688C"/>
    <w:rsid w:val="00B568AD"/>
    <w:rsid w:val="00B568E5"/>
    <w:rsid w:val="00B56B50"/>
    <w:rsid w:val="00B56CDB"/>
    <w:rsid w:val="00B56CE5"/>
    <w:rsid w:val="00B56DD5"/>
    <w:rsid w:val="00B56DF9"/>
    <w:rsid w:val="00B56EBF"/>
    <w:rsid w:val="00B5700D"/>
    <w:rsid w:val="00B5726F"/>
    <w:rsid w:val="00B572AA"/>
    <w:rsid w:val="00B57300"/>
    <w:rsid w:val="00B57434"/>
    <w:rsid w:val="00B5749B"/>
    <w:rsid w:val="00B574B8"/>
    <w:rsid w:val="00B575AF"/>
    <w:rsid w:val="00B576B9"/>
    <w:rsid w:val="00B5773F"/>
    <w:rsid w:val="00B57A55"/>
    <w:rsid w:val="00B57B2F"/>
    <w:rsid w:val="00B57BF3"/>
    <w:rsid w:val="00B57C93"/>
    <w:rsid w:val="00B57D58"/>
    <w:rsid w:val="00B57D68"/>
    <w:rsid w:val="00B57FBD"/>
    <w:rsid w:val="00B601D3"/>
    <w:rsid w:val="00B60232"/>
    <w:rsid w:val="00B60245"/>
    <w:rsid w:val="00B60284"/>
    <w:rsid w:val="00B602AA"/>
    <w:rsid w:val="00B603F5"/>
    <w:rsid w:val="00B604A3"/>
    <w:rsid w:val="00B60547"/>
    <w:rsid w:val="00B6058A"/>
    <w:rsid w:val="00B605C9"/>
    <w:rsid w:val="00B605E5"/>
    <w:rsid w:val="00B60677"/>
    <w:rsid w:val="00B6068A"/>
    <w:rsid w:val="00B608B5"/>
    <w:rsid w:val="00B60B27"/>
    <w:rsid w:val="00B60BD8"/>
    <w:rsid w:val="00B60C58"/>
    <w:rsid w:val="00B60D3A"/>
    <w:rsid w:val="00B60E2A"/>
    <w:rsid w:val="00B60F3F"/>
    <w:rsid w:val="00B60F4B"/>
    <w:rsid w:val="00B61192"/>
    <w:rsid w:val="00B612B1"/>
    <w:rsid w:val="00B613F4"/>
    <w:rsid w:val="00B615A3"/>
    <w:rsid w:val="00B615E5"/>
    <w:rsid w:val="00B61834"/>
    <w:rsid w:val="00B61837"/>
    <w:rsid w:val="00B6187C"/>
    <w:rsid w:val="00B61891"/>
    <w:rsid w:val="00B61B70"/>
    <w:rsid w:val="00B61CD8"/>
    <w:rsid w:val="00B61E02"/>
    <w:rsid w:val="00B61FCD"/>
    <w:rsid w:val="00B6227E"/>
    <w:rsid w:val="00B623AA"/>
    <w:rsid w:val="00B6246B"/>
    <w:rsid w:val="00B62577"/>
    <w:rsid w:val="00B62A07"/>
    <w:rsid w:val="00B62A64"/>
    <w:rsid w:val="00B62B12"/>
    <w:rsid w:val="00B62B6C"/>
    <w:rsid w:val="00B62CBD"/>
    <w:rsid w:val="00B62D44"/>
    <w:rsid w:val="00B62E6E"/>
    <w:rsid w:val="00B62E6F"/>
    <w:rsid w:val="00B62E89"/>
    <w:rsid w:val="00B62F08"/>
    <w:rsid w:val="00B62FC6"/>
    <w:rsid w:val="00B6303D"/>
    <w:rsid w:val="00B6327D"/>
    <w:rsid w:val="00B632BF"/>
    <w:rsid w:val="00B632C5"/>
    <w:rsid w:val="00B632E1"/>
    <w:rsid w:val="00B632FF"/>
    <w:rsid w:val="00B63366"/>
    <w:rsid w:val="00B633C5"/>
    <w:rsid w:val="00B634D6"/>
    <w:rsid w:val="00B63577"/>
    <w:rsid w:val="00B636A3"/>
    <w:rsid w:val="00B63823"/>
    <w:rsid w:val="00B6385A"/>
    <w:rsid w:val="00B638C0"/>
    <w:rsid w:val="00B63928"/>
    <w:rsid w:val="00B639A1"/>
    <w:rsid w:val="00B639D6"/>
    <w:rsid w:val="00B63A0B"/>
    <w:rsid w:val="00B63AF3"/>
    <w:rsid w:val="00B63BDA"/>
    <w:rsid w:val="00B63C25"/>
    <w:rsid w:val="00B63C41"/>
    <w:rsid w:val="00B63F65"/>
    <w:rsid w:val="00B64254"/>
    <w:rsid w:val="00B64265"/>
    <w:rsid w:val="00B64331"/>
    <w:rsid w:val="00B643CB"/>
    <w:rsid w:val="00B644C3"/>
    <w:rsid w:val="00B644FC"/>
    <w:rsid w:val="00B645F5"/>
    <w:rsid w:val="00B64700"/>
    <w:rsid w:val="00B64711"/>
    <w:rsid w:val="00B647FC"/>
    <w:rsid w:val="00B6480F"/>
    <w:rsid w:val="00B648B8"/>
    <w:rsid w:val="00B64989"/>
    <w:rsid w:val="00B64A78"/>
    <w:rsid w:val="00B64A7D"/>
    <w:rsid w:val="00B64AA6"/>
    <w:rsid w:val="00B64B20"/>
    <w:rsid w:val="00B64C0B"/>
    <w:rsid w:val="00B64CB3"/>
    <w:rsid w:val="00B64D5A"/>
    <w:rsid w:val="00B64E10"/>
    <w:rsid w:val="00B65247"/>
    <w:rsid w:val="00B6528D"/>
    <w:rsid w:val="00B65321"/>
    <w:rsid w:val="00B653A2"/>
    <w:rsid w:val="00B65439"/>
    <w:rsid w:val="00B655A2"/>
    <w:rsid w:val="00B65641"/>
    <w:rsid w:val="00B656BB"/>
    <w:rsid w:val="00B6572B"/>
    <w:rsid w:val="00B65784"/>
    <w:rsid w:val="00B6584B"/>
    <w:rsid w:val="00B6584F"/>
    <w:rsid w:val="00B6585E"/>
    <w:rsid w:val="00B65902"/>
    <w:rsid w:val="00B65918"/>
    <w:rsid w:val="00B65932"/>
    <w:rsid w:val="00B65B87"/>
    <w:rsid w:val="00B65BBB"/>
    <w:rsid w:val="00B65C0A"/>
    <w:rsid w:val="00B65C18"/>
    <w:rsid w:val="00B65CD9"/>
    <w:rsid w:val="00B65EE9"/>
    <w:rsid w:val="00B65EF3"/>
    <w:rsid w:val="00B660DA"/>
    <w:rsid w:val="00B66247"/>
    <w:rsid w:val="00B66296"/>
    <w:rsid w:val="00B6641E"/>
    <w:rsid w:val="00B6643F"/>
    <w:rsid w:val="00B6648C"/>
    <w:rsid w:val="00B664B6"/>
    <w:rsid w:val="00B66554"/>
    <w:rsid w:val="00B665B6"/>
    <w:rsid w:val="00B6697A"/>
    <w:rsid w:val="00B66AC2"/>
    <w:rsid w:val="00B66B8B"/>
    <w:rsid w:val="00B66D32"/>
    <w:rsid w:val="00B66D5C"/>
    <w:rsid w:val="00B66D9D"/>
    <w:rsid w:val="00B66E56"/>
    <w:rsid w:val="00B66E62"/>
    <w:rsid w:val="00B66EA2"/>
    <w:rsid w:val="00B66FA6"/>
    <w:rsid w:val="00B66FCF"/>
    <w:rsid w:val="00B6705B"/>
    <w:rsid w:val="00B6713F"/>
    <w:rsid w:val="00B6714E"/>
    <w:rsid w:val="00B671A0"/>
    <w:rsid w:val="00B672E6"/>
    <w:rsid w:val="00B6732C"/>
    <w:rsid w:val="00B67364"/>
    <w:rsid w:val="00B67388"/>
    <w:rsid w:val="00B675A4"/>
    <w:rsid w:val="00B6761D"/>
    <w:rsid w:val="00B67839"/>
    <w:rsid w:val="00B6787E"/>
    <w:rsid w:val="00B67892"/>
    <w:rsid w:val="00B67893"/>
    <w:rsid w:val="00B678AF"/>
    <w:rsid w:val="00B67BB6"/>
    <w:rsid w:val="00B67BC2"/>
    <w:rsid w:val="00B67C1A"/>
    <w:rsid w:val="00B67C55"/>
    <w:rsid w:val="00B67CAE"/>
    <w:rsid w:val="00B67DB0"/>
    <w:rsid w:val="00B67DD7"/>
    <w:rsid w:val="00B67E03"/>
    <w:rsid w:val="00B67E4B"/>
    <w:rsid w:val="00B67F15"/>
    <w:rsid w:val="00B67F36"/>
    <w:rsid w:val="00B70076"/>
    <w:rsid w:val="00B70090"/>
    <w:rsid w:val="00B701CF"/>
    <w:rsid w:val="00B701DD"/>
    <w:rsid w:val="00B70330"/>
    <w:rsid w:val="00B70597"/>
    <w:rsid w:val="00B705C1"/>
    <w:rsid w:val="00B70682"/>
    <w:rsid w:val="00B70702"/>
    <w:rsid w:val="00B70749"/>
    <w:rsid w:val="00B709BB"/>
    <w:rsid w:val="00B70A11"/>
    <w:rsid w:val="00B70A34"/>
    <w:rsid w:val="00B70ACC"/>
    <w:rsid w:val="00B70AF7"/>
    <w:rsid w:val="00B70B30"/>
    <w:rsid w:val="00B70B8C"/>
    <w:rsid w:val="00B70B9F"/>
    <w:rsid w:val="00B70CF4"/>
    <w:rsid w:val="00B70EA8"/>
    <w:rsid w:val="00B70F43"/>
    <w:rsid w:val="00B70FB0"/>
    <w:rsid w:val="00B70FF8"/>
    <w:rsid w:val="00B710CA"/>
    <w:rsid w:val="00B71265"/>
    <w:rsid w:val="00B71414"/>
    <w:rsid w:val="00B71433"/>
    <w:rsid w:val="00B714E8"/>
    <w:rsid w:val="00B715D3"/>
    <w:rsid w:val="00B716AF"/>
    <w:rsid w:val="00B7194E"/>
    <w:rsid w:val="00B719C0"/>
    <w:rsid w:val="00B71A9E"/>
    <w:rsid w:val="00B71B03"/>
    <w:rsid w:val="00B71E80"/>
    <w:rsid w:val="00B71EB5"/>
    <w:rsid w:val="00B71EF4"/>
    <w:rsid w:val="00B71EF5"/>
    <w:rsid w:val="00B71F4A"/>
    <w:rsid w:val="00B7203E"/>
    <w:rsid w:val="00B72125"/>
    <w:rsid w:val="00B72154"/>
    <w:rsid w:val="00B72251"/>
    <w:rsid w:val="00B722E9"/>
    <w:rsid w:val="00B72435"/>
    <w:rsid w:val="00B7249E"/>
    <w:rsid w:val="00B724AC"/>
    <w:rsid w:val="00B72695"/>
    <w:rsid w:val="00B726C5"/>
    <w:rsid w:val="00B72707"/>
    <w:rsid w:val="00B72A14"/>
    <w:rsid w:val="00B72AE5"/>
    <w:rsid w:val="00B72DB5"/>
    <w:rsid w:val="00B72E3A"/>
    <w:rsid w:val="00B72E48"/>
    <w:rsid w:val="00B730D7"/>
    <w:rsid w:val="00B7311D"/>
    <w:rsid w:val="00B73174"/>
    <w:rsid w:val="00B7323F"/>
    <w:rsid w:val="00B732DA"/>
    <w:rsid w:val="00B73320"/>
    <w:rsid w:val="00B7350B"/>
    <w:rsid w:val="00B73656"/>
    <w:rsid w:val="00B736A3"/>
    <w:rsid w:val="00B737A2"/>
    <w:rsid w:val="00B737FD"/>
    <w:rsid w:val="00B738C5"/>
    <w:rsid w:val="00B73A01"/>
    <w:rsid w:val="00B73AEB"/>
    <w:rsid w:val="00B73CC9"/>
    <w:rsid w:val="00B73D7C"/>
    <w:rsid w:val="00B73E6B"/>
    <w:rsid w:val="00B73E6C"/>
    <w:rsid w:val="00B73E9A"/>
    <w:rsid w:val="00B73FC8"/>
    <w:rsid w:val="00B7400A"/>
    <w:rsid w:val="00B7402E"/>
    <w:rsid w:val="00B740F8"/>
    <w:rsid w:val="00B74140"/>
    <w:rsid w:val="00B74392"/>
    <w:rsid w:val="00B743BF"/>
    <w:rsid w:val="00B74450"/>
    <w:rsid w:val="00B7476A"/>
    <w:rsid w:val="00B747B2"/>
    <w:rsid w:val="00B74837"/>
    <w:rsid w:val="00B74B7E"/>
    <w:rsid w:val="00B74CA3"/>
    <w:rsid w:val="00B74CFF"/>
    <w:rsid w:val="00B74D1E"/>
    <w:rsid w:val="00B74D8C"/>
    <w:rsid w:val="00B74F1F"/>
    <w:rsid w:val="00B74F79"/>
    <w:rsid w:val="00B74FE4"/>
    <w:rsid w:val="00B75144"/>
    <w:rsid w:val="00B75152"/>
    <w:rsid w:val="00B7516B"/>
    <w:rsid w:val="00B75171"/>
    <w:rsid w:val="00B75200"/>
    <w:rsid w:val="00B75215"/>
    <w:rsid w:val="00B75227"/>
    <w:rsid w:val="00B75255"/>
    <w:rsid w:val="00B75263"/>
    <w:rsid w:val="00B75299"/>
    <w:rsid w:val="00B75325"/>
    <w:rsid w:val="00B7537C"/>
    <w:rsid w:val="00B753A1"/>
    <w:rsid w:val="00B75550"/>
    <w:rsid w:val="00B755CE"/>
    <w:rsid w:val="00B756E2"/>
    <w:rsid w:val="00B75789"/>
    <w:rsid w:val="00B757A0"/>
    <w:rsid w:val="00B757DA"/>
    <w:rsid w:val="00B75A42"/>
    <w:rsid w:val="00B75CD3"/>
    <w:rsid w:val="00B75DA0"/>
    <w:rsid w:val="00B75EC9"/>
    <w:rsid w:val="00B75ED6"/>
    <w:rsid w:val="00B7601B"/>
    <w:rsid w:val="00B76160"/>
    <w:rsid w:val="00B76181"/>
    <w:rsid w:val="00B76244"/>
    <w:rsid w:val="00B76279"/>
    <w:rsid w:val="00B76529"/>
    <w:rsid w:val="00B76568"/>
    <w:rsid w:val="00B76584"/>
    <w:rsid w:val="00B765E1"/>
    <w:rsid w:val="00B7664B"/>
    <w:rsid w:val="00B766A0"/>
    <w:rsid w:val="00B76832"/>
    <w:rsid w:val="00B7684A"/>
    <w:rsid w:val="00B76912"/>
    <w:rsid w:val="00B76A05"/>
    <w:rsid w:val="00B76A92"/>
    <w:rsid w:val="00B76C41"/>
    <w:rsid w:val="00B76CBA"/>
    <w:rsid w:val="00B76CD2"/>
    <w:rsid w:val="00B771BB"/>
    <w:rsid w:val="00B771E7"/>
    <w:rsid w:val="00B7720F"/>
    <w:rsid w:val="00B7727A"/>
    <w:rsid w:val="00B772FF"/>
    <w:rsid w:val="00B77496"/>
    <w:rsid w:val="00B77545"/>
    <w:rsid w:val="00B775DE"/>
    <w:rsid w:val="00B77823"/>
    <w:rsid w:val="00B779D3"/>
    <w:rsid w:val="00B77A5A"/>
    <w:rsid w:val="00B77A6A"/>
    <w:rsid w:val="00B77AE4"/>
    <w:rsid w:val="00B77B4C"/>
    <w:rsid w:val="00B77B5B"/>
    <w:rsid w:val="00B77BD4"/>
    <w:rsid w:val="00B77CF5"/>
    <w:rsid w:val="00B77E8F"/>
    <w:rsid w:val="00B77E91"/>
    <w:rsid w:val="00B77EFD"/>
    <w:rsid w:val="00B77F89"/>
    <w:rsid w:val="00B800CC"/>
    <w:rsid w:val="00B8015F"/>
    <w:rsid w:val="00B80232"/>
    <w:rsid w:val="00B80424"/>
    <w:rsid w:val="00B804C4"/>
    <w:rsid w:val="00B8051B"/>
    <w:rsid w:val="00B80552"/>
    <w:rsid w:val="00B806B4"/>
    <w:rsid w:val="00B806E8"/>
    <w:rsid w:val="00B80712"/>
    <w:rsid w:val="00B80755"/>
    <w:rsid w:val="00B80803"/>
    <w:rsid w:val="00B808FB"/>
    <w:rsid w:val="00B80A34"/>
    <w:rsid w:val="00B80A74"/>
    <w:rsid w:val="00B80BB5"/>
    <w:rsid w:val="00B80CEA"/>
    <w:rsid w:val="00B80EAF"/>
    <w:rsid w:val="00B8115E"/>
    <w:rsid w:val="00B81288"/>
    <w:rsid w:val="00B812AF"/>
    <w:rsid w:val="00B81399"/>
    <w:rsid w:val="00B813AD"/>
    <w:rsid w:val="00B813C9"/>
    <w:rsid w:val="00B8172D"/>
    <w:rsid w:val="00B817E9"/>
    <w:rsid w:val="00B818CF"/>
    <w:rsid w:val="00B8195C"/>
    <w:rsid w:val="00B81977"/>
    <w:rsid w:val="00B81CAC"/>
    <w:rsid w:val="00B81CC6"/>
    <w:rsid w:val="00B81DF0"/>
    <w:rsid w:val="00B81E22"/>
    <w:rsid w:val="00B820A4"/>
    <w:rsid w:val="00B821CC"/>
    <w:rsid w:val="00B8228D"/>
    <w:rsid w:val="00B822C6"/>
    <w:rsid w:val="00B822CE"/>
    <w:rsid w:val="00B8240D"/>
    <w:rsid w:val="00B82461"/>
    <w:rsid w:val="00B825F5"/>
    <w:rsid w:val="00B82669"/>
    <w:rsid w:val="00B826EA"/>
    <w:rsid w:val="00B827A9"/>
    <w:rsid w:val="00B828EC"/>
    <w:rsid w:val="00B82918"/>
    <w:rsid w:val="00B82A0E"/>
    <w:rsid w:val="00B82A98"/>
    <w:rsid w:val="00B82B72"/>
    <w:rsid w:val="00B82C61"/>
    <w:rsid w:val="00B82C80"/>
    <w:rsid w:val="00B82C93"/>
    <w:rsid w:val="00B82E69"/>
    <w:rsid w:val="00B82E8A"/>
    <w:rsid w:val="00B82EB1"/>
    <w:rsid w:val="00B82F0B"/>
    <w:rsid w:val="00B82FE7"/>
    <w:rsid w:val="00B82FF6"/>
    <w:rsid w:val="00B83072"/>
    <w:rsid w:val="00B830A8"/>
    <w:rsid w:val="00B830C7"/>
    <w:rsid w:val="00B8310D"/>
    <w:rsid w:val="00B83182"/>
    <w:rsid w:val="00B83542"/>
    <w:rsid w:val="00B83549"/>
    <w:rsid w:val="00B83608"/>
    <w:rsid w:val="00B836AF"/>
    <w:rsid w:val="00B8373C"/>
    <w:rsid w:val="00B83742"/>
    <w:rsid w:val="00B8377F"/>
    <w:rsid w:val="00B83784"/>
    <w:rsid w:val="00B839B6"/>
    <w:rsid w:val="00B83A34"/>
    <w:rsid w:val="00B83B1F"/>
    <w:rsid w:val="00B83CC8"/>
    <w:rsid w:val="00B83D8E"/>
    <w:rsid w:val="00B83DF6"/>
    <w:rsid w:val="00B83E7D"/>
    <w:rsid w:val="00B84027"/>
    <w:rsid w:val="00B84043"/>
    <w:rsid w:val="00B8430F"/>
    <w:rsid w:val="00B8436F"/>
    <w:rsid w:val="00B84593"/>
    <w:rsid w:val="00B846D9"/>
    <w:rsid w:val="00B848DB"/>
    <w:rsid w:val="00B84937"/>
    <w:rsid w:val="00B84A6A"/>
    <w:rsid w:val="00B84B5E"/>
    <w:rsid w:val="00B84BCA"/>
    <w:rsid w:val="00B84E34"/>
    <w:rsid w:val="00B84E8F"/>
    <w:rsid w:val="00B85103"/>
    <w:rsid w:val="00B851C6"/>
    <w:rsid w:val="00B852DD"/>
    <w:rsid w:val="00B852F9"/>
    <w:rsid w:val="00B8543A"/>
    <w:rsid w:val="00B857AC"/>
    <w:rsid w:val="00B8587A"/>
    <w:rsid w:val="00B8594B"/>
    <w:rsid w:val="00B85B77"/>
    <w:rsid w:val="00B85C15"/>
    <w:rsid w:val="00B85CDC"/>
    <w:rsid w:val="00B85D9C"/>
    <w:rsid w:val="00B85DDD"/>
    <w:rsid w:val="00B85DE1"/>
    <w:rsid w:val="00B85DEC"/>
    <w:rsid w:val="00B86104"/>
    <w:rsid w:val="00B86341"/>
    <w:rsid w:val="00B863D3"/>
    <w:rsid w:val="00B8645D"/>
    <w:rsid w:val="00B864B1"/>
    <w:rsid w:val="00B864E1"/>
    <w:rsid w:val="00B8661C"/>
    <w:rsid w:val="00B8662E"/>
    <w:rsid w:val="00B866E6"/>
    <w:rsid w:val="00B867C6"/>
    <w:rsid w:val="00B867D3"/>
    <w:rsid w:val="00B867F9"/>
    <w:rsid w:val="00B86921"/>
    <w:rsid w:val="00B86A1D"/>
    <w:rsid w:val="00B86AFC"/>
    <w:rsid w:val="00B86B9E"/>
    <w:rsid w:val="00B86BB6"/>
    <w:rsid w:val="00B86CE4"/>
    <w:rsid w:val="00B86DC8"/>
    <w:rsid w:val="00B86DFB"/>
    <w:rsid w:val="00B86EDE"/>
    <w:rsid w:val="00B86FCB"/>
    <w:rsid w:val="00B86FF8"/>
    <w:rsid w:val="00B87144"/>
    <w:rsid w:val="00B8718B"/>
    <w:rsid w:val="00B87197"/>
    <w:rsid w:val="00B871C4"/>
    <w:rsid w:val="00B871F9"/>
    <w:rsid w:val="00B8725A"/>
    <w:rsid w:val="00B872D0"/>
    <w:rsid w:val="00B873A6"/>
    <w:rsid w:val="00B874E4"/>
    <w:rsid w:val="00B87710"/>
    <w:rsid w:val="00B87934"/>
    <w:rsid w:val="00B87C34"/>
    <w:rsid w:val="00B87CAF"/>
    <w:rsid w:val="00B87D3B"/>
    <w:rsid w:val="00B87DB2"/>
    <w:rsid w:val="00B87E03"/>
    <w:rsid w:val="00B87E23"/>
    <w:rsid w:val="00B87FD7"/>
    <w:rsid w:val="00B90081"/>
    <w:rsid w:val="00B90156"/>
    <w:rsid w:val="00B90215"/>
    <w:rsid w:val="00B90227"/>
    <w:rsid w:val="00B9036C"/>
    <w:rsid w:val="00B904C3"/>
    <w:rsid w:val="00B904CF"/>
    <w:rsid w:val="00B9052D"/>
    <w:rsid w:val="00B9053A"/>
    <w:rsid w:val="00B905B2"/>
    <w:rsid w:val="00B9066A"/>
    <w:rsid w:val="00B90803"/>
    <w:rsid w:val="00B9084B"/>
    <w:rsid w:val="00B908D9"/>
    <w:rsid w:val="00B90956"/>
    <w:rsid w:val="00B909A4"/>
    <w:rsid w:val="00B90A0C"/>
    <w:rsid w:val="00B90A1E"/>
    <w:rsid w:val="00B90AB4"/>
    <w:rsid w:val="00B90C1B"/>
    <w:rsid w:val="00B90DA1"/>
    <w:rsid w:val="00B90E32"/>
    <w:rsid w:val="00B90E80"/>
    <w:rsid w:val="00B91083"/>
    <w:rsid w:val="00B91182"/>
    <w:rsid w:val="00B911AA"/>
    <w:rsid w:val="00B9127E"/>
    <w:rsid w:val="00B91378"/>
    <w:rsid w:val="00B91405"/>
    <w:rsid w:val="00B9140D"/>
    <w:rsid w:val="00B91413"/>
    <w:rsid w:val="00B914DC"/>
    <w:rsid w:val="00B9151E"/>
    <w:rsid w:val="00B91586"/>
    <w:rsid w:val="00B9159E"/>
    <w:rsid w:val="00B916D4"/>
    <w:rsid w:val="00B916E4"/>
    <w:rsid w:val="00B916E5"/>
    <w:rsid w:val="00B9173F"/>
    <w:rsid w:val="00B918DD"/>
    <w:rsid w:val="00B918E3"/>
    <w:rsid w:val="00B919E1"/>
    <w:rsid w:val="00B91A90"/>
    <w:rsid w:val="00B91B2F"/>
    <w:rsid w:val="00B91B56"/>
    <w:rsid w:val="00B91DDD"/>
    <w:rsid w:val="00B91DFE"/>
    <w:rsid w:val="00B921AC"/>
    <w:rsid w:val="00B922EA"/>
    <w:rsid w:val="00B922F8"/>
    <w:rsid w:val="00B923F6"/>
    <w:rsid w:val="00B92598"/>
    <w:rsid w:val="00B925C4"/>
    <w:rsid w:val="00B9272D"/>
    <w:rsid w:val="00B927E6"/>
    <w:rsid w:val="00B928ED"/>
    <w:rsid w:val="00B92992"/>
    <w:rsid w:val="00B92A32"/>
    <w:rsid w:val="00B92AC5"/>
    <w:rsid w:val="00B92CDA"/>
    <w:rsid w:val="00B92D34"/>
    <w:rsid w:val="00B92D87"/>
    <w:rsid w:val="00B92E82"/>
    <w:rsid w:val="00B92EAE"/>
    <w:rsid w:val="00B92EEB"/>
    <w:rsid w:val="00B930FB"/>
    <w:rsid w:val="00B93204"/>
    <w:rsid w:val="00B9324F"/>
    <w:rsid w:val="00B9328B"/>
    <w:rsid w:val="00B933D2"/>
    <w:rsid w:val="00B93403"/>
    <w:rsid w:val="00B93487"/>
    <w:rsid w:val="00B93493"/>
    <w:rsid w:val="00B935D3"/>
    <w:rsid w:val="00B9369E"/>
    <w:rsid w:val="00B9389C"/>
    <w:rsid w:val="00B938AD"/>
    <w:rsid w:val="00B93973"/>
    <w:rsid w:val="00B93A5C"/>
    <w:rsid w:val="00B93A8D"/>
    <w:rsid w:val="00B93BB3"/>
    <w:rsid w:val="00B93C4C"/>
    <w:rsid w:val="00B93DB3"/>
    <w:rsid w:val="00B93DC8"/>
    <w:rsid w:val="00B93DC9"/>
    <w:rsid w:val="00B93E04"/>
    <w:rsid w:val="00B93F20"/>
    <w:rsid w:val="00B93FA9"/>
    <w:rsid w:val="00B93FCD"/>
    <w:rsid w:val="00B93FFA"/>
    <w:rsid w:val="00B940CC"/>
    <w:rsid w:val="00B9410A"/>
    <w:rsid w:val="00B94150"/>
    <w:rsid w:val="00B94227"/>
    <w:rsid w:val="00B942E0"/>
    <w:rsid w:val="00B94375"/>
    <w:rsid w:val="00B943A1"/>
    <w:rsid w:val="00B945AA"/>
    <w:rsid w:val="00B945E9"/>
    <w:rsid w:val="00B94618"/>
    <w:rsid w:val="00B9467E"/>
    <w:rsid w:val="00B94685"/>
    <w:rsid w:val="00B946C0"/>
    <w:rsid w:val="00B9479C"/>
    <w:rsid w:val="00B9487F"/>
    <w:rsid w:val="00B948A5"/>
    <w:rsid w:val="00B9499F"/>
    <w:rsid w:val="00B949EB"/>
    <w:rsid w:val="00B94AD4"/>
    <w:rsid w:val="00B94B30"/>
    <w:rsid w:val="00B94B8E"/>
    <w:rsid w:val="00B94CF2"/>
    <w:rsid w:val="00B94E35"/>
    <w:rsid w:val="00B94E54"/>
    <w:rsid w:val="00B94E9E"/>
    <w:rsid w:val="00B94FCB"/>
    <w:rsid w:val="00B950AB"/>
    <w:rsid w:val="00B95240"/>
    <w:rsid w:val="00B952FE"/>
    <w:rsid w:val="00B9533E"/>
    <w:rsid w:val="00B95380"/>
    <w:rsid w:val="00B953E4"/>
    <w:rsid w:val="00B954A0"/>
    <w:rsid w:val="00B954C7"/>
    <w:rsid w:val="00B95521"/>
    <w:rsid w:val="00B95537"/>
    <w:rsid w:val="00B955F3"/>
    <w:rsid w:val="00B9572E"/>
    <w:rsid w:val="00B957B2"/>
    <w:rsid w:val="00B95A99"/>
    <w:rsid w:val="00B95C3A"/>
    <w:rsid w:val="00B95CB7"/>
    <w:rsid w:val="00B95E1D"/>
    <w:rsid w:val="00B95F90"/>
    <w:rsid w:val="00B96011"/>
    <w:rsid w:val="00B96091"/>
    <w:rsid w:val="00B962D5"/>
    <w:rsid w:val="00B96433"/>
    <w:rsid w:val="00B964B3"/>
    <w:rsid w:val="00B964BD"/>
    <w:rsid w:val="00B96583"/>
    <w:rsid w:val="00B965CC"/>
    <w:rsid w:val="00B96654"/>
    <w:rsid w:val="00B966C3"/>
    <w:rsid w:val="00B96731"/>
    <w:rsid w:val="00B9673A"/>
    <w:rsid w:val="00B96773"/>
    <w:rsid w:val="00B96899"/>
    <w:rsid w:val="00B969EC"/>
    <w:rsid w:val="00B96A16"/>
    <w:rsid w:val="00B96A55"/>
    <w:rsid w:val="00B97012"/>
    <w:rsid w:val="00B97110"/>
    <w:rsid w:val="00B9718E"/>
    <w:rsid w:val="00B97276"/>
    <w:rsid w:val="00B97333"/>
    <w:rsid w:val="00B97343"/>
    <w:rsid w:val="00B973C2"/>
    <w:rsid w:val="00B97439"/>
    <w:rsid w:val="00B9746A"/>
    <w:rsid w:val="00B97644"/>
    <w:rsid w:val="00B97755"/>
    <w:rsid w:val="00B977CE"/>
    <w:rsid w:val="00B9782B"/>
    <w:rsid w:val="00B97945"/>
    <w:rsid w:val="00B9794B"/>
    <w:rsid w:val="00B9797F"/>
    <w:rsid w:val="00B97BF8"/>
    <w:rsid w:val="00B97C0D"/>
    <w:rsid w:val="00B97C65"/>
    <w:rsid w:val="00B97C84"/>
    <w:rsid w:val="00B97D9F"/>
    <w:rsid w:val="00B97DC3"/>
    <w:rsid w:val="00B97E92"/>
    <w:rsid w:val="00BA0110"/>
    <w:rsid w:val="00BA042A"/>
    <w:rsid w:val="00BA04C2"/>
    <w:rsid w:val="00BA0519"/>
    <w:rsid w:val="00BA0575"/>
    <w:rsid w:val="00BA0A54"/>
    <w:rsid w:val="00BA0A6B"/>
    <w:rsid w:val="00BA0A72"/>
    <w:rsid w:val="00BA0ABB"/>
    <w:rsid w:val="00BA0C60"/>
    <w:rsid w:val="00BA0D2E"/>
    <w:rsid w:val="00BA0DCD"/>
    <w:rsid w:val="00BA0FC1"/>
    <w:rsid w:val="00BA132D"/>
    <w:rsid w:val="00BA133F"/>
    <w:rsid w:val="00BA14BC"/>
    <w:rsid w:val="00BA1511"/>
    <w:rsid w:val="00BA15F0"/>
    <w:rsid w:val="00BA1679"/>
    <w:rsid w:val="00BA17B2"/>
    <w:rsid w:val="00BA18E4"/>
    <w:rsid w:val="00BA1B82"/>
    <w:rsid w:val="00BA1C33"/>
    <w:rsid w:val="00BA1DB6"/>
    <w:rsid w:val="00BA1FE9"/>
    <w:rsid w:val="00BA201F"/>
    <w:rsid w:val="00BA2137"/>
    <w:rsid w:val="00BA21FE"/>
    <w:rsid w:val="00BA2375"/>
    <w:rsid w:val="00BA257B"/>
    <w:rsid w:val="00BA260E"/>
    <w:rsid w:val="00BA261A"/>
    <w:rsid w:val="00BA283D"/>
    <w:rsid w:val="00BA28E9"/>
    <w:rsid w:val="00BA291F"/>
    <w:rsid w:val="00BA29F8"/>
    <w:rsid w:val="00BA2B6A"/>
    <w:rsid w:val="00BA2C25"/>
    <w:rsid w:val="00BA2EF9"/>
    <w:rsid w:val="00BA2EFC"/>
    <w:rsid w:val="00BA2EFE"/>
    <w:rsid w:val="00BA302B"/>
    <w:rsid w:val="00BA30DD"/>
    <w:rsid w:val="00BA324D"/>
    <w:rsid w:val="00BA32AA"/>
    <w:rsid w:val="00BA32FF"/>
    <w:rsid w:val="00BA3305"/>
    <w:rsid w:val="00BA3321"/>
    <w:rsid w:val="00BA33B5"/>
    <w:rsid w:val="00BA33F0"/>
    <w:rsid w:val="00BA358A"/>
    <w:rsid w:val="00BA36D7"/>
    <w:rsid w:val="00BA37CD"/>
    <w:rsid w:val="00BA3847"/>
    <w:rsid w:val="00BA3933"/>
    <w:rsid w:val="00BA394F"/>
    <w:rsid w:val="00BA3B23"/>
    <w:rsid w:val="00BA3C23"/>
    <w:rsid w:val="00BA3CB7"/>
    <w:rsid w:val="00BA3D48"/>
    <w:rsid w:val="00BA3E8F"/>
    <w:rsid w:val="00BA3EAF"/>
    <w:rsid w:val="00BA3EF7"/>
    <w:rsid w:val="00BA3F2C"/>
    <w:rsid w:val="00BA3FC2"/>
    <w:rsid w:val="00BA3FD3"/>
    <w:rsid w:val="00BA4009"/>
    <w:rsid w:val="00BA40E7"/>
    <w:rsid w:val="00BA4146"/>
    <w:rsid w:val="00BA42FF"/>
    <w:rsid w:val="00BA44F0"/>
    <w:rsid w:val="00BA452F"/>
    <w:rsid w:val="00BA47AA"/>
    <w:rsid w:val="00BA4859"/>
    <w:rsid w:val="00BA4A65"/>
    <w:rsid w:val="00BA4A7B"/>
    <w:rsid w:val="00BA4BB8"/>
    <w:rsid w:val="00BA4BE9"/>
    <w:rsid w:val="00BA4C09"/>
    <w:rsid w:val="00BA4CF2"/>
    <w:rsid w:val="00BA4D24"/>
    <w:rsid w:val="00BA4D2C"/>
    <w:rsid w:val="00BA4DF8"/>
    <w:rsid w:val="00BA4EC5"/>
    <w:rsid w:val="00BA4F88"/>
    <w:rsid w:val="00BA5062"/>
    <w:rsid w:val="00BA50E6"/>
    <w:rsid w:val="00BA510F"/>
    <w:rsid w:val="00BA51E3"/>
    <w:rsid w:val="00BA5245"/>
    <w:rsid w:val="00BA53CA"/>
    <w:rsid w:val="00BA5421"/>
    <w:rsid w:val="00BA55E7"/>
    <w:rsid w:val="00BA577B"/>
    <w:rsid w:val="00BA57D2"/>
    <w:rsid w:val="00BA58D7"/>
    <w:rsid w:val="00BA5939"/>
    <w:rsid w:val="00BA5962"/>
    <w:rsid w:val="00BA5C7F"/>
    <w:rsid w:val="00BA5D84"/>
    <w:rsid w:val="00BA63F3"/>
    <w:rsid w:val="00BA651E"/>
    <w:rsid w:val="00BA6539"/>
    <w:rsid w:val="00BA658B"/>
    <w:rsid w:val="00BA65E9"/>
    <w:rsid w:val="00BA6612"/>
    <w:rsid w:val="00BA66A1"/>
    <w:rsid w:val="00BA66BA"/>
    <w:rsid w:val="00BA6A9A"/>
    <w:rsid w:val="00BA6BBE"/>
    <w:rsid w:val="00BA6BF4"/>
    <w:rsid w:val="00BA6CC7"/>
    <w:rsid w:val="00BA6E21"/>
    <w:rsid w:val="00BA6E53"/>
    <w:rsid w:val="00BA6E61"/>
    <w:rsid w:val="00BA6E8D"/>
    <w:rsid w:val="00BA6ED1"/>
    <w:rsid w:val="00BA6FA9"/>
    <w:rsid w:val="00BA7169"/>
    <w:rsid w:val="00BA720A"/>
    <w:rsid w:val="00BA7276"/>
    <w:rsid w:val="00BA72F2"/>
    <w:rsid w:val="00BA72F8"/>
    <w:rsid w:val="00BA7417"/>
    <w:rsid w:val="00BA74EF"/>
    <w:rsid w:val="00BA7598"/>
    <w:rsid w:val="00BA75B2"/>
    <w:rsid w:val="00BA76A0"/>
    <w:rsid w:val="00BA76DB"/>
    <w:rsid w:val="00BA79D8"/>
    <w:rsid w:val="00BA7A08"/>
    <w:rsid w:val="00BA7D70"/>
    <w:rsid w:val="00BA7D74"/>
    <w:rsid w:val="00BA7DCA"/>
    <w:rsid w:val="00BA7DD5"/>
    <w:rsid w:val="00BA7ECF"/>
    <w:rsid w:val="00BA7FE0"/>
    <w:rsid w:val="00BB0110"/>
    <w:rsid w:val="00BB013D"/>
    <w:rsid w:val="00BB016C"/>
    <w:rsid w:val="00BB0170"/>
    <w:rsid w:val="00BB0248"/>
    <w:rsid w:val="00BB028A"/>
    <w:rsid w:val="00BB04FB"/>
    <w:rsid w:val="00BB06CB"/>
    <w:rsid w:val="00BB06FF"/>
    <w:rsid w:val="00BB0861"/>
    <w:rsid w:val="00BB08DC"/>
    <w:rsid w:val="00BB08F7"/>
    <w:rsid w:val="00BB09F0"/>
    <w:rsid w:val="00BB0A5B"/>
    <w:rsid w:val="00BB0A9D"/>
    <w:rsid w:val="00BB0ACF"/>
    <w:rsid w:val="00BB0B0E"/>
    <w:rsid w:val="00BB0D21"/>
    <w:rsid w:val="00BB0EEF"/>
    <w:rsid w:val="00BB1093"/>
    <w:rsid w:val="00BB10AC"/>
    <w:rsid w:val="00BB10F9"/>
    <w:rsid w:val="00BB1155"/>
    <w:rsid w:val="00BB134F"/>
    <w:rsid w:val="00BB13A3"/>
    <w:rsid w:val="00BB13D0"/>
    <w:rsid w:val="00BB1402"/>
    <w:rsid w:val="00BB14F6"/>
    <w:rsid w:val="00BB16BA"/>
    <w:rsid w:val="00BB16EF"/>
    <w:rsid w:val="00BB176D"/>
    <w:rsid w:val="00BB1804"/>
    <w:rsid w:val="00BB185B"/>
    <w:rsid w:val="00BB193C"/>
    <w:rsid w:val="00BB1B35"/>
    <w:rsid w:val="00BB1B53"/>
    <w:rsid w:val="00BB1C21"/>
    <w:rsid w:val="00BB1CE6"/>
    <w:rsid w:val="00BB1DD2"/>
    <w:rsid w:val="00BB1E41"/>
    <w:rsid w:val="00BB1E79"/>
    <w:rsid w:val="00BB1F9C"/>
    <w:rsid w:val="00BB205A"/>
    <w:rsid w:val="00BB207F"/>
    <w:rsid w:val="00BB20F4"/>
    <w:rsid w:val="00BB2102"/>
    <w:rsid w:val="00BB212F"/>
    <w:rsid w:val="00BB21DE"/>
    <w:rsid w:val="00BB2255"/>
    <w:rsid w:val="00BB2282"/>
    <w:rsid w:val="00BB22E3"/>
    <w:rsid w:val="00BB2449"/>
    <w:rsid w:val="00BB24DD"/>
    <w:rsid w:val="00BB25F8"/>
    <w:rsid w:val="00BB25FB"/>
    <w:rsid w:val="00BB2645"/>
    <w:rsid w:val="00BB2709"/>
    <w:rsid w:val="00BB2718"/>
    <w:rsid w:val="00BB294D"/>
    <w:rsid w:val="00BB2A8D"/>
    <w:rsid w:val="00BB2C78"/>
    <w:rsid w:val="00BB2C8F"/>
    <w:rsid w:val="00BB2D27"/>
    <w:rsid w:val="00BB2D58"/>
    <w:rsid w:val="00BB2FF8"/>
    <w:rsid w:val="00BB3131"/>
    <w:rsid w:val="00BB31BE"/>
    <w:rsid w:val="00BB3307"/>
    <w:rsid w:val="00BB3318"/>
    <w:rsid w:val="00BB33B0"/>
    <w:rsid w:val="00BB3595"/>
    <w:rsid w:val="00BB35AE"/>
    <w:rsid w:val="00BB35BC"/>
    <w:rsid w:val="00BB35F0"/>
    <w:rsid w:val="00BB361C"/>
    <w:rsid w:val="00BB3663"/>
    <w:rsid w:val="00BB370D"/>
    <w:rsid w:val="00BB37E0"/>
    <w:rsid w:val="00BB383D"/>
    <w:rsid w:val="00BB3840"/>
    <w:rsid w:val="00BB3B1E"/>
    <w:rsid w:val="00BB3B66"/>
    <w:rsid w:val="00BB3DED"/>
    <w:rsid w:val="00BB3E80"/>
    <w:rsid w:val="00BB3EFC"/>
    <w:rsid w:val="00BB3F03"/>
    <w:rsid w:val="00BB3FC4"/>
    <w:rsid w:val="00BB419A"/>
    <w:rsid w:val="00BB41EA"/>
    <w:rsid w:val="00BB42FA"/>
    <w:rsid w:val="00BB4376"/>
    <w:rsid w:val="00BB438B"/>
    <w:rsid w:val="00BB441A"/>
    <w:rsid w:val="00BB44F8"/>
    <w:rsid w:val="00BB4636"/>
    <w:rsid w:val="00BB4637"/>
    <w:rsid w:val="00BB47F6"/>
    <w:rsid w:val="00BB4960"/>
    <w:rsid w:val="00BB4CA1"/>
    <w:rsid w:val="00BB4CE2"/>
    <w:rsid w:val="00BB4DEA"/>
    <w:rsid w:val="00BB4F38"/>
    <w:rsid w:val="00BB51FB"/>
    <w:rsid w:val="00BB520C"/>
    <w:rsid w:val="00BB526F"/>
    <w:rsid w:val="00BB52F0"/>
    <w:rsid w:val="00BB5334"/>
    <w:rsid w:val="00BB5462"/>
    <w:rsid w:val="00BB5489"/>
    <w:rsid w:val="00BB54B2"/>
    <w:rsid w:val="00BB54BA"/>
    <w:rsid w:val="00BB54FA"/>
    <w:rsid w:val="00BB5548"/>
    <w:rsid w:val="00BB5668"/>
    <w:rsid w:val="00BB56BC"/>
    <w:rsid w:val="00BB56E5"/>
    <w:rsid w:val="00BB5766"/>
    <w:rsid w:val="00BB5822"/>
    <w:rsid w:val="00BB5857"/>
    <w:rsid w:val="00BB585A"/>
    <w:rsid w:val="00BB5953"/>
    <w:rsid w:val="00BB5A1D"/>
    <w:rsid w:val="00BB5ACE"/>
    <w:rsid w:val="00BB5B9B"/>
    <w:rsid w:val="00BB5BC0"/>
    <w:rsid w:val="00BB5E25"/>
    <w:rsid w:val="00BB61CC"/>
    <w:rsid w:val="00BB632E"/>
    <w:rsid w:val="00BB63EA"/>
    <w:rsid w:val="00BB63EE"/>
    <w:rsid w:val="00BB650A"/>
    <w:rsid w:val="00BB6720"/>
    <w:rsid w:val="00BB6897"/>
    <w:rsid w:val="00BB691C"/>
    <w:rsid w:val="00BB693E"/>
    <w:rsid w:val="00BB6A1A"/>
    <w:rsid w:val="00BB6AB9"/>
    <w:rsid w:val="00BB6B0A"/>
    <w:rsid w:val="00BB6B7E"/>
    <w:rsid w:val="00BB6BE3"/>
    <w:rsid w:val="00BB6D75"/>
    <w:rsid w:val="00BB6E95"/>
    <w:rsid w:val="00BB6F67"/>
    <w:rsid w:val="00BB7045"/>
    <w:rsid w:val="00BB7074"/>
    <w:rsid w:val="00BB70F9"/>
    <w:rsid w:val="00BB7147"/>
    <w:rsid w:val="00BB723D"/>
    <w:rsid w:val="00BB73B4"/>
    <w:rsid w:val="00BB73FF"/>
    <w:rsid w:val="00BB7447"/>
    <w:rsid w:val="00BB767E"/>
    <w:rsid w:val="00BB768E"/>
    <w:rsid w:val="00BB76F1"/>
    <w:rsid w:val="00BB7795"/>
    <w:rsid w:val="00BB78EA"/>
    <w:rsid w:val="00BB795D"/>
    <w:rsid w:val="00BB7BE0"/>
    <w:rsid w:val="00BB7C62"/>
    <w:rsid w:val="00BB7CD2"/>
    <w:rsid w:val="00BB7E81"/>
    <w:rsid w:val="00BB7FED"/>
    <w:rsid w:val="00BC00FD"/>
    <w:rsid w:val="00BC014B"/>
    <w:rsid w:val="00BC01D9"/>
    <w:rsid w:val="00BC01DD"/>
    <w:rsid w:val="00BC0225"/>
    <w:rsid w:val="00BC0359"/>
    <w:rsid w:val="00BC03D5"/>
    <w:rsid w:val="00BC03DA"/>
    <w:rsid w:val="00BC0427"/>
    <w:rsid w:val="00BC051A"/>
    <w:rsid w:val="00BC0678"/>
    <w:rsid w:val="00BC06D9"/>
    <w:rsid w:val="00BC0840"/>
    <w:rsid w:val="00BC08B2"/>
    <w:rsid w:val="00BC0919"/>
    <w:rsid w:val="00BC0A82"/>
    <w:rsid w:val="00BC0B19"/>
    <w:rsid w:val="00BC0B8F"/>
    <w:rsid w:val="00BC0BE7"/>
    <w:rsid w:val="00BC0C38"/>
    <w:rsid w:val="00BC0E65"/>
    <w:rsid w:val="00BC0F44"/>
    <w:rsid w:val="00BC0F83"/>
    <w:rsid w:val="00BC0F90"/>
    <w:rsid w:val="00BC1059"/>
    <w:rsid w:val="00BC10AA"/>
    <w:rsid w:val="00BC1111"/>
    <w:rsid w:val="00BC1275"/>
    <w:rsid w:val="00BC1406"/>
    <w:rsid w:val="00BC1434"/>
    <w:rsid w:val="00BC1499"/>
    <w:rsid w:val="00BC14C5"/>
    <w:rsid w:val="00BC14CB"/>
    <w:rsid w:val="00BC1534"/>
    <w:rsid w:val="00BC15C3"/>
    <w:rsid w:val="00BC17ED"/>
    <w:rsid w:val="00BC1837"/>
    <w:rsid w:val="00BC1999"/>
    <w:rsid w:val="00BC1A39"/>
    <w:rsid w:val="00BC1BA7"/>
    <w:rsid w:val="00BC1BEF"/>
    <w:rsid w:val="00BC1C6A"/>
    <w:rsid w:val="00BC1CC4"/>
    <w:rsid w:val="00BC1CEC"/>
    <w:rsid w:val="00BC1D86"/>
    <w:rsid w:val="00BC1D87"/>
    <w:rsid w:val="00BC1E14"/>
    <w:rsid w:val="00BC1E5F"/>
    <w:rsid w:val="00BC1EE1"/>
    <w:rsid w:val="00BC1F79"/>
    <w:rsid w:val="00BC224E"/>
    <w:rsid w:val="00BC226C"/>
    <w:rsid w:val="00BC248F"/>
    <w:rsid w:val="00BC252A"/>
    <w:rsid w:val="00BC2538"/>
    <w:rsid w:val="00BC2599"/>
    <w:rsid w:val="00BC2654"/>
    <w:rsid w:val="00BC2662"/>
    <w:rsid w:val="00BC2685"/>
    <w:rsid w:val="00BC26AD"/>
    <w:rsid w:val="00BC26B7"/>
    <w:rsid w:val="00BC2763"/>
    <w:rsid w:val="00BC278D"/>
    <w:rsid w:val="00BC2792"/>
    <w:rsid w:val="00BC2798"/>
    <w:rsid w:val="00BC28BB"/>
    <w:rsid w:val="00BC2AC1"/>
    <w:rsid w:val="00BC2B59"/>
    <w:rsid w:val="00BC2B7C"/>
    <w:rsid w:val="00BC2B99"/>
    <w:rsid w:val="00BC2BBA"/>
    <w:rsid w:val="00BC2D0A"/>
    <w:rsid w:val="00BC2F31"/>
    <w:rsid w:val="00BC2F96"/>
    <w:rsid w:val="00BC2FDE"/>
    <w:rsid w:val="00BC2FF1"/>
    <w:rsid w:val="00BC306D"/>
    <w:rsid w:val="00BC32F7"/>
    <w:rsid w:val="00BC3442"/>
    <w:rsid w:val="00BC34D7"/>
    <w:rsid w:val="00BC34F3"/>
    <w:rsid w:val="00BC35BC"/>
    <w:rsid w:val="00BC36B5"/>
    <w:rsid w:val="00BC36D7"/>
    <w:rsid w:val="00BC3721"/>
    <w:rsid w:val="00BC3792"/>
    <w:rsid w:val="00BC3AB9"/>
    <w:rsid w:val="00BC3C1F"/>
    <w:rsid w:val="00BC3DD5"/>
    <w:rsid w:val="00BC3E32"/>
    <w:rsid w:val="00BC3ED1"/>
    <w:rsid w:val="00BC3ED6"/>
    <w:rsid w:val="00BC3EF5"/>
    <w:rsid w:val="00BC4074"/>
    <w:rsid w:val="00BC40C3"/>
    <w:rsid w:val="00BC4134"/>
    <w:rsid w:val="00BC41B2"/>
    <w:rsid w:val="00BC426E"/>
    <w:rsid w:val="00BC446C"/>
    <w:rsid w:val="00BC4552"/>
    <w:rsid w:val="00BC4894"/>
    <w:rsid w:val="00BC4972"/>
    <w:rsid w:val="00BC4A6A"/>
    <w:rsid w:val="00BC4BFC"/>
    <w:rsid w:val="00BC4C7A"/>
    <w:rsid w:val="00BC4D34"/>
    <w:rsid w:val="00BC4DDA"/>
    <w:rsid w:val="00BC4FC8"/>
    <w:rsid w:val="00BC502F"/>
    <w:rsid w:val="00BC503D"/>
    <w:rsid w:val="00BC509D"/>
    <w:rsid w:val="00BC5192"/>
    <w:rsid w:val="00BC51A4"/>
    <w:rsid w:val="00BC532D"/>
    <w:rsid w:val="00BC53F7"/>
    <w:rsid w:val="00BC54CF"/>
    <w:rsid w:val="00BC5626"/>
    <w:rsid w:val="00BC56EC"/>
    <w:rsid w:val="00BC57D6"/>
    <w:rsid w:val="00BC5828"/>
    <w:rsid w:val="00BC5892"/>
    <w:rsid w:val="00BC58C8"/>
    <w:rsid w:val="00BC5966"/>
    <w:rsid w:val="00BC5A62"/>
    <w:rsid w:val="00BC5D45"/>
    <w:rsid w:val="00BC5D51"/>
    <w:rsid w:val="00BC5D5B"/>
    <w:rsid w:val="00BC5F3F"/>
    <w:rsid w:val="00BC6037"/>
    <w:rsid w:val="00BC6145"/>
    <w:rsid w:val="00BC620C"/>
    <w:rsid w:val="00BC62AD"/>
    <w:rsid w:val="00BC64C5"/>
    <w:rsid w:val="00BC66AE"/>
    <w:rsid w:val="00BC66F2"/>
    <w:rsid w:val="00BC67B2"/>
    <w:rsid w:val="00BC68D2"/>
    <w:rsid w:val="00BC6C16"/>
    <w:rsid w:val="00BC6C50"/>
    <w:rsid w:val="00BC6E2E"/>
    <w:rsid w:val="00BC6E9F"/>
    <w:rsid w:val="00BC6F22"/>
    <w:rsid w:val="00BC6FB3"/>
    <w:rsid w:val="00BC7076"/>
    <w:rsid w:val="00BC713C"/>
    <w:rsid w:val="00BC716C"/>
    <w:rsid w:val="00BC71EF"/>
    <w:rsid w:val="00BC72FB"/>
    <w:rsid w:val="00BC73E9"/>
    <w:rsid w:val="00BC7516"/>
    <w:rsid w:val="00BC7693"/>
    <w:rsid w:val="00BC77A3"/>
    <w:rsid w:val="00BC7840"/>
    <w:rsid w:val="00BC7905"/>
    <w:rsid w:val="00BC7C34"/>
    <w:rsid w:val="00BC7EEE"/>
    <w:rsid w:val="00BC7F0C"/>
    <w:rsid w:val="00BC7F95"/>
    <w:rsid w:val="00BC7FD3"/>
    <w:rsid w:val="00BC7FE7"/>
    <w:rsid w:val="00BD00AF"/>
    <w:rsid w:val="00BD0113"/>
    <w:rsid w:val="00BD01FC"/>
    <w:rsid w:val="00BD0355"/>
    <w:rsid w:val="00BD0407"/>
    <w:rsid w:val="00BD0483"/>
    <w:rsid w:val="00BD048B"/>
    <w:rsid w:val="00BD04BC"/>
    <w:rsid w:val="00BD0616"/>
    <w:rsid w:val="00BD0665"/>
    <w:rsid w:val="00BD07EA"/>
    <w:rsid w:val="00BD087D"/>
    <w:rsid w:val="00BD08AA"/>
    <w:rsid w:val="00BD0974"/>
    <w:rsid w:val="00BD0AE1"/>
    <w:rsid w:val="00BD0BC2"/>
    <w:rsid w:val="00BD0C6D"/>
    <w:rsid w:val="00BD0EAD"/>
    <w:rsid w:val="00BD0F98"/>
    <w:rsid w:val="00BD0FA1"/>
    <w:rsid w:val="00BD0FB4"/>
    <w:rsid w:val="00BD1168"/>
    <w:rsid w:val="00BD142E"/>
    <w:rsid w:val="00BD1795"/>
    <w:rsid w:val="00BD17B2"/>
    <w:rsid w:val="00BD1921"/>
    <w:rsid w:val="00BD1C4F"/>
    <w:rsid w:val="00BD1C55"/>
    <w:rsid w:val="00BD1D27"/>
    <w:rsid w:val="00BD1D4E"/>
    <w:rsid w:val="00BD1E36"/>
    <w:rsid w:val="00BD1EBA"/>
    <w:rsid w:val="00BD1EE2"/>
    <w:rsid w:val="00BD1F40"/>
    <w:rsid w:val="00BD1FF6"/>
    <w:rsid w:val="00BD2026"/>
    <w:rsid w:val="00BD2029"/>
    <w:rsid w:val="00BD206F"/>
    <w:rsid w:val="00BD215C"/>
    <w:rsid w:val="00BD234F"/>
    <w:rsid w:val="00BD23B5"/>
    <w:rsid w:val="00BD23F0"/>
    <w:rsid w:val="00BD2497"/>
    <w:rsid w:val="00BD24E1"/>
    <w:rsid w:val="00BD2535"/>
    <w:rsid w:val="00BD25AF"/>
    <w:rsid w:val="00BD2639"/>
    <w:rsid w:val="00BD26DA"/>
    <w:rsid w:val="00BD2770"/>
    <w:rsid w:val="00BD27ED"/>
    <w:rsid w:val="00BD28B2"/>
    <w:rsid w:val="00BD29DE"/>
    <w:rsid w:val="00BD2B7D"/>
    <w:rsid w:val="00BD2BCE"/>
    <w:rsid w:val="00BD2C8A"/>
    <w:rsid w:val="00BD2CD0"/>
    <w:rsid w:val="00BD33BC"/>
    <w:rsid w:val="00BD3484"/>
    <w:rsid w:val="00BD3486"/>
    <w:rsid w:val="00BD3713"/>
    <w:rsid w:val="00BD387F"/>
    <w:rsid w:val="00BD38A3"/>
    <w:rsid w:val="00BD38F9"/>
    <w:rsid w:val="00BD394E"/>
    <w:rsid w:val="00BD397D"/>
    <w:rsid w:val="00BD39A8"/>
    <w:rsid w:val="00BD39F5"/>
    <w:rsid w:val="00BD3AD7"/>
    <w:rsid w:val="00BD3B35"/>
    <w:rsid w:val="00BD3DBC"/>
    <w:rsid w:val="00BD3EDA"/>
    <w:rsid w:val="00BD3EE1"/>
    <w:rsid w:val="00BD3F35"/>
    <w:rsid w:val="00BD3F76"/>
    <w:rsid w:val="00BD4045"/>
    <w:rsid w:val="00BD4080"/>
    <w:rsid w:val="00BD40C2"/>
    <w:rsid w:val="00BD4104"/>
    <w:rsid w:val="00BD42C2"/>
    <w:rsid w:val="00BD434E"/>
    <w:rsid w:val="00BD4353"/>
    <w:rsid w:val="00BD437F"/>
    <w:rsid w:val="00BD4395"/>
    <w:rsid w:val="00BD43BA"/>
    <w:rsid w:val="00BD4475"/>
    <w:rsid w:val="00BD44EA"/>
    <w:rsid w:val="00BD4503"/>
    <w:rsid w:val="00BD452C"/>
    <w:rsid w:val="00BD45FA"/>
    <w:rsid w:val="00BD463D"/>
    <w:rsid w:val="00BD484F"/>
    <w:rsid w:val="00BD486D"/>
    <w:rsid w:val="00BD4912"/>
    <w:rsid w:val="00BD49FE"/>
    <w:rsid w:val="00BD4AB8"/>
    <w:rsid w:val="00BD4B2B"/>
    <w:rsid w:val="00BD4BA6"/>
    <w:rsid w:val="00BD4BBC"/>
    <w:rsid w:val="00BD4D6F"/>
    <w:rsid w:val="00BD4D83"/>
    <w:rsid w:val="00BD4E0C"/>
    <w:rsid w:val="00BD4EA5"/>
    <w:rsid w:val="00BD5016"/>
    <w:rsid w:val="00BD501A"/>
    <w:rsid w:val="00BD5053"/>
    <w:rsid w:val="00BD507B"/>
    <w:rsid w:val="00BD50C7"/>
    <w:rsid w:val="00BD50C9"/>
    <w:rsid w:val="00BD50E9"/>
    <w:rsid w:val="00BD5123"/>
    <w:rsid w:val="00BD5175"/>
    <w:rsid w:val="00BD5297"/>
    <w:rsid w:val="00BD5585"/>
    <w:rsid w:val="00BD565A"/>
    <w:rsid w:val="00BD5DDE"/>
    <w:rsid w:val="00BD5E6A"/>
    <w:rsid w:val="00BD5F17"/>
    <w:rsid w:val="00BD5FD7"/>
    <w:rsid w:val="00BD6027"/>
    <w:rsid w:val="00BD6140"/>
    <w:rsid w:val="00BD61B1"/>
    <w:rsid w:val="00BD61B8"/>
    <w:rsid w:val="00BD61CB"/>
    <w:rsid w:val="00BD61D0"/>
    <w:rsid w:val="00BD6333"/>
    <w:rsid w:val="00BD643C"/>
    <w:rsid w:val="00BD643E"/>
    <w:rsid w:val="00BD65A2"/>
    <w:rsid w:val="00BD65A8"/>
    <w:rsid w:val="00BD661E"/>
    <w:rsid w:val="00BD672A"/>
    <w:rsid w:val="00BD672C"/>
    <w:rsid w:val="00BD6883"/>
    <w:rsid w:val="00BD6959"/>
    <w:rsid w:val="00BD69F0"/>
    <w:rsid w:val="00BD6A73"/>
    <w:rsid w:val="00BD6B1B"/>
    <w:rsid w:val="00BD6B6C"/>
    <w:rsid w:val="00BD6D10"/>
    <w:rsid w:val="00BD6DBB"/>
    <w:rsid w:val="00BD6FF0"/>
    <w:rsid w:val="00BD7028"/>
    <w:rsid w:val="00BD708E"/>
    <w:rsid w:val="00BD70E4"/>
    <w:rsid w:val="00BD70EE"/>
    <w:rsid w:val="00BD710F"/>
    <w:rsid w:val="00BD7148"/>
    <w:rsid w:val="00BD7151"/>
    <w:rsid w:val="00BD7155"/>
    <w:rsid w:val="00BD7262"/>
    <w:rsid w:val="00BD72A3"/>
    <w:rsid w:val="00BD72C0"/>
    <w:rsid w:val="00BD7304"/>
    <w:rsid w:val="00BD73AF"/>
    <w:rsid w:val="00BD742F"/>
    <w:rsid w:val="00BD7526"/>
    <w:rsid w:val="00BD76F0"/>
    <w:rsid w:val="00BD77A8"/>
    <w:rsid w:val="00BD77C1"/>
    <w:rsid w:val="00BD781B"/>
    <w:rsid w:val="00BD7889"/>
    <w:rsid w:val="00BD78AA"/>
    <w:rsid w:val="00BD7906"/>
    <w:rsid w:val="00BD7BA9"/>
    <w:rsid w:val="00BD7E41"/>
    <w:rsid w:val="00BD7E70"/>
    <w:rsid w:val="00BD7F8F"/>
    <w:rsid w:val="00BE0137"/>
    <w:rsid w:val="00BE01F3"/>
    <w:rsid w:val="00BE023D"/>
    <w:rsid w:val="00BE0269"/>
    <w:rsid w:val="00BE02CA"/>
    <w:rsid w:val="00BE0328"/>
    <w:rsid w:val="00BE0915"/>
    <w:rsid w:val="00BE091C"/>
    <w:rsid w:val="00BE094C"/>
    <w:rsid w:val="00BE0979"/>
    <w:rsid w:val="00BE09C4"/>
    <w:rsid w:val="00BE0D54"/>
    <w:rsid w:val="00BE0D86"/>
    <w:rsid w:val="00BE0D97"/>
    <w:rsid w:val="00BE0E5E"/>
    <w:rsid w:val="00BE0F59"/>
    <w:rsid w:val="00BE0F98"/>
    <w:rsid w:val="00BE0FFD"/>
    <w:rsid w:val="00BE108A"/>
    <w:rsid w:val="00BE1143"/>
    <w:rsid w:val="00BE136D"/>
    <w:rsid w:val="00BE13FA"/>
    <w:rsid w:val="00BE1486"/>
    <w:rsid w:val="00BE16FE"/>
    <w:rsid w:val="00BE178E"/>
    <w:rsid w:val="00BE19DA"/>
    <w:rsid w:val="00BE1A53"/>
    <w:rsid w:val="00BE1BD0"/>
    <w:rsid w:val="00BE1DE9"/>
    <w:rsid w:val="00BE1E5D"/>
    <w:rsid w:val="00BE1F27"/>
    <w:rsid w:val="00BE1F9A"/>
    <w:rsid w:val="00BE211A"/>
    <w:rsid w:val="00BE2152"/>
    <w:rsid w:val="00BE2167"/>
    <w:rsid w:val="00BE2344"/>
    <w:rsid w:val="00BE2362"/>
    <w:rsid w:val="00BE2435"/>
    <w:rsid w:val="00BE25F1"/>
    <w:rsid w:val="00BE2663"/>
    <w:rsid w:val="00BE26B1"/>
    <w:rsid w:val="00BE2725"/>
    <w:rsid w:val="00BE2769"/>
    <w:rsid w:val="00BE288B"/>
    <w:rsid w:val="00BE29D2"/>
    <w:rsid w:val="00BE2A5F"/>
    <w:rsid w:val="00BE2A67"/>
    <w:rsid w:val="00BE2AE6"/>
    <w:rsid w:val="00BE2B52"/>
    <w:rsid w:val="00BE2D5E"/>
    <w:rsid w:val="00BE2DB5"/>
    <w:rsid w:val="00BE2E04"/>
    <w:rsid w:val="00BE2E3A"/>
    <w:rsid w:val="00BE2E5F"/>
    <w:rsid w:val="00BE2F20"/>
    <w:rsid w:val="00BE2FA1"/>
    <w:rsid w:val="00BE3017"/>
    <w:rsid w:val="00BE3078"/>
    <w:rsid w:val="00BE3161"/>
    <w:rsid w:val="00BE323A"/>
    <w:rsid w:val="00BE326C"/>
    <w:rsid w:val="00BE33D8"/>
    <w:rsid w:val="00BE374C"/>
    <w:rsid w:val="00BE389C"/>
    <w:rsid w:val="00BE39EE"/>
    <w:rsid w:val="00BE3AAD"/>
    <w:rsid w:val="00BE3C21"/>
    <w:rsid w:val="00BE3C40"/>
    <w:rsid w:val="00BE3D22"/>
    <w:rsid w:val="00BE3D97"/>
    <w:rsid w:val="00BE3DD5"/>
    <w:rsid w:val="00BE401C"/>
    <w:rsid w:val="00BE40AC"/>
    <w:rsid w:val="00BE40D3"/>
    <w:rsid w:val="00BE4233"/>
    <w:rsid w:val="00BE4396"/>
    <w:rsid w:val="00BE449F"/>
    <w:rsid w:val="00BE455D"/>
    <w:rsid w:val="00BE4613"/>
    <w:rsid w:val="00BE4645"/>
    <w:rsid w:val="00BE47CE"/>
    <w:rsid w:val="00BE47FF"/>
    <w:rsid w:val="00BE4842"/>
    <w:rsid w:val="00BE48D1"/>
    <w:rsid w:val="00BE4978"/>
    <w:rsid w:val="00BE49F0"/>
    <w:rsid w:val="00BE4A74"/>
    <w:rsid w:val="00BE4BBB"/>
    <w:rsid w:val="00BE4DAD"/>
    <w:rsid w:val="00BE4E7A"/>
    <w:rsid w:val="00BE4E99"/>
    <w:rsid w:val="00BE4FFF"/>
    <w:rsid w:val="00BE507C"/>
    <w:rsid w:val="00BE50D5"/>
    <w:rsid w:val="00BE50D7"/>
    <w:rsid w:val="00BE50F1"/>
    <w:rsid w:val="00BE516F"/>
    <w:rsid w:val="00BE5384"/>
    <w:rsid w:val="00BE53F5"/>
    <w:rsid w:val="00BE54A2"/>
    <w:rsid w:val="00BE5555"/>
    <w:rsid w:val="00BE5609"/>
    <w:rsid w:val="00BE566A"/>
    <w:rsid w:val="00BE56EF"/>
    <w:rsid w:val="00BE579E"/>
    <w:rsid w:val="00BE58C9"/>
    <w:rsid w:val="00BE593A"/>
    <w:rsid w:val="00BE59F7"/>
    <w:rsid w:val="00BE59FE"/>
    <w:rsid w:val="00BE5A82"/>
    <w:rsid w:val="00BE5ADE"/>
    <w:rsid w:val="00BE5C83"/>
    <w:rsid w:val="00BE5EAC"/>
    <w:rsid w:val="00BE5F5D"/>
    <w:rsid w:val="00BE5FAD"/>
    <w:rsid w:val="00BE6106"/>
    <w:rsid w:val="00BE61CD"/>
    <w:rsid w:val="00BE6254"/>
    <w:rsid w:val="00BE6294"/>
    <w:rsid w:val="00BE629E"/>
    <w:rsid w:val="00BE6340"/>
    <w:rsid w:val="00BE63DF"/>
    <w:rsid w:val="00BE663C"/>
    <w:rsid w:val="00BE6702"/>
    <w:rsid w:val="00BE6759"/>
    <w:rsid w:val="00BE67B6"/>
    <w:rsid w:val="00BE6990"/>
    <w:rsid w:val="00BE6A5D"/>
    <w:rsid w:val="00BE6A8A"/>
    <w:rsid w:val="00BE6B77"/>
    <w:rsid w:val="00BE6BAD"/>
    <w:rsid w:val="00BE6C68"/>
    <w:rsid w:val="00BE6C92"/>
    <w:rsid w:val="00BE6DFC"/>
    <w:rsid w:val="00BE6F91"/>
    <w:rsid w:val="00BE6FC5"/>
    <w:rsid w:val="00BE709D"/>
    <w:rsid w:val="00BE70CB"/>
    <w:rsid w:val="00BE7110"/>
    <w:rsid w:val="00BE71B1"/>
    <w:rsid w:val="00BE71D2"/>
    <w:rsid w:val="00BE71F5"/>
    <w:rsid w:val="00BE7215"/>
    <w:rsid w:val="00BE7318"/>
    <w:rsid w:val="00BE73FD"/>
    <w:rsid w:val="00BE76CA"/>
    <w:rsid w:val="00BE78A3"/>
    <w:rsid w:val="00BE7905"/>
    <w:rsid w:val="00BE7963"/>
    <w:rsid w:val="00BE79B8"/>
    <w:rsid w:val="00BE79E0"/>
    <w:rsid w:val="00BE7B0E"/>
    <w:rsid w:val="00BE7B83"/>
    <w:rsid w:val="00BE7BA1"/>
    <w:rsid w:val="00BE7C3F"/>
    <w:rsid w:val="00BE7D38"/>
    <w:rsid w:val="00BE7EEB"/>
    <w:rsid w:val="00BF0063"/>
    <w:rsid w:val="00BF0111"/>
    <w:rsid w:val="00BF019F"/>
    <w:rsid w:val="00BF01FE"/>
    <w:rsid w:val="00BF026C"/>
    <w:rsid w:val="00BF0287"/>
    <w:rsid w:val="00BF03FF"/>
    <w:rsid w:val="00BF041A"/>
    <w:rsid w:val="00BF04DE"/>
    <w:rsid w:val="00BF0564"/>
    <w:rsid w:val="00BF0574"/>
    <w:rsid w:val="00BF0692"/>
    <w:rsid w:val="00BF072C"/>
    <w:rsid w:val="00BF09BA"/>
    <w:rsid w:val="00BF09C0"/>
    <w:rsid w:val="00BF0A02"/>
    <w:rsid w:val="00BF0B24"/>
    <w:rsid w:val="00BF0BB7"/>
    <w:rsid w:val="00BF0E99"/>
    <w:rsid w:val="00BF0F09"/>
    <w:rsid w:val="00BF0F99"/>
    <w:rsid w:val="00BF0FE9"/>
    <w:rsid w:val="00BF1086"/>
    <w:rsid w:val="00BF11EF"/>
    <w:rsid w:val="00BF1396"/>
    <w:rsid w:val="00BF1441"/>
    <w:rsid w:val="00BF1523"/>
    <w:rsid w:val="00BF156D"/>
    <w:rsid w:val="00BF1589"/>
    <w:rsid w:val="00BF1627"/>
    <w:rsid w:val="00BF16A7"/>
    <w:rsid w:val="00BF1791"/>
    <w:rsid w:val="00BF1976"/>
    <w:rsid w:val="00BF1A27"/>
    <w:rsid w:val="00BF1A96"/>
    <w:rsid w:val="00BF1C7B"/>
    <w:rsid w:val="00BF1DD3"/>
    <w:rsid w:val="00BF1E92"/>
    <w:rsid w:val="00BF1EBB"/>
    <w:rsid w:val="00BF202C"/>
    <w:rsid w:val="00BF2147"/>
    <w:rsid w:val="00BF227B"/>
    <w:rsid w:val="00BF22B9"/>
    <w:rsid w:val="00BF2321"/>
    <w:rsid w:val="00BF2324"/>
    <w:rsid w:val="00BF2386"/>
    <w:rsid w:val="00BF26E0"/>
    <w:rsid w:val="00BF291F"/>
    <w:rsid w:val="00BF2937"/>
    <w:rsid w:val="00BF2957"/>
    <w:rsid w:val="00BF2A20"/>
    <w:rsid w:val="00BF2B5B"/>
    <w:rsid w:val="00BF2D1F"/>
    <w:rsid w:val="00BF2D23"/>
    <w:rsid w:val="00BF2D97"/>
    <w:rsid w:val="00BF2EBD"/>
    <w:rsid w:val="00BF2F2A"/>
    <w:rsid w:val="00BF2F8A"/>
    <w:rsid w:val="00BF30CA"/>
    <w:rsid w:val="00BF320F"/>
    <w:rsid w:val="00BF330B"/>
    <w:rsid w:val="00BF342A"/>
    <w:rsid w:val="00BF3679"/>
    <w:rsid w:val="00BF36C4"/>
    <w:rsid w:val="00BF36D6"/>
    <w:rsid w:val="00BF3728"/>
    <w:rsid w:val="00BF3797"/>
    <w:rsid w:val="00BF3873"/>
    <w:rsid w:val="00BF388D"/>
    <w:rsid w:val="00BF3989"/>
    <w:rsid w:val="00BF3A7B"/>
    <w:rsid w:val="00BF3B4E"/>
    <w:rsid w:val="00BF3B8C"/>
    <w:rsid w:val="00BF3BA5"/>
    <w:rsid w:val="00BF3D11"/>
    <w:rsid w:val="00BF3D7F"/>
    <w:rsid w:val="00BF4032"/>
    <w:rsid w:val="00BF40AF"/>
    <w:rsid w:val="00BF40E5"/>
    <w:rsid w:val="00BF41E9"/>
    <w:rsid w:val="00BF421A"/>
    <w:rsid w:val="00BF4271"/>
    <w:rsid w:val="00BF4286"/>
    <w:rsid w:val="00BF42A6"/>
    <w:rsid w:val="00BF4353"/>
    <w:rsid w:val="00BF4395"/>
    <w:rsid w:val="00BF43B2"/>
    <w:rsid w:val="00BF43B5"/>
    <w:rsid w:val="00BF444A"/>
    <w:rsid w:val="00BF44D8"/>
    <w:rsid w:val="00BF44DF"/>
    <w:rsid w:val="00BF4509"/>
    <w:rsid w:val="00BF48AE"/>
    <w:rsid w:val="00BF49AC"/>
    <w:rsid w:val="00BF49EF"/>
    <w:rsid w:val="00BF4A19"/>
    <w:rsid w:val="00BF4A86"/>
    <w:rsid w:val="00BF4B44"/>
    <w:rsid w:val="00BF4B4D"/>
    <w:rsid w:val="00BF4C58"/>
    <w:rsid w:val="00BF4D73"/>
    <w:rsid w:val="00BF4D89"/>
    <w:rsid w:val="00BF4E27"/>
    <w:rsid w:val="00BF4F28"/>
    <w:rsid w:val="00BF4FFA"/>
    <w:rsid w:val="00BF534E"/>
    <w:rsid w:val="00BF5429"/>
    <w:rsid w:val="00BF5518"/>
    <w:rsid w:val="00BF568E"/>
    <w:rsid w:val="00BF568F"/>
    <w:rsid w:val="00BF56AA"/>
    <w:rsid w:val="00BF5824"/>
    <w:rsid w:val="00BF585A"/>
    <w:rsid w:val="00BF5938"/>
    <w:rsid w:val="00BF595D"/>
    <w:rsid w:val="00BF5982"/>
    <w:rsid w:val="00BF5A96"/>
    <w:rsid w:val="00BF5A9B"/>
    <w:rsid w:val="00BF5B6C"/>
    <w:rsid w:val="00BF5CE3"/>
    <w:rsid w:val="00BF5EB1"/>
    <w:rsid w:val="00BF5EE0"/>
    <w:rsid w:val="00BF5FEE"/>
    <w:rsid w:val="00BF5FF7"/>
    <w:rsid w:val="00BF625D"/>
    <w:rsid w:val="00BF62AA"/>
    <w:rsid w:val="00BF645D"/>
    <w:rsid w:val="00BF650C"/>
    <w:rsid w:val="00BF6520"/>
    <w:rsid w:val="00BF66A0"/>
    <w:rsid w:val="00BF673C"/>
    <w:rsid w:val="00BF688A"/>
    <w:rsid w:val="00BF68DE"/>
    <w:rsid w:val="00BF693F"/>
    <w:rsid w:val="00BF696A"/>
    <w:rsid w:val="00BF6978"/>
    <w:rsid w:val="00BF6991"/>
    <w:rsid w:val="00BF6A02"/>
    <w:rsid w:val="00BF6B89"/>
    <w:rsid w:val="00BF6D40"/>
    <w:rsid w:val="00BF6E21"/>
    <w:rsid w:val="00BF704C"/>
    <w:rsid w:val="00BF70D8"/>
    <w:rsid w:val="00BF71E0"/>
    <w:rsid w:val="00BF71E5"/>
    <w:rsid w:val="00BF72C2"/>
    <w:rsid w:val="00BF7321"/>
    <w:rsid w:val="00BF735E"/>
    <w:rsid w:val="00BF747F"/>
    <w:rsid w:val="00BF76CC"/>
    <w:rsid w:val="00BF7727"/>
    <w:rsid w:val="00BF7777"/>
    <w:rsid w:val="00BF7817"/>
    <w:rsid w:val="00BF78D4"/>
    <w:rsid w:val="00BF78DF"/>
    <w:rsid w:val="00BF78F0"/>
    <w:rsid w:val="00BF7A1D"/>
    <w:rsid w:val="00BF7AF2"/>
    <w:rsid w:val="00BF7BCA"/>
    <w:rsid w:val="00BF7C10"/>
    <w:rsid w:val="00BF7CD8"/>
    <w:rsid w:val="00BF7F77"/>
    <w:rsid w:val="00BF7FCB"/>
    <w:rsid w:val="00BF7FF0"/>
    <w:rsid w:val="00BF7FF7"/>
    <w:rsid w:val="00C000C7"/>
    <w:rsid w:val="00C00149"/>
    <w:rsid w:val="00C001F9"/>
    <w:rsid w:val="00C0032A"/>
    <w:rsid w:val="00C00453"/>
    <w:rsid w:val="00C00785"/>
    <w:rsid w:val="00C0081E"/>
    <w:rsid w:val="00C0085D"/>
    <w:rsid w:val="00C0094B"/>
    <w:rsid w:val="00C00956"/>
    <w:rsid w:val="00C009DE"/>
    <w:rsid w:val="00C00AC7"/>
    <w:rsid w:val="00C00B4B"/>
    <w:rsid w:val="00C00D9D"/>
    <w:rsid w:val="00C00DAF"/>
    <w:rsid w:val="00C00F2B"/>
    <w:rsid w:val="00C00F6B"/>
    <w:rsid w:val="00C00FA7"/>
    <w:rsid w:val="00C00FCA"/>
    <w:rsid w:val="00C0108A"/>
    <w:rsid w:val="00C010E0"/>
    <w:rsid w:val="00C011C4"/>
    <w:rsid w:val="00C011E2"/>
    <w:rsid w:val="00C0136F"/>
    <w:rsid w:val="00C01377"/>
    <w:rsid w:val="00C0147F"/>
    <w:rsid w:val="00C0151D"/>
    <w:rsid w:val="00C01594"/>
    <w:rsid w:val="00C015E1"/>
    <w:rsid w:val="00C017A4"/>
    <w:rsid w:val="00C017AD"/>
    <w:rsid w:val="00C017D3"/>
    <w:rsid w:val="00C017E4"/>
    <w:rsid w:val="00C01A5B"/>
    <w:rsid w:val="00C01C6D"/>
    <w:rsid w:val="00C01C9A"/>
    <w:rsid w:val="00C01F32"/>
    <w:rsid w:val="00C02048"/>
    <w:rsid w:val="00C020CD"/>
    <w:rsid w:val="00C021DA"/>
    <w:rsid w:val="00C022F5"/>
    <w:rsid w:val="00C023F4"/>
    <w:rsid w:val="00C0247A"/>
    <w:rsid w:val="00C02726"/>
    <w:rsid w:val="00C02792"/>
    <w:rsid w:val="00C028E4"/>
    <w:rsid w:val="00C029F8"/>
    <w:rsid w:val="00C02ABA"/>
    <w:rsid w:val="00C02BA1"/>
    <w:rsid w:val="00C02C3E"/>
    <w:rsid w:val="00C02C83"/>
    <w:rsid w:val="00C02D68"/>
    <w:rsid w:val="00C02DB6"/>
    <w:rsid w:val="00C02E43"/>
    <w:rsid w:val="00C02FC3"/>
    <w:rsid w:val="00C030CB"/>
    <w:rsid w:val="00C03181"/>
    <w:rsid w:val="00C033D2"/>
    <w:rsid w:val="00C033F3"/>
    <w:rsid w:val="00C03508"/>
    <w:rsid w:val="00C035F5"/>
    <w:rsid w:val="00C03672"/>
    <w:rsid w:val="00C0384C"/>
    <w:rsid w:val="00C03976"/>
    <w:rsid w:val="00C03A62"/>
    <w:rsid w:val="00C03B30"/>
    <w:rsid w:val="00C03B48"/>
    <w:rsid w:val="00C03B96"/>
    <w:rsid w:val="00C03C65"/>
    <w:rsid w:val="00C03D86"/>
    <w:rsid w:val="00C03EE4"/>
    <w:rsid w:val="00C03FD9"/>
    <w:rsid w:val="00C03FF7"/>
    <w:rsid w:val="00C040AA"/>
    <w:rsid w:val="00C04212"/>
    <w:rsid w:val="00C042D1"/>
    <w:rsid w:val="00C043AD"/>
    <w:rsid w:val="00C043B3"/>
    <w:rsid w:val="00C04400"/>
    <w:rsid w:val="00C044FC"/>
    <w:rsid w:val="00C04552"/>
    <w:rsid w:val="00C045B8"/>
    <w:rsid w:val="00C046D4"/>
    <w:rsid w:val="00C047F3"/>
    <w:rsid w:val="00C0490B"/>
    <w:rsid w:val="00C049E9"/>
    <w:rsid w:val="00C04AF2"/>
    <w:rsid w:val="00C04B22"/>
    <w:rsid w:val="00C04B53"/>
    <w:rsid w:val="00C04B9A"/>
    <w:rsid w:val="00C04C3F"/>
    <w:rsid w:val="00C04C9C"/>
    <w:rsid w:val="00C04E91"/>
    <w:rsid w:val="00C04F06"/>
    <w:rsid w:val="00C04F3C"/>
    <w:rsid w:val="00C05068"/>
    <w:rsid w:val="00C0511B"/>
    <w:rsid w:val="00C051E9"/>
    <w:rsid w:val="00C051EF"/>
    <w:rsid w:val="00C05209"/>
    <w:rsid w:val="00C0530B"/>
    <w:rsid w:val="00C05442"/>
    <w:rsid w:val="00C05571"/>
    <w:rsid w:val="00C0572D"/>
    <w:rsid w:val="00C0578E"/>
    <w:rsid w:val="00C058E4"/>
    <w:rsid w:val="00C0596C"/>
    <w:rsid w:val="00C05A25"/>
    <w:rsid w:val="00C05A8B"/>
    <w:rsid w:val="00C05ADF"/>
    <w:rsid w:val="00C05D84"/>
    <w:rsid w:val="00C05DD2"/>
    <w:rsid w:val="00C05EAE"/>
    <w:rsid w:val="00C05F20"/>
    <w:rsid w:val="00C05FA3"/>
    <w:rsid w:val="00C05FB0"/>
    <w:rsid w:val="00C0604A"/>
    <w:rsid w:val="00C06125"/>
    <w:rsid w:val="00C06190"/>
    <w:rsid w:val="00C061DC"/>
    <w:rsid w:val="00C06392"/>
    <w:rsid w:val="00C063BE"/>
    <w:rsid w:val="00C0640A"/>
    <w:rsid w:val="00C06497"/>
    <w:rsid w:val="00C064F5"/>
    <w:rsid w:val="00C06615"/>
    <w:rsid w:val="00C0670F"/>
    <w:rsid w:val="00C06742"/>
    <w:rsid w:val="00C0691B"/>
    <w:rsid w:val="00C06A0D"/>
    <w:rsid w:val="00C06AB3"/>
    <w:rsid w:val="00C06CD7"/>
    <w:rsid w:val="00C06FF0"/>
    <w:rsid w:val="00C07262"/>
    <w:rsid w:val="00C072DD"/>
    <w:rsid w:val="00C07399"/>
    <w:rsid w:val="00C07446"/>
    <w:rsid w:val="00C0752B"/>
    <w:rsid w:val="00C0753F"/>
    <w:rsid w:val="00C07685"/>
    <w:rsid w:val="00C077B7"/>
    <w:rsid w:val="00C07862"/>
    <w:rsid w:val="00C07865"/>
    <w:rsid w:val="00C0789F"/>
    <w:rsid w:val="00C07976"/>
    <w:rsid w:val="00C0798C"/>
    <w:rsid w:val="00C0799F"/>
    <w:rsid w:val="00C079D7"/>
    <w:rsid w:val="00C07A20"/>
    <w:rsid w:val="00C07C6A"/>
    <w:rsid w:val="00C07EE6"/>
    <w:rsid w:val="00C07FE7"/>
    <w:rsid w:val="00C10065"/>
    <w:rsid w:val="00C1034E"/>
    <w:rsid w:val="00C10397"/>
    <w:rsid w:val="00C10435"/>
    <w:rsid w:val="00C1048C"/>
    <w:rsid w:val="00C10498"/>
    <w:rsid w:val="00C104A8"/>
    <w:rsid w:val="00C10625"/>
    <w:rsid w:val="00C106AD"/>
    <w:rsid w:val="00C10752"/>
    <w:rsid w:val="00C107B9"/>
    <w:rsid w:val="00C10851"/>
    <w:rsid w:val="00C108E8"/>
    <w:rsid w:val="00C108F8"/>
    <w:rsid w:val="00C10A3C"/>
    <w:rsid w:val="00C10B8B"/>
    <w:rsid w:val="00C10C6B"/>
    <w:rsid w:val="00C10D16"/>
    <w:rsid w:val="00C11108"/>
    <w:rsid w:val="00C1117A"/>
    <w:rsid w:val="00C11274"/>
    <w:rsid w:val="00C113C8"/>
    <w:rsid w:val="00C11500"/>
    <w:rsid w:val="00C11583"/>
    <w:rsid w:val="00C116D6"/>
    <w:rsid w:val="00C11752"/>
    <w:rsid w:val="00C117BF"/>
    <w:rsid w:val="00C117DD"/>
    <w:rsid w:val="00C11944"/>
    <w:rsid w:val="00C11B3C"/>
    <w:rsid w:val="00C11B96"/>
    <w:rsid w:val="00C11C79"/>
    <w:rsid w:val="00C11CD6"/>
    <w:rsid w:val="00C11D26"/>
    <w:rsid w:val="00C11DB9"/>
    <w:rsid w:val="00C11FC8"/>
    <w:rsid w:val="00C1203D"/>
    <w:rsid w:val="00C120A3"/>
    <w:rsid w:val="00C120BE"/>
    <w:rsid w:val="00C12117"/>
    <w:rsid w:val="00C121D6"/>
    <w:rsid w:val="00C121DF"/>
    <w:rsid w:val="00C12205"/>
    <w:rsid w:val="00C1225D"/>
    <w:rsid w:val="00C12301"/>
    <w:rsid w:val="00C12307"/>
    <w:rsid w:val="00C1231C"/>
    <w:rsid w:val="00C1238A"/>
    <w:rsid w:val="00C124FD"/>
    <w:rsid w:val="00C12680"/>
    <w:rsid w:val="00C1280C"/>
    <w:rsid w:val="00C12845"/>
    <w:rsid w:val="00C128B1"/>
    <w:rsid w:val="00C12B1B"/>
    <w:rsid w:val="00C12BD8"/>
    <w:rsid w:val="00C12BFA"/>
    <w:rsid w:val="00C12CED"/>
    <w:rsid w:val="00C12D38"/>
    <w:rsid w:val="00C12DC2"/>
    <w:rsid w:val="00C12DD9"/>
    <w:rsid w:val="00C12EE1"/>
    <w:rsid w:val="00C13272"/>
    <w:rsid w:val="00C133AF"/>
    <w:rsid w:val="00C133DA"/>
    <w:rsid w:val="00C1341D"/>
    <w:rsid w:val="00C135A7"/>
    <w:rsid w:val="00C135C8"/>
    <w:rsid w:val="00C135D1"/>
    <w:rsid w:val="00C136C6"/>
    <w:rsid w:val="00C137B9"/>
    <w:rsid w:val="00C13866"/>
    <w:rsid w:val="00C1392B"/>
    <w:rsid w:val="00C13A46"/>
    <w:rsid w:val="00C13AF3"/>
    <w:rsid w:val="00C13B89"/>
    <w:rsid w:val="00C13C03"/>
    <w:rsid w:val="00C13EDF"/>
    <w:rsid w:val="00C13F6B"/>
    <w:rsid w:val="00C13FCE"/>
    <w:rsid w:val="00C13FD0"/>
    <w:rsid w:val="00C14161"/>
    <w:rsid w:val="00C1416B"/>
    <w:rsid w:val="00C141E6"/>
    <w:rsid w:val="00C14215"/>
    <w:rsid w:val="00C1423F"/>
    <w:rsid w:val="00C14318"/>
    <w:rsid w:val="00C1443B"/>
    <w:rsid w:val="00C14453"/>
    <w:rsid w:val="00C144B9"/>
    <w:rsid w:val="00C145EC"/>
    <w:rsid w:val="00C146B7"/>
    <w:rsid w:val="00C14718"/>
    <w:rsid w:val="00C149C7"/>
    <w:rsid w:val="00C149D7"/>
    <w:rsid w:val="00C149E6"/>
    <w:rsid w:val="00C14B3E"/>
    <w:rsid w:val="00C14CED"/>
    <w:rsid w:val="00C150A7"/>
    <w:rsid w:val="00C151C8"/>
    <w:rsid w:val="00C152CF"/>
    <w:rsid w:val="00C152F5"/>
    <w:rsid w:val="00C153E8"/>
    <w:rsid w:val="00C1540D"/>
    <w:rsid w:val="00C15411"/>
    <w:rsid w:val="00C15454"/>
    <w:rsid w:val="00C154CE"/>
    <w:rsid w:val="00C15839"/>
    <w:rsid w:val="00C1585C"/>
    <w:rsid w:val="00C1590F"/>
    <w:rsid w:val="00C15944"/>
    <w:rsid w:val="00C15945"/>
    <w:rsid w:val="00C15BC3"/>
    <w:rsid w:val="00C15BE6"/>
    <w:rsid w:val="00C15BFF"/>
    <w:rsid w:val="00C15C9B"/>
    <w:rsid w:val="00C15CBC"/>
    <w:rsid w:val="00C15D4D"/>
    <w:rsid w:val="00C15D4E"/>
    <w:rsid w:val="00C15EDD"/>
    <w:rsid w:val="00C15F19"/>
    <w:rsid w:val="00C15FED"/>
    <w:rsid w:val="00C1604A"/>
    <w:rsid w:val="00C16091"/>
    <w:rsid w:val="00C160B4"/>
    <w:rsid w:val="00C161BC"/>
    <w:rsid w:val="00C1621A"/>
    <w:rsid w:val="00C1631E"/>
    <w:rsid w:val="00C16362"/>
    <w:rsid w:val="00C16383"/>
    <w:rsid w:val="00C1638F"/>
    <w:rsid w:val="00C1657A"/>
    <w:rsid w:val="00C166B0"/>
    <w:rsid w:val="00C16A0B"/>
    <w:rsid w:val="00C16CE5"/>
    <w:rsid w:val="00C16D56"/>
    <w:rsid w:val="00C16DD8"/>
    <w:rsid w:val="00C16E11"/>
    <w:rsid w:val="00C16E68"/>
    <w:rsid w:val="00C16EA3"/>
    <w:rsid w:val="00C170E6"/>
    <w:rsid w:val="00C17208"/>
    <w:rsid w:val="00C173F8"/>
    <w:rsid w:val="00C175C4"/>
    <w:rsid w:val="00C17700"/>
    <w:rsid w:val="00C1774F"/>
    <w:rsid w:val="00C178B1"/>
    <w:rsid w:val="00C178EF"/>
    <w:rsid w:val="00C17904"/>
    <w:rsid w:val="00C179DC"/>
    <w:rsid w:val="00C179E7"/>
    <w:rsid w:val="00C17A3A"/>
    <w:rsid w:val="00C17A40"/>
    <w:rsid w:val="00C17A9A"/>
    <w:rsid w:val="00C17A9C"/>
    <w:rsid w:val="00C17B2F"/>
    <w:rsid w:val="00C17B47"/>
    <w:rsid w:val="00C17B80"/>
    <w:rsid w:val="00C17B9C"/>
    <w:rsid w:val="00C17E3B"/>
    <w:rsid w:val="00C17EDD"/>
    <w:rsid w:val="00C200B2"/>
    <w:rsid w:val="00C200FD"/>
    <w:rsid w:val="00C2016B"/>
    <w:rsid w:val="00C20191"/>
    <w:rsid w:val="00C2025D"/>
    <w:rsid w:val="00C20278"/>
    <w:rsid w:val="00C202ED"/>
    <w:rsid w:val="00C2044E"/>
    <w:rsid w:val="00C204A1"/>
    <w:rsid w:val="00C204C4"/>
    <w:rsid w:val="00C20597"/>
    <w:rsid w:val="00C205CF"/>
    <w:rsid w:val="00C205E9"/>
    <w:rsid w:val="00C207A8"/>
    <w:rsid w:val="00C207F3"/>
    <w:rsid w:val="00C20804"/>
    <w:rsid w:val="00C20A2C"/>
    <w:rsid w:val="00C20AF0"/>
    <w:rsid w:val="00C20B36"/>
    <w:rsid w:val="00C20B79"/>
    <w:rsid w:val="00C20C39"/>
    <w:rsid w:val="00C20DB3"/>
    <w:rsid w:val="00C20E3F"/>
    <w:rsid w:val="00C20EE2"/>
    <w:rsid w:val="00C21184"/>
    <w:rsid w:val="00C211D7"/>
    <w:rsid w:val="00C2120F"/>
    <w:rsid w:val="00C21378"/>
    <w:rsid w:val="00C213B4"/>
    <w:rsid w:val="00C213B5"/>
    <w:rsid w:val="00C213BB"/>
    <w:rsid w:val="00C2140B"/>
    <w:rsid w:val="00C214BF"/>
    <w:rsid w:val="00C2157A"/>
    <w:rsid w:val="00C2170B"/>
    <w:rsid w:val="00C21722"/>
    <w:rsid w:val="00C21898"/>
    <w:rsid w:val="00C219D3"/>
    <w:rsid w:val="00C21B0F"/>
    <w:rsid w:val="00C21B25"/>
    <w:rsid w:val="00C21B5F"/>
    <w:rsid w:val="00C21B6D"/>
    <w:rsid w:val="00C21C06"/>
    <w:rsid w:val="00C21CC1"/>
    <w:rsid w:val="00C21E05"/>
    <w:rsid w:val="00C21EAE"/>
    <w:rsid w:val="00C22015"/>
    <w:rsid w:val="00C22044"/>
    <w:rsid w:val="00C220FB"/>
    <w:rsid w:val="00C222DA"/>
    <w:rsid w:val="00C223B5"/>
    <w:rsid w:val="00C224BF"/>
    <w:rsid w:val="00C22564"/>
    <w:rsid w:val="00C22601"/>
    <w:rsid w:val="00C22693"/>
    <w:rsid w:val="00C22769"/>
    <w:rsid w:val="00C22829"/>
    <w:rsid w:val="00C22834"/>
    <w:rsid w:val="00C22866"/>
    <w:rsid w:val="00C22976"/>
    <w:rsid w:val="00C22A45"/>
    <w:rsid w:val="00C22A76"/>
    <w:rsid w:val="00C22B67"/>
    <w:rsid w:val="00C22BD1"/>
    <w:rsid w:val="00C22C81"/>
    <w:rsid w:val="00C22C9F"/>
    <w:rsid w:val="00C22E04"/>
    <w:rsid w:val="00C22E6D"/>
    <w:rsid w:val="00C22EA8"/>
    <w:rsid w:val="00C22F56"/>
    <w:rsid w:val="00C23017"/>
    <w:rsid w:val="00C23086"/>
    <w:rsid w:val="00C230F5"/>
    <w:rsid w:val="00C2322E"/>
    <w:rsid w:val="00C23233"/>
    <w:rsid w:val="00C232AE"/>
    <w:rsid w:val="00C23358"/>
    <w:rsid w:val="00C23418"/>
    <w:rsid w:val="00C2352D"/>
    <w:rsid w:val="00C2363A"/>
    <w:rsid w:val="00C236AA"/>
    <w:rsid w:val="00C236B6"/>
    <w:rsid w:val="00C236CE"/>
    <w:rsid w:val="00C2394C"/>
    <w:rsid w:val="00C23C85"/>
    <w:rsid w:val="00C23CB9"/>
    <w:rsid w:val="00C23DC6"/>
    <w:rsid w:val="00C23E51"/>
    <w:rsid w:val="00C23E8B"/>
    <w:rsid w:val="00C23F1A"/>
    <w:rsid w:val="00C23FEB"/>
    <w:rsid w:val="00C2404A"/>
    <w:rsid w:val="00C24084"/>
    <w:rsid w:val="00C24095"/>
    <w:rsid w:val="00C2419A"/>
    <w:rsid w:val="00C2422A"/>
    <w:rsid w:val="00C242D3"/>
    <w:rsid w:val="00C24350"/>
    <w:rsid w:val="00C2437F"/>
    <w:rsid w:val="00C24422"/>
    <w:rsid w:val="00C24497"/>
    <w:rsid w:val="00C24749"/>
    <w:rsid w:val="00C247AE"/>
    <w:rsid w:val="00C24817"/>
    <w:rsid w:val="00C24A9B"/>
    <w:rsid w:val="00C24B31"/>
    <w:rsid w:val="00C24E73"/>
    <w:rsid w:val="00C24EE6"/>
    <w:rsid w:val="00C24EEC"/>
    <w:rsid w:val="00C24F22"/>
    <w:rsid w:val="00C24F24"/>
    <w:rsid w:val="00C24F7B"/>
    <w:rsid w:val="00C24FDC"/>
    <w:rsid w:val="00C2504A"/>
    <w:rsid w:val="00C250B6"/>
    <w:rsid w:val="00C250E1"/>
    <w:rsid w:val="00C2511D"/>
    <w:rsid w:val="00C25199"/>
    <w:rsid w:val="00C2523F"/>
    <w:rsid w:val="00C256A0"/>
    <w:rsid w:val="00C256D9"/>
    <w:rsid w:val="00C2578E"/>
    <w:rsid w:val="00C257BA"/>
    <w:rsid w:val="00C258D4"/>
    <w:rsid w:val="00C25925"/>
    <w:rsid w:val="00C259C2"/>
    <w:rsid w:val="00C25AEA"/>
    <w:rsid w:val="00C25B9B"/>
    <w:rsid w:val="00C25C3C"/>
    <w:rsid w:val="00C25C6D"/>
    <w:rsid w:val="00C25D4E"/>
    <w:rsid w:val="00C25DC5"/>
    <w:rsid w:val="00C25F5E"/>
    <w:rsid w:val="00C25FBE"/>
    <w:rsid w:val="00C25FEF"/>
    <w:rsid w:val="00C260E4"/>
    <w:rsid w:val="00C260EF"/>
    <w:rsid w:val="00C2627B"/>
    <w:rsid w:val="00C2646B"/>
    <w:rsid w:val="00C264EF"/>
    <w:rsid w:val="00C2658E"/>
    <w:rsid w:val="00C2678E"/>
    <w:rsid w:val="00C267F3"/>
    <w:rsid w:val="00C268AB"/>
    <w:rsid w:val="00C26A65"/>
    <w:rsid w:val="00C26B10"/>
    <w:rsid w:val="00C26B86"/>
    <w:rsid w:val="00C26BA6"/>
    <w:rsid w:val="00C26C40"/>
    <w:rsid w:val="00C26C4F"/>
    <w:rsid w:val="00C26DC7"/>
    <w:rsid w:val="00C26E98"/>
    <w:rsid w:val="00C26E9A"/>
    <w:rsid w:val="00C26F0D"/>
    <w:rsid w:val="00C26FBD"/>
    <w:rsid w:val="00C27009"/>
    <w:rsid w:val="00C270C3"/>
    <w:rsid w:val="00C2710A"/>
    <w:rsid w:val="00C27132"/>
    <w:rsid w:val="00C27232"/>
    <w:rsid w:val="00C274A9"/>
    <w:rsid w:val="00C2763D"/>
    <w:rsid w:val="00C27670"/>
    <w:rsid w:val="00C276AC"/>
    <w:rsid w:val="00C2785D"/>
    <w:rsid w:val="00C27912"/>
    <w:rsid w:val="00C27ABB"/>
    <w:rsid w:val="00C27F04"/>
    <w:rsid w:val="00C3005F"/>
    <w:rsid w:val="00C30295"/>
    <w:rsid w:val="00C3037B"/>
    <w:rsid w:val="00C30511"/>
    <w:rsid w:val="00C30742"/>
    <w:rsid w:val="00C30747"/>
    <w:rsid w:val="00C3080B"/>
    <w:rsid w:val="00C308F0"/>
    <w:rsid w:val="00C30922"/>
    <w:rsid w:val="00C30960"/>
    <w:rsid w:val="00C309F5"/>
    <w:rsid w:val="00C30A91"/>
    <w:rsid w:val="00C30BBA"/>
    <w:rsid w:val="00C30BF7"/>
    <w:rsid w:val="00C30DB1"/>
    <w:rsid w:val="00C30DFB"/>
    <w:rsid w:val="00C30EB4"/>
    <w:rsid w:val="00C31160"/>
    <w:rsid w:val="00C3123E"/>
    <w:rsid w:val="00C3140A"/>
    <w:rsid w:val="00C31499"/>
    <w:rsid w:val="00C314ED"/>
    <w:rsid w:val="00C31602"/>
    <w:rsid w:val="00C316BD"/>
    <w:rsid w:val="00C318A0"/>
    <w:rsid w:val="00C319B0"/>
    <w:rsid w:val="00C31A46"/>
    <w:rsid w:val="00C31A83"/>
    <w:rsid w:val="00C31B01"/>
    <w:rsid w:val="00C31BAA"/>
    <w:rsid w:val="00C31C10"/>
    <w:rsid w:val="00C31CBB"/>
    <w:rsid w:val="00C31CC7"/>
    <w:rsid w:val="00C31EC6"/>
    <w:rsid w:val="00C31EF8"/>
    <w:rsid w:val="00C31EFC"/>
    <w:rsid w:val="00C31F37"/>
    <w:rsid w:val="00C31F48"/>
    <w:rsid w:val="00C31FB7"/>
    <w:rsid w:val="00C32045"/>
    <w:rsid w:val="00C32052"/>
    <w:rsid w:val="00C3211B"/>
    <w:rsid w:val="00C32140"/>
    <w:rsid w:val="00C32190"/>
    <w:rsid w:val="00C3221F"/>
    <w:rsid w:val="00C32299"/>
    <w:rsid w:val="00C322A0"/>
    <w:rsid w:val="00C323AE"/>
    <w:rsid w:val="00C3240E"/>
    <w:rsid w:val="00C32444"/>
    <w:rsid w:val="00C32499"/>
    <w:rsid w:val="00C324C7"/>
    <w:rsid w:val="00C32819"/>
    <w:rsid w:val="00C32893"/>
    <w:rsid w:val="00C3294B"/>
    <w:rsid w:val="00C32A09"/>
    <w:rsid w:val="00C32B69"/>
    <w:rsid w:val="00C32D91"/>
    <w:rsid w:val="00C32E14"/>
    <w:rsid w:val="00C32E4A"/>
    <w:rsid w:val="00C32F61"/>
    <w:rsid w:val="00C330F8"/>
    <w:rsid w:val="00C3323E"/>
    <w:rsid w:val="00C332D0"/>
    <w:rsid w:val="00C333A0"/>
    <w:rsid w:val="00C33415"/>
    <w:rsid w:val="00C3343F"/>
    <w:rsid w:val="00C334D6"/>
    <w:rsid w:val="00C33588"/>
    <w:rsid w:val="00C335E2"/>
    <w:rsid w:val="00C33700"/>
    <w:rsid w:val="00C3372A"/>
    <w:rsid w:val="00C33846"/>
    <w:rsid w:val="00C338FB"/>
    <w:rsid w:val="00C33936"/>
    <w:rsid w:val="00C33994"/>
    <w:rsid w:val="00C33B54"/>
    <w:rsid w:val="00C33B6A"/>
    <w:rsid w:val="00C33BEF"/>
    <w:rsid w:val="00C33C03"/>
    <w:rsid w:val="00C33C24"/>
    <w:rsid w:val="00C33CAD"/>
    <w:rsid w:val="00C33D8E"/>
    <w:rsid w:val="00C33E5C"/>
    <w:rsid w:val="00C33E7D"/>
    <w:rsid w:val="00C342A7"/>
    <w:rsid w:val="00C3435D"/>
    <w:rsid w:val="00C345DD"/>
    <w:rsid w:val="00C347B0"/>
    <w:rsid w:val="00C3482C"/>
    <w:rsid w:val="00C34ABE"/>
    <w:rsid w:val="00C34BFD"/>
    <w:rsid w:val="00C34D16"/>
    <w:rsid w:val="00C34D5E"/>
    <w:rsid w:val="00C34F05"/>
    <w:rsid w:val="00C34F7E"/>
    <w:rsid w:val="00C3501E"/>
    <w:rsid w:val="00C350D6"/>
    <w:rsid w:val="00C35136"/>
    <w:rsid w:val="00C351D5"/>
    <w:rsid w:val="00C35335"/>
    <w:rsid w:val="00C35463"/>
    <w:rsid w:val="00C3552F"/>
    <w:rsid w:val="00C35558"/>
    <w:rsid w:val="00C355EC"/>
    <w:rsid w:val="00C356EE"/>
    <w:rsid w:val="00C356F9"/>
    <w:rsid w:val="00C35902"/>
    <w:rsid w:val="00C3590A"/>
    <w:rsid w:val="00C359B8"/>
    <w:rsid w:val="00C359FE"/>
    <w:rsid w:val="00C35AC1"/>
    <w:rsid w:val="00C35AED"/>
    <w:rsid w:val="00C35CA8"/>
    <w:rsid w:val="00C35D44"/>
    <w:rsid w:val="00C35EB1"/>
    <w:rsid w:val="00C35EF5"/>
    <w:rsid w:val="00C35F99"/>
    <w:rsid w:val="00C36069"/>
    <w:rsid w:val="00C36089"/>
    <w:rsid w:val="00C36197"/>
    <w:rsid w:val="00C3620B"/>
    <w:rsid w:val="00C3629B"/>
    <w:rsid w:val="00C362D1"/>
    <w:rsid w:val="00C36347"/>
    <w:rsid w:val="00C363EA"/>
    <w:rsid w:val="00C364ED"/>
    <w:rsid w:val="00C365A8"/>
    <w:rsid w:val="00C3666D"/>
    <w:rsid w:val="00C36752"/>
    <w:rsid w:val="00C367CA"/>
    <w:rsid w:val="00C368AA"/>
    <w:rsid w:val="00C36A48"/>
    <w:rsid w:val="00C36BCF"/>
    <w:rsid w:val="00C36CED"/>
    <w:rsid w:val="00C36D4D"/>
    <w:rsid w:val="00C36E2E"/>
    <w:rsid w:val="00C36E77"/>
    <w:rsid w:val="00C36EF1"/>
    <w:rsid w:val="00C36F41"/>
    <w:rsid w:val="00C36FD2"/>
    <w:rsid w:val="00C37041"/>
    <w:rsid w:val="00C37150"/>
    <w:rsid w:val="00C371D3"/>
    <w:rsid w:val="00C372BE"/>
    <w:rsid w:val="00C3733B"/>
    <w:rsid w:val="00C376F1"/>
    <w:rsid w:val="00C3786E"/>
    <w:rsid w:val="00C37881"/>
    <w:rsid w:val="00C37A2A"/>
    <w:rsid w:val="00C37AFE"/>
    <w:rsid w:val="00C37B28"/>
    <w:rsid w:val="00C37B65"/>
    <w:rsid w:val="00C37BA6"/>
    <w:rsid w:val="00C37CB7"/>
    <w:rsid w:val="00C37D5F"/>
    <w:rsid w:val="00C4003B"/>
    <w:rsid w:val="00C40188"/>
    <w:rsid w:val="00C401D9"/>
    <w:rsid w:val="00C40291"/>
    <w:rsid w:val="00C4038C"/>
    <w:rsid w:val="00C403CD"/>
    <w:rsid w:val="00C4043F"/>
    <w:rsid w:val="00C404A4"/>
    <w:rsid w:val="00C404A5"/>
    <w:rsid w:val="00C4056D"/>
    <w:rsid w:val="00C405B5"/>
    <w:rsid w:val="00C406AE"/>
    <w:rsid w:val="00C406E4"/>
    <w:rsid w:val="00C408B7"/>
    <w:rsid w:val="00C40933"/>
    <w:rsid w:val="00C40B38"/>
    <w:rsid w:val="00C40B8F"/>
    <w:rsid w:val="00C40B99"/>
    <w:rsid w:val="00C40BA9"/>
    <w:rsid w:val="00C40CB0"/>
    <w:rsid w:val="00C40E27"/>
    <w:rsid w:val="00C40E5C"/>
    <w:rsid w:val="00C40F71"/>
    <w:rsid w:val="00C40FC0"/>
    <w:rsid w:val="00C41279"/>
    <w:rsid w:val="00C412FE"/>
    <w:rsid w:val="00C4135A"/>
    <w:rsid w:val="00C41369"/>
    <w:rsid w:val="00C413D3"/>
    <w:rsid w:val="00C413F8"/>
    <w:rsid w:val="00C4145D"/>
    <w:rsid w:val="00C4148A"/>
    <w:rsid w:val="00C4152D"/>
    <w:rsid w:val="00C4157A"/>
    <w:rsid w:val="00C41622"/>
    <w:rsid w:val="00C41654"/>
    <w:rsid w:val="00C41665"/>
    <w:rsid w:val="00C418B0"/>
    <w:rsid w:val="00C418B4"/>
    <w:rsid w:val="00C41911"/>
    <w:rsid w:val="00C41969"/>
    <w:rsid w:val="00C41A4E"/>
    <w:rsid w:val="00C41A56"/>
    <w:rsid w:val="00C41B99"/>
    <w:rsid w:val="00C41CC1"/>
    <w:rsid w:val="00C41CE2"/>
    <w:rsid w:val="00C41E90"/>
    <w:rsid w:val="00C422F8"/>
    <w:rsid w:val="00C42334"/>
    <w:rsid w:val="00C4243A"/>
    <w:rsid w:val="00C424D3"/>
    <w:rsid w:val="00C42637"/>
    <w:rsid w:val="00C42889"/>
    <w:rsid w:val="00C428DD"/>
    <w:rsid w:val="00C428F0"/>
    <w:rsid w:val="00C4294B"/>
    <w:rsid w:val="00C42B90"/>
    <w:rsid w:val="00C42BBE"/>
    <w:rsid w:val="00C42C3E"/>
    <w:rsid w:val="00C42C50"/>
    <w:rsid w:val="00C42C5C"/>
    <w:rsid w:val="00C42DE4"/>
    <w:rsid w:val="00C42F74"/>
    <w:rsid w:val="00C4304C"/>
    <w:rsid w:val="00C432E3"/>
    <w:rsid w:val="00C43308"/>
    <w:rsid w:val="00C4333C"/>
    <w:rsid w:val="00C433FC"/>
    <w:rsid w:val="00C43443"/>
    <w:rsid w:val="00C43467"/>
    <w:rsid w:val="00C43520"/>
    <w:rsid w:val="00C435FF"/>
    <w:rsid w:val="00C436BD"/>
    <w:rsid w:val="00C436E0"/>
    <w:rsid w:val="00C43754"/>
    <w:rsid w:val="00C43755"/>
    <w:rsid w:val="00C4376A"/>
    <w:rsid w:val="00C437AF"/>
    <w:rsid w:val="00C43851"/>
    <w:rsid w:val="00C43B25"/>
    <w:rsid w:val="00C43B7C"/>
    <w:rsid w:val="00C43BCC"/>
    <w:rsid w:val="00C43CC2"/>
    <w:rsid w:val="00C43CCC"/>
    <w:rsid w:val="00C43E76"/>
    <w:rsid w:val="00C43E81"/>
    <w:rsid w:val="00C43F69"/>
    <w:rsid w:val="00C43FE1"/>
    <w:rsid w:val="00C44240"/>
    <w:rsid w:val="00C442AC"/>
    <w:rsid w:val="00C442E4"/>
    <w:rsid w:val="00C443EA"/>
    <w:rsid w:val="00C44423"/>
    <w:rsid w:val="00C444BA"/>
    <w:rsid w:val="00C4452F"/>
    <w:rsid w:val="00C44559"/>
    <w:rsid w:val="00C445B9"/>
    <w:rsid w:val="00C449C5"/>
    <w:rsid w:val="00C449D4"/>
    <w:rsid w:val="00C44AE2"/>
    <w:rsid w:val="00C44B16"/>
    <w:rsid w:val="00C44C1B"/>
    <w:rsid w:val="00C44C43"/>
    <w:rsid w:val="00C44EC2"/>
    <w:rsid w:val="00C44F7A"/>
    <w:rsid w:val="00C4505B"/>
    <w:rsid w:val="00C450DF"/>
    <w:rsid w:val="00C450F7"/>
    <w:rsid w:val="00C451A4"/>
    <w:rsid w:val="00C452A4"/>
    <w:rsid w:val="00C4552B"/>
    <w:rsid w:val="00C455CC"/>
    <w:rsid w:val="00C455DE"/>
    <w:rsid w:val="00C45622"/>
    <w:rsid w:val="00C456D6"/>
    <w:rsid w:val="00C4571A"/>
    <w:rsid w:val="00C4575F"/>
    <w:rsid w:val="00C4590D"/>
    <w:rsid w:val="00C45998"/>
    <w:rsid w:val="00C459DD"/>
    <w:rsid w:val="00C45A7F"/>
    <w:rsid w:val="00C45E3F"/>
    <w:rsid w:val="00C46017"/>
    <w:rsid w:val="00C462A5"/>
    <w:rsid w:val="00C46398"/>
    <w:rsid w:val="00C4655A"/>
    <w:rsid w:val="00C46578"/>
    <w:rsid w:val="00C46775"/>
    <w:rsid w:val="00C4677F"/>
    <w:rsid w:val="00C4681F"/>
    <w:rsid w:val="00C46888"/>
    <w:rsid w:val="00C4695B"/>
    <w:rsid w:val="00C469B8"/>
    <w:rsid w:val="00C46A3C"/>
    <w:rsid w:val="00C46BB8"/>
    <w:rsid w:val="00C46BCB"/>
    <w:rsid w:val="00C46C53"/>
    <w:rsid w:val="00C46C67"/>
    <w:rsid w:val="00C46D38"/>
    <w:rsid w:val="00C46F0B"/>
    <w:rsid w:val="00C47016"/>
    <w:rsid w:val="00C470C3"/>
    <w:rsid w:val="00C471D9"/>
    <w:rsid w:val="00C472B1"/>
    <w:rsid w:val="00C472DA"/>
    <w:rsid w:val="00C4734E"/>
    <w:rsid w:val="00C474F8"/>
    <w:rsid w:val="00C475A6"/>
    <w:rsid w:val="00C4763A"/>
    <w:rsid w:val="00C47759"/>
    <w:rsid w:val="00C47841"/>
    <w:rsid w:val="00C478F1"/>
    <w:rsid w:val="00C47B38"/>
    <w:rsid w:val="00C47B7E"/>
    <w:rsid w:val="00C47C33"/>
    <w:rsid w:val="00C47C6E"/>
    <w:rsid w:val="00C47D92"/>
    <w:rsid w:val="00C47D93"/>
    <w:rsid w:val="00C47E32"/>
    <w:rsid w:val="00C47F0E"/>
    <w:rsid w:val="00C47F2F"/>
    <w:rsid w:val="00C47FD1"/>
    <w:rsid w:val="00C500D8"/>
    <w:rsid w:val="00C5042C"/>
    <w:rsid w:val="00C50486"/>
    <w:rsid w:val="00C50585"/>
    <w:rsid w:val="00C505C0"/>
    <w:rsid w:val="00C50704"/>
    <w:rsid w:val="00C5085E"/>
    <w:rsid w:val="00C50882"/>
    <w:rsid w:val="00C5096D"/>
    <w:rsid w:val="00C50A9D"/>
    <w:rsid w:val="00C50AC1"/>
    <w:rsid w:val="00C50B35"/>
    <w:rsid w:val="00C50D00"/>
    <w:rsid w:val="00C50DF6"/>
    <w:rsid w:val="00C50E13"/>
    <w:rsid w:val="00C50F8B"/>
    <w:rsid w:val="00C50FD0"/>
    <w:rsid w:val="00C51006"/>
    <w:rsid w:val="00C5119E"/>
    <w:rsid w:val="00C51296"/>
    <w:rsid w:val="00C51313"/>
    <w:rsid w:val="00C5155C"/>
    <w:rsid w:val="00C515D5"/>
    <w:rsid w:val="00C5160D"/>
    <w:rsid w:val="00C516BF"/>
    <w:rsid w:val="00C5172D"/>
    <w:rsid w:val="00C51764"/>
    <w:rsid w:val="00C5183C"/>
    <w:rsid w:val="00C518F8"/>
    <w:rsid w:val="00C5191F"/>
    <w:rsid w:val="00C51937"/>
    <w:rsid w:val="00C519CE"/>
    <w:rsid w:val="00C51AFD"/>
    <w:rsid w:val="00C51C28"/>
    <w:rsid w:val="00C51CCD"/>
    <w:rsid w:val="00C51D83"/>
    <w:rsid w:val="00C51E09"/>
    <w:rsid w:val="00C520C3"/>
    <w:rsid w:val="00C52140"/>
    <w:rsid w:val="00C52179"/>
    <w:rsid w:val="00C52222"/>
    <w:rsid w:val="00C5222B"/>
    <w:rsid w:val="00C52478"/>
    <w:rsid w:val="00C52534"/>
    <w:rsid w:val="00C5279F"/>
    <w:rsid w:val="00C5281A"/>
    <w:rsid w:val="00C5281D"/>
    <w:rsid w:val="00C52BAD"/>
    <w:rsid w:val="00C52C02"/>
    <w:rsid w:val="00C52CAE"/>
    <w:rsid w:val="00C52E07"/>
    <w:rsid w:val="00C52F6B"/>
    <w:rsid w:val="00C52F75"/>
    <w:rsid w:val="00C5302B"/>
    <w:rsid w:val="00C5305D"/>
    <w:rsid w:val="00C530A1"/>
    <w:rsid w:val="00C530E8"/>
    <w:rsid w:val="00C531D5"/>
    <w:rsid w:val="00C531DD"/>
    <w:rsid w:val="00C5344D"/>
    <w:rsid w:val="00C534E4"/>
    <w:rsid w:val="00C535E0"/>
    <w:rsid w:val="00C53614"/>
    <w:rsid w:val="00C53675"/>
    <w:rsid w:val="00C537CE"/>
    <w:rsid w:val="00C5382A"/>
    <w:rsid w:val="00C538F0"/>
    <w:rsid w:val="00C53935"/>
    <w:rsid w:val="00C53958"/>
    <w:rsid w:val="00C539B0"/>
    <w:rsid w:val="00C539EE"/>
    <w:rsid w:val="00C53A2F"/>
    <w:rsid w:val="00C53C0F"/>
    <w:rsid w:val="00C53D7B"/>
    <w:rsid w:val="00C53F6C"/>
    <w:rsid w:val="00C53FCE"/>
    <w:rsid w:val="00C540DA"/>
    <w:rsid w:val="00C540E0"/>
    <w:rsid w:val="00C542EA"/>
    <w:rsid w:val="00C54372"/>
    <w:rsid w:val="00C54380"/>
    <w:rsid w:val="00C5454A"/>
    <w:rsid w:val="00C545C2"/>
    <w:rsid w:val="00C546BB"/>
    <w:rsid w:val="00C54868"/>
    <w:rsid w:val="00C548B8"/>
    <w:rsid w:val="00C548EE"/>
    <w:rsid w:val="00C54974"/>
    <w:rsid w:val="00C54999"/>
    <w:rsid w:val="00C54BF5"/>
    <w:rsid w:val="00C54C3C"/>
    <w:rsid w:val="00C54C55"/>
    <w:rsid w:val="00C54DF5"/>
    <w:rsid w:val="00C54E73"/>
    <w:rsid w:val="00C54F16"/>
    <w:rsid w:val="00C54FA4"/>
    <w:rsid w:val="00C550EF"/>
    <w:rsid w:val="00C55114"/>
    <w:rsid w:val="00C55139"/>
    <w:rsid w:val="00C5513B"/>
    <w:rsid w:val="00C55172"/>
    <w:rsid w:val="00C551C7"/>
    <w:rsid w:val="00C5525A"/>
    <w:rsid w:val="00C55368"/>
    <w:rsid w:val="00C553B9"/>
    <w:rsid w:val="00C5540C"/>
    <w:rsid w:val="00C5542F"/>
    <w:rsid w:val="00C55533"/>
    <w:rsid w:val="00C55566"/>
    <w:rsid w:val="00C555D3"/>
    <w:rsid w:val="00C55635"/>
    <w:rsid w:val="00C556D6"/>
    <w:rsid w:val="00C558AD"/>
    <w:rsid w:val="00C55ADB"/>
    <w:rsid w:val="00C55C4E"/>
    <w:rsid w:val="00C55CDF"/>
    <w:rsid w:val="00C55DBF"/>
    <w:rsid w:val="00C55DE0"/>
    <w:rsid w:val="00C55F10"/>
    <w:rsid w:val="00C56016"/>
    <w:rsid w:val="00C560ED"/>
    <w:rsid w:val="00C561A0"/>
    <w:rsid w:val="00C5624F"/>
    <w:rsid w:val="00C562E8"/>
    <w:rsid w:val="00C563C7"/>
    <w:rsid w:val="00C563CA"/>
    <w:rsid w:val="00C563CF"/>
    <w:rsid w:val="00C563ED"/>
    <w:rsid w:val="00C56446"/>
    <w:rsid w:val="00C5660A"/>
    <w:rsid w:val="00C56621"/>
    <w:rsid w:val="00C56861"/>
    <w:rsid w:val="00C568E6"/>
    <w:rsid w:val="00C56913"/>
    <w:rsid w:val="00C56999"/>
    <w:rsid w:val="00C56AA7"/>
    <w:rsid w:val="00C56B30"/>
    <w:rsid w:val="00C56BDD"/>
    <w:rsid w:val="00C56DE0"/>
    <w:rsid w:val="00C56E4C"/>
    <w:rsid w:val="00C56E84"/>
    <w:rsid w:val="00C56FF1"/>
    <w:rsid w:val="00C5702E"/>
    <w:rsid w:val="00C5729E"/>
    <w:rsid w:val="00C572C4"/>
    <w:rsid w:val="00C5730D"/>
    <w:rsid w:val="00C57332"/>
    <w:rsid w:val="00C5739C"/>
    <w:rsid w:val="00C574EF"/>
    <w:rsid w:val="00C5750A"/>
    <w:rsid w:val="00C57660"/>
    <w:rsid w:val="00C576DB"/>
    <w:rsid w:val="00C5783D"/>
    <w:rsid w:val="00C5787D"/>
    <w:rsid w:val="00C5792F"/>
    <w:rsid w:val="00C57937"/>
    <w:rsid w:val="00C57969"/>
    <w:rsid w:val="00C57A15"/>
    <w:rsid w:val="00C57C29"/>
    <w:rsid w:val="00C57C4E"/>
    <w:rsid w:val="00C57DAB"/>
    <w:rsid w:val="00C57EA8"/>
    <w:rsid w:val="00C57EF6"/>
    <w:rsid w:val="00C57EFF"/>
    <w:rsid w:val="00C57F3A"/>
    <w:rsid w:val="00C600F6"/>
    <w:rsid w:val="00C60159"/>
    <w:rsid w:val="00C603D4"/>
    <w:rsid w:val="00C603F8"/>
    <w:rsid w:val="00C6041D"/>
    <w:rsid w:val="00C60563"/>
    <w:rsid w:val="00C60699"/>
    <w:rsid w:val="00C60837"/>
    <w:rsid w:val="00C60883"/>
    <w:rsid w:val="00C60A14"/>
    <w:rsid w:val="00C60B16"/>
    <w:rsid w:val="00C60B33"/>
    <w:rsid w:val="00C60CFF"/>
    <w:rsid w:val="00C60DA0"/>
    <w:rsid w:val="00C60DF6"/>
    <w:rsid w:val="00C60DFF"/>
    <w:rsid w:val="00C60E73"/>
    <w:rsid w:val="00C60F27"/>
    <w:rsid w:val="00C60FD4"/>
    <w:rsid w:val="00C61076"/>
    <w:rsid w:val="00C611CC"/>
    <w:rsid w:val="00C61307"/>
    <w:rsid w:val="00C61326"/>
    <w:rsid w:val="00C6138F"/>
    <w:rsid w:val="00C613BD"/>
    <w:rsid w:val="00C6140C"/>
    <w:rsid w:val="00C614CC"/>
    <w:rsid w:val="00C614EC"/>
    <w:rsid w:val="00C6151D"/>
    <w:rsid w:val="00C615C4"/>
    <w:rsid w:val="00C616F0"/>
    <w:rsid w:val="00C61845"/>
    <w:rsid w:val="00C6188E"/>
    <w:rsid w:val="00C61905"/>
    <w:rsid w:val="00C61995"/>
    <w:rsid w:val="00C61AAC"/>
    <w:rsid w:val="00C61B25"/>
    <w:rsid w:val="00C61B5E"/>
    <w:rsid w:val="00C61B72"/>
    <w:rsid w:val="00C61BC4"/>
    <w:rsid w:val="00C61C41"/>
    <w:rsid w:val="00C61E52"/>
    <w:rsid w:val="00C61E69"/>
    <w:rsid w:val="00C61EF6"/>
    <w:rsid w:val="00C61F01"/>
    <w:rsid w:val="00C61FB4"/>
    <w:rsid w:val="00C62067"/>
    <w:rsid w:val="00C62339"/>
    <w:rsid w:val="00C623D1"/>
    <w:rsid w:val="00C624E4"/>
    <w:rsid w:val="00C6257A"/>
    <w:rsid w:val="00C62668"/>
    <w:rsid w:val="00C627C3"/>
    <w:rsid w:val="00C629D2"/>
    <w:rsid w:val="00C629FC"/>
    <w:rsid w:val="00C62A3E"/>
    <w:rsid w:val="00C62A41"/>
    <w:rsid w:val="00C62B69"/>
    <w:rsid w:val="00C62C0B"/>
    <w:rsid w:val="00C62C84"/>
    <w:rsid w:val="00C62CAE"/>
    <w:rsid w:val="00C62D9C"/>
    <w:rsid w:val="00C62E2F"/>
    <w:rsid w:val="00C62E74"/>
    <w:rsid w:val="00C630C8"/>
    <w:rsid w:val="00C631AE"/>
    <w:rsid w:val="00C63366"/>
    <w:rsid w:val="00C63433"/>
    <w:rsid w:val="00C6345A"/>
    <w:rsid w:val="00C6348A"/>
    <w:rsid w:val="00C634B4"/>
    <w:rsid w:val="00C6354B"/>
    <w:rsid w:val="00C63570"/>
    <w:rsid w:val="00C635AC"/>
    <w:rsid w:val="00C636B1"/>
    <w:rsid w:val="00C637AA"/>
    <w:rsid w:val="00C6381C"/>
    <w:rsid w:val="00C63829"/>
    <w:rsid w:val="00C63902"/>
    <w:rsid w:val="00C63AD0"/>
    <w:rsid w:val="00C63C43"/>
    <w:rsid w:val="00C63CBA"/>
    <w:rsid w:val="00C63CCB"/>
    <w:rsid w:val="00C63CD4"/>
    <w:rsid w:val="00C6406C"/>
    <w:rsid w:val="00C64309"/>
    <w:rsid w:val="00C6434D"/>
    <w:rsid w:val="00C643D3"/>
    <w:rsid w:val="00C643EA"/>
    <w:rsid w:val="00C64402"/>
    <w:rsid w:val="00C64574"/>
    <w:rsid w:val="00C645CD"/>
    <w:rsid w:val="00C64608"/>
    <w:rsid w:val="00C64673"/>
    <w:rsid w:val="00C64892"/>
    <w:rsid w:val="00C648F4"/>
    <w:rsid w:val="00C64921"/>
    <w:rsid w:val="00C64ACC"/>
    <w:rsid w:val="00C64BFE"/>
    <w:rsid w:val="00C64C19"/>
    <w:rsid w:val="00C64CD6"/>
    <w:rsid w:val="00C64D00"/>
    <w:rsid w:val="00C64D8C"/>
    <w:rsid w:val="00C64E12"/>
    <w:rsid w:val="00C64F2E"/>
    <w:rsid w:val="00C6503A"/>
    <w:rsid w:val="00C650B4"/>
    <w:rsid w:val="00C65233"/>
    <w:rsid w:val="00C65241"/>
    <w:rsid w:val="00C65264"/>
    <w:rsid w:val="00C653C9"/>
    <w:rsid w:val="00C656A9"/>
    <w:rsid w:val="00C65755"/>
    <w:rsid w:val="00C65771"/>
    <w:rsid w:val="00C657A4"/>
    <w:rsid w:val="00C657EB"/>
    <w:rsid w:val="00C65A48"/>
    <w:rsid w:val="00C65C05"/>
    <w:rsid w:val="00C65D46"/>
    <w:rsid w:val="00C65DED"/>
    <w:rsid w:val="00C65E44"/>
    <w:rsid w:val="00C65E46"/>
    <w:rsid w:val="00C65ED3"/>
    <w:rsid w:val="00C65F37"/>
    <w:rsid w:val="00C65F4F"/>
    <w:rsid w:val="00C65F8F"/>
    <w:rsid w:val="00C66001"/>
    <w:rsid w:val="00C66097"/>
    <w:rsid w:val="00C660CD"/>
    <w:rsid w:val="00C66193"/>
    <w:rsid w:val="00C662B6"/>
    <w:rsid w:val="00C6638E"/>
    <w:rsid w:val="00C663C0"/>
    <w:rsid w:val="00C663DA"/>
    <w:rsid w:val="00C663DC"/>
    <w:rsid w:val="00C663FA"/>
    <w:rsid w:val="00C665A8"/>
    <w:rsid w:val="00C6661B"/>
    <w:rsid w:val="00C66668"/>
    <w:rsid w:val="00C6688E"/>
    <w:rsid w:val="00C66B0E"/>
    <w:rsid w:val="00C66B44"/>
    <w:rsid w:val="00C66CB6"/>
    <w:rsid w:val="00C66CE9"/>
    <w:rsid w:val="00C66D4E"/>
    <w:rsid w:val="00C66E04"/>
    <w:rsid w:val="00C66F3A"/>
    <w:rsid w:val="00C66F74"/>
    <w:rsid w:val="00C670D6"/>
    <w:rsid w:val="00C67294"/>
    <w:rsid w:val="00C672A4"/>
    <w:rsid w:val="00C675B8"/>
    <w:rsid w:val="00C675CE"/>
    <w:rsid w:val="00C675E7"/>
    <w:rsid w:val="00C675EB"/>
    <w:rsid w:val="00C6761A"/>
    <w:rsid w:val="00C67689"/>
    <w:rsid w:val="00C676C6"/>
    <w:rsid w:val="00C67724"/>
    <w:rsid w:val="00C678C0"/>
    <w:rsid w:val="00C6790B"/>
    <w:rsid w:val="00C67A3A"/>
    <w:rsid w:val="00C67AC4"/>
    <w:rsid w:val="00C67D65"/>
    <w:rsid w:val="00C67DB3"/>
    <w:rsid w:val="00C67E93"/>
    <w:rsid w:val="00C67EA8"/>
    <w:rsid w:val="00C70042"/>
    <w:rsid w:val="00C70068"/>
    <w:rsid w:val="00C7016E"/>
    <w:rsid w:val="00C70191"/>
    <w:rsid w:val="00C702BE"/>
    <w:rsid w:val="00C703A3"/>
    <w:rsid w:val="00C7043F"/>
    <w:rsid w:val="00C70635"/>
    <w:rsid w:val="00C70698"/>
    <w:rsid w:val="00C7069C"/>
    <w:rsid w:val="00C706E4"/>
    <w:rsid w:val="00C7070D"/>
    <w:rsid w:val="00C70772"/>
    <w:rsid w:val="00C707F4"/>
    <w:rsid w:val="00C709DE"/>
    <w:rsid w:val="00C709EC"/>
    <w:rsid w:val="00C70A3A"/>
    <w:rsid w:val="00C70A68"/>
    <w:rsid w:val="00C70ABA"/>
    <w:rsid w:val="00C70AFD"/>
    <w:rsid w:val="00C70BB6"/>
    <w:rsid w:val="00C70BF9"/>
    <w:rsid w:val="00C70F61"/>
    <w:rsid w:val="00C71032"/>
    <w:rsid w:val="00C711F8"/>
    <w:rsid w:val="00C71366"/>
    <w:rsid w:val="00C713AD"/>
    <w:rsid w:val="00C71457"/>
    <w:rsid w:val="00C714C3"/>
    <w:rsid w:val="00C7156F"/>
    <w:rsid w:val="00C71685"/>
    <w:rsid w:val="00C716B4"/>
    <w:rsid w:val="00C716D4"/>
    <w:rsid w:val="00C71714"/>
    <w:rsid w:val="00C71795"/>
    <w:rsid w:val="00C718C4"/>
    <w:rsid w:val="00C71B33"/>
    <w:rsid w:val="00C71DE8"/>
    <w:rsid w:val="00C71E03"/>
    <w:rsid w:val="00C71E20"/>
    <w:rsid w:val="00C72011"/>
    <w:rsid w:val="00C7208D"/>
    <w:rsid w:val="00C720E6"/>
    <w:rsid w:val="00C720EC"/>
    <w:rsid w:val="00C72110"/>
    <w:rsid w:val="00C72117"/>
    <w:rsid w:val="00C72130"/>
    <w:rsid w:val="00C72371"/>
    <w:rsid w:val="00C723C1"/>
    <w:rsid w:val="00C723C5"/>
    <w:rsid w:val="00C725DB"/>
    <w:rsid w:val="00C726AB"/>
    <w:rsid w:val="00C726CE"/>
    <w:rsid w:val="00C72761"/>
    <w:rsid w:val="00C727DA"/>
    <w:rsid w:val="00C729A3"/>
    <w:rsid w:val="00C72A8B"/>
    <w:rsid w:val="00C72B6F"/>
    <w:rsid w:val="00C72B83"/>
    <w:rsid w:val="00C72BBD"/>
    <w:rsid w:val="00C72C63"/>
    <w:rsid w:val="00C72C84"/>
    <w:rsid w:val="00C72E1C"/>
    <w:rsid w:val="00C72F02"/>
    <w:rsid w:val="00C72F28"/>
    <w:rsid w:val="00C73069"/>
    <w:rsid w:val="00C73075"/>
    <w:rsid w:val="00C730B2"/>
    <w:rsid w:val="00C730C5"/>
    <w:rsid w:val="00C73175"/>
    <w:rsid w:val="00C733AD"/>
    <w:rsid w:val="00C735AC"/>
    <w:rsid w:val="00C735CB"/>
    <w:rsid w:val="00C73606"/>
    <w:rsid w:val="00C736EC"/>
    <w:rsid w:val="00C73751"/>
    <w:rsid w:val="00C737AA"/>
    <w:rsid w:val="00C7393E"/>
    <w:rsid w:val="00C73989"/>
    <w:rsid w:val="00C739CD"/>
    <w:rsid w:val="00C73A79"/>
    <w:rsid w:val="00C73AAD"/>
    <w:rsid w:val="00C73BA5"/>
    <w:rsid w:val="00C73BD4"/>
    <w:rsid w:val="00C73D18"/>
    <w:rsid w:val="00C73DC1"/>
    <w:rsid w:val="00C74020"/>
    <w:rsid w:val="00C7415D"/>
    <w:rsid w:val="00C74170"/>
    <w:rsid w:val="00C74602"/>
    <w:rsid w:val="00C74673"/>
    <w:rsid w:val="00C7472B"/>
    <w:rsid w:val="00C74742"/>
    <w:rsid w:val="00C747B9"/>
    <w:rsid w:val="00C74846"/>
    <w:rsid w:val="00C748F4"/>
    <w:rsid w:val="00C74923"/>
    <w:rsid w:val="00C74997"/>
    <w:rsid w:val="00C74A3B"/>
    <w:rsid w:val="00C74A5A"/>
    <w:rsid w:val="00C74C2B"/>
    <w:rsid w:val="00C74F30"/>
    <w:rsid w:val="00C74F52"/>
    <w:rsid w:val="00C74F98"/>
    <w:rsid w:val="00C74FE3"/>
    <w:rsid w:val="00C75022"/>
    <w:rsid w:val="00C75103"/>
    <w:rsid w:val="00C751E9"/>
    <w:rsid w:val="00C75266"/>
    <w:rsid w:val="00C75296"/>
    <w:rsid w:val="00C752E9"/>
    <w:rsid w:val="00C752FD"/>
    <w:rsid w:val="00C7533A"/>
    <w:rsid w:val="00C75423"/>
    <w:rsid w:val="00C75484"/>
    <w:rsid w:val="00C754F9"/>
    <w:rsid w:val="00C75668"/>
    <w:rsid w:val="00C756C7"/>
    <w:rsid w:val="00C757D5"/>
    <w:rsid w:val="00C75989"/>
    <w:rsid w:val="00C75AA9"/>
    <w:rsid w:val="00C75B75"/>
    <w:rsid w:val="00C75BB9"/>
    <w:rsid w:val="00C75C62"/>
    <w:rsid w:val="00C75C9A"/>
    <w:rsid w:val="00C75CFA"/>
    <w:rsid w:val="00C75D12"/>
    <w:rsid w:val="00C75D57"/>
    <w:rsid w:val="00C75DF4"/>
    <w:rsid w:val="00C75EDB"/>
    <w:rsid w:val="00C75F1F"/>
    <w:rsid w:val="00C761B6"/>
    <w:rsid w:val="00C7636F"/>
    <w:rsid w:val="00C76400"/>
    <w:rsid w:val="00C7643F"/>
    <w:rsid w:val="00C76523"/>
    <w:rsid w:val="00C76917"/>
    <w:rsid w:val="00C769E2"/>
    <w:rsid w:val="00C76AA2"/>
    <w:rsid w:val="00C76B59"/>
    <w:rsid w:val="00C76E1B"/>
    <w:rsid w:val="00C76E43"/>
    <w:rsid w:val="00C76E9F"/>
    <w:rsid w:val="00C76EE0"/>
    <w:rsid w:val="00C76EFE"/>
    <w:rsid w:val="00C76F7D"/>
    <w:rsid w:val="00C77098"/>
    <w:rsid w:val="00C771A8"/>
    <w:rsid w:val="00C7730E"/>
    <w:rsid w:val="00C77319"/>
    <w:rsid w:val="00C774FA"/>
    <w:rsid w:val="00C77539"/>
    <w:rsid w:val="00C776DC"/>
    <w:rsid w:val="00C77911"/>
    <w:rsid w:val="00C7797C"/>
    <w:rsid w:val="00C77B2E"/>
    <w:rsid w:val="00C77B7C"/>
    <w:rsid w:val="00C77C4D"/>
    <w:rsid w:val="00C77C76"/>
    <w:rsid w:val="00C77CF8"/>
    <w:rsid w:val="00C77DB3"/>
    <w:rsid w:val="00C8001F"/>
    <w:rsid w:val="00C801AB"/>
    <w:rsid w:val="00C8036A"/>
    <w:rsid w:val="00C803FA"/>
    <w:rsid w:val="00C80477"/>
    <w:rsid w:val="00C80689"/>
    <w:rsid w:val="00C80772"/>
    <w:rsid w:val="00C807A8"/>
    <w:rsid w:val="00C80946"/>
    <w:rsid w:val="00C8097D"/>
    <w:rsid w:val="00C80B1C"/>
    <w:rsid w:val="00C80C87"/>
    <w:rsid w:val="00C80D1C"/>
    <w:rsid w:val="00C80D4B"/>
    <w:rsid w:val="00C80D80"/>
    <w:rsid w:val="00C80EE4"/>
    <w:rsid w:val="00C80F0D"/>
    <w:rsid w:val="00C80F97"/>
    <w:rsid w:val="00C81065"/>
    <w:rsid w:val="00C810E7"/>
    <w:rsid w:val="00C81259"/>
    <w:rsid w:val="00C81285"/>
    <w:rsid w:val="00C812FA"/>
    <w:rsid w:val="00C813E0"/>
    <w:rsid w:val="00C81471"/>
    <w:rsid w:val="00C81500"/>
    <w:rsid w:val="00C815F3"/>
    <w:rsid w:val="00C8164A"/>
    <w:rsid w:val="00C816BC"/>
    <w:rsid w:val="00C81759"/>
    <w:rsid w:val="00C81832"/>
    <w:rsid w:val="00C8187E"/>
    <w:rsid w:val="00C81A1E"/>
    <w:rsid w:val="00C81AD7"/>
    <w:rsid w:val="00C81AED"/>
    <w:rsid w:val="00C81BD5"/>
    <w:rsid w:val="00C81CCA"/>
    <w:rsid w:val="00C81D45"/>
    <w:rsid w:val="00C81DA3"/>
    <w:rsid w:val="00C81E67"/>
    <w:rsid w:val="00C82033"/>
    <w:rsid w:val="00C82124"/>
    <w:rsid w:val="00C82158"/>
    <w:rsid w:val="00C82187"/>
    <w:rsid w:val="00C82266"/>
    <w:rsid w:val="00C8252E"/>
    <w:rsid w:val="00C8256A"/>
    <w:rsid w:val="00C8266F"/>
    <w:rsid w:val="00C826C1"/>
    <w:rsid w:val="00C8272C"/>
    <w:rsid w:val="00C8291B"/>
    <w:rsid w:val="00C829B4"/>
    <w:rsid w:val="00C82A4F"/>
    <w:rsid w:val="00C82BDD"/>
    <w:rsid w:val="00C82CE2"/>
    <w:rsid w:val="00C82EFB"/>
    <w:rsid w:val="00C82F59"/>
    <w:rsid w:val="00C82FDD"/>
    <w:rsid w:val="00C82FF6"/>
    <w:rsid w:val="00C83068"/>
    <w:rsid w:val="00C830AB"/>
    <w:rsid w:val="00C830B6"/>
    <w:rsid w:val="00C831B1"/>
    <w:rsid w:val="00C831CB"/>
    <w:rsid w:val="00C833A5"/>
    <w:rsid w:val="00C83510"/>
    <w:rsid w:val="00C8356E"/>
    <w:rsid w:val="00C8371C"/>
    <w:rsid w:val="00C83734"/>
    <w:rsid w:val="00C83BD2"/>
    <w:rsid w:val="00C83C7E"/>
    <w:rsid w:val="00C83CF1"/>
    <w:rsid w:val="00C83DCE"/>
    <w:rsid w:val="00C83E33"/>
    <w:rsid w:val="00C83EEF"/>
    <w:rsid w:val="00C83FF6"/>
    <w:rsid w:val="00C840F0"/>
    <w:rsid w:val="00C8417A"/>
    <w:rsid w:val="00C8428B"/>
    <w:rsid w:val="00C842BA"/>
    <w:rsid w:val="00C842E0"/>
    <w:rsid w:val="00C8431E"/>
    <w:rsid w:val="00C8447E"/>
    <w:rsid w:val="00C8448A"/>
    <w:rsid w:val="00C84512"/>
    <w:rsid w:val="00C846AD"/>
    <w:rsid w:val="00C8470C"/>
    <w:rsid w:val="00C848BE"/>
    <w:rsid w:val="00C848C9"/>
    <w:rsid w:val="00C848DE"/>
    <w:rsid w:val="00C8493D"/>
    <w:rsid w:val="00C84948"/>
    <w:rsid w:val="00C8499E"/>
    <w:rsid w:val="00C849EB"/>
    <w:rsid w:val="00C84B56"/>
    <w:rsid w:val="00C84B77"/>
    <w:rsid w:val="00C84BED"/>
    <w:rsid w:val="00C84C0A"/>
    <w:rsid w:val="00C84DD8"/>
    <w:rsid w:val="00C84F6F"/>
    <w:rsid w:val="00C84FC9"/>
    <w:rsid w:val="00C8506F"/>
    <w:rsid w:val="00C852FD"/>
    <w:rsid w:val="00C853A6"/>
    <w:rsid w:val="00C85401"/>
    <w:rsid w:val="00C8559D"/>
    <w:rsid w:val="00C85706"/>
    <w:rsid w:val="00C85711"/>
    <w:rsid w:val="00C8598D"/>
    <w:rsid w:val="00C859F7"/>
    <w:rsid w:val="00C85AD8"/>
    <w:rsid w:val="00C85C1E"/>
    <w:rsid w:val="00C85C31"/>
    <w:rsid w:val="00C85C9E"/>
    <w:rsid w:val="00C85CC9"/>
    <w:rsid w:val="00C85D3B"/>
    <w:rsid w:val="00C85D97"/>
    <w:rsid w:val="00C85E63"/>
    <w:rsid w:val="00C8603F"/>
    <w:rsid w:val="00C861B3"/>
    <w:rsid w:val="00C861F2"/>
    <w:rsid w:val="00C862C2"/>
    <w:rsid w:val="00C863FB"/>
    <w:rsid w:val="00C864D4"/>
    <w:rsid w:val="00C86556"/>
    <w:rsid w:val="00C865D2"/>
    <w:rsid w:val="00C8663A"/>
    <w:rsid w:val="00C86663"/>
    <w:rsid w:val="00C8677B"/>
    <w:rsid w:val="00C86989"/>
    <w:rsid w:val="00C86AA2"/>
    <w:rsid w:val="00C86C2A"/>
    <w:rsid w:val="00C86C94"/>
    <w:rsid w:val="00C86D56"/>
    <w:rsid w:val="00C86D5A"/>
    <w:rsid w:val="00C86F18"/>
    <w:rsid w:val="00C87180"/>
    <w:rsid w:val="00C87190"/>
    <w:rsid w:val="00C871C5"/>
    <w:rsid w:val="00C8725D"/>
    <w:rsid w:val="00C87403"/>
    <w:rsid w:val="00C874C1"/>
    <w:rsid w:val="00C874E6"/>
    <w:rsid w:val="00C87528"/>
    <w:rsid w:val="00C8756C"/>
    <w:rsid w:val="00C87680"/>
    <w:rsid w:val="00C878AF"/>
    <w:rsid w:val="00C87909"/>
    <w:rsid w:val="00C8798C"/>
    <w:rsid w:val="00C87A04"/>
    <w:rsid w:val="00C87A92"/>
    <w:rsid w:val="00C87BBE"/>
    <w:rsid w:val="00C87C1C"/>
    <w:rsid w:val="00C87C71"/>
    <w:rsid w:val="00C87C9A"/>
    <w:rsid w:val="00C87C9C"/>
    <w:rsid w:val="00C87CF4"/>
    <w:rsid w:val="00C87D34"/>
    <w:rsid w:val="00C87D77"/>
    <w:rsid w:val="00C87DBA"/>
    <w:rsid w:val="00C87EFE"/>
    <w:rsid w:val="00C87F6C"/>
    <w:rsid w:val="00C87FA9"/>
    <w:rsid w:val="00C87FBE"/>
    <w:rsid w:val="00C87FCA"/>
    <w:rsid w:val="00C9007F"/>
    <w:rsid w:val="00C90103"/>
    <w:rsid w:val="00C90166"/>
    <w:rsid w:val="00C901EC"/>
    <w:rsid w:val="00C902EA"/>
    <w:rsid w:val="00C90317"/>
    <w:rsid w:val="00C90463"/>
    <w:rsid w:val="00C90732"/>
    <w:rsid w:val="00C909AA"/>
    <w:rsid w:val="00C909D8"/>
    <w:rsid w:val="00C90A7D"/>
    <w:rsid w:val="00C90B2F"/>
    <w:rsid w:val="00C90B6E"/>
    <w:rsid w:val="00C90B82"/>
    <w:rsid w:val="00C90DCE"/>
    <w:rsid w:val="00C90E36"/>
    <w:rsid w:val="00C90EFA"/>
    <w:rsid w:val="00C90F13"/>
    <w:rsid w:val="00C90F4B"/>
    <w:rsid w:val="00C9106E"/>
    <w:rsid w:val="00C912E1"/>
    <w:rsid w:val="00C91319"/>
    <w:rsid w:val="00C9152B"/>
    <w:rsid w:val="00C915D8"/>
    <w:rsid w:val="00C917C0"/>
    <w:rsid w:val="00C917CA"/>
    <w:rsid w:val="00C91908"/>
    <w:rsid w:val="00C9194E"/>
    <w:rsid w:val="00C919B7"/>
    <w:rsid w:val="00C919E3"/>
    <w:rsid w:val="00C91B06"/>
    <w:rsid w:val="00C91B3A"/>
    <w:rsid w:val="00C91C96"/>
    <w:rsid w:val="00C91D86"/>
    <w:rsid w:val="00C91E8F"/>
    <w:rsid w:val="00C91F08"/>
    <w:rsid w:val="00C91F79"/>
    <w:rsid w:val="00C92016"/>
    <w:rsid w:val="00C92049"/>
    <w:rsid w:val="00C9210A"/>
    <w:rsid w:val="00C9226D"/>
    <w:rsid w:val="00C92307"/>
    <w:rsid w:val="00C9238C"/>
    <w:rsid w:val="00C923D7"/>
    <w:rsid w:val="00C92488"/>
    <w:rsid w:val="00C925A0"/>
    <w:rsid w:val="00C92636"/>
    <w:rsid w:val="00C92A10"/>
    <w:rsid w:val="00C92A7A"/>
    <w:rsid w:val="00C92A9F"/>
    <w:rsid w:val="00C92AC2"/>
    <w:rsid w:val="00C92AE6"/>
    <w:rsid w:val="00C92E11"/>
    <w:rsid w:val="00C92E18"/>
    <w:rsid w:val="00C92E6A"/>
    <w:rsid w:val="00C92FD7"/>
    <w:rsid w:val="00C92FDF"/>
    <w:rsid w:val="00C93022"/>
    <w:rsid w:val="00C93306"/>
    <w:rsid w:val="00C93317"/>
    <w:rsid w:val="00C93448"/>
    <w:rsid w:val="00C9346B"/>
    <w:rsid w:val="00C93471"/>
    <w:rsid w:val="00C9349D"/>
    <w:rsid w:val="00C934D7"/>
    <w:rsid w:val="00C93519"/>
    <w:rsid w:val="00C93604"/>
    <w:rsid w:val="00C936DB"/>
    <w:rsid w:val="00C93900"/>
    <w:rsid w:val="00C93A64"/>
    <w:rsid w:val="00C93C71"/>
    <w:rsid w:val="00C93CAF"/>
    <w:rsid w:val="00C93CB8"/>
    <w:rsid w:val="00C93D11"/>
    <w:rsid w:val="00C93DFE"/>
    <w:rsid w:val="00C93EB6"/>
    <w:rsid w:val="00C93ED2"/>
    <w:rsid w:val="00C93F3F"/>
    <w:rsid w:val="00C93F77"/>
    <w:rsid w:val="00C941E6"/>
    <w:rsid w:val="00C94432"/>
    <w:rsid w:val="00C94462"/>
    <w:rsid w:val="00C945B5"/>
    <w:rsid w:val="00C947D6"/>
    <w:rsid w:val="00C948A8"/>
    <w:rsid w:val="00C949E9"/>
    <w:rsid w:val="00C94E5A"/>
    <w:rsid w:val="00C94EA3"/>
    <w:rsid w:val="00C950FF"/>
    <w:rsid w:val="00C953B1"/>
    <w:rsid w:val="00C954BC"/>
    <w:rsid w:val="00C954C3"/>
    <w:rsid w:val="00C95508"/>
    <w:rsid w:val="00C955FA"/>
    <w:rsid w:val="00C958E1"/>
    <w:rsid w:val="00C95C59"/>
    <w:rsid w:val="00C95C8F"/>
    <w:rsid w:val="00C95CFD"/>
    <w:rsid w:val="00C95E95"/>
    <w:rsid w:val="00C95FD5"/>
    <w:rsid w:val="00C9602B"/>
    <w:rsid w:val="00C96184"/>
    <w:rsid w:val="00C96250"/>
    <w:rsid w:val="00C96351"/>
    <w:rsid w:val="00C9641A"/>
    <w:rsid w:val="00C964BB"/>
    <w:rsid w:val="00C96610"/>
    <w:rsid w:val="00C9666E"/>
    <w:rsid w:val="00C966D6"/>
    <w:rsid w:val="00C96783"/>
    <w:rsid w:val="00C968A3"/>
    <w:rsid w:val="00C968FA"/>
    <w:rsid w:val="00C96943"/>
    <w:rsid w:val="00C969EB"/>
    <w:rsid w:val="00C969F1"/>
    <w:rsid w:val="00C96A0A"/>
    <w:rsid w:val="00C96B08"/>
    <w:rsid w:val="00C96B59"/>
    <w:rsid w:val="00C96DD0"/>
    <w:rsid w:val="00C96F1C"/>
    <w:rsid w:val="00C96F9F"/>
    <w:rsid w:val="00C9700D"/>
    <w:rsid w:val="00C97082"/>
    <w:rsid w:val="00C9709F"/>
    <w:rsid w:val="00C970E6"/>
    <w:rsid w:val="00C97162"/>
    <w:rsid w:val="00C97352"/>
    <w:rsid w:val="00C973A2"/>
    <w:rsid w:val="00C97671"/>
    <w:rsid w:val="00C976BE"/>
    <w:rsid w:val="00C977B3"/>
    <w:rsid w:val="00C97964"/>
    <w:rsid w:val="00C97BAC"/>
    <w:rsid w:val="00C97CCA"/>
    <w:rsid w:val="00C97F19"/>
    <w:rsid w:val="00C97FFA"/>
    <w:rsid w:val="00CA0121"/>
    <w:rsid w:val="00CA013D"/>
    <w:rsid w:val="00CA016E"/>
    <w:rsid w:val="00CA021B"/>
    <w:rsid w:val="00CA036F"/>
    <w:rsid w:val="00CA039E"/>
    <w:rsid w:val="00CA03B8"/>
    <w:rsid w:val="00CA067C"/>
    <w:rsid w:val="00CA0725"/>
    <w:rsid w:val="00CA07C1"/>
    <w:rsid w:val="00CA07FF"/>
    <w:rsid w:val="00CA0A26"/>
    <w:rsid w:val="00CA0A7D"/>
    <w:rsid w:val="00CA0B4E"/>
    <w:rsid w:val="00CA0C10"/>
    <w:rsid w:val="00CA0C34"/>
    <w:rsid w:val="00CA0C96"/>
    <w:rsid w:val="00CA0D51"/>
    <w:rsid w:val="00CA0DD7"/>
    <w:rsid w:val="00CA0E82"/>
    <w:rsid w:val="00CA0EC2"/>
    <w:rsid w:val="00CA0ED5"/>
    <w:rsid w:val="00CA0F75"/>
    <w:rsid w:val="00CA104F"/>
    <w:rsid w:val="00CA1057"/>
    <w:rsid w:val="00CA1161"/>
    <w:rsid w:val="00CA1522"/>
    <w:rsid w:val="00CA1556"/>
    <w:rsid w:val="00CA162F"/>
    <w:rsid w:val="00CA16C8"/>
    <w:rsid w:val="00CA180C"/>
    <w:rsid w:val="00CA1A86"/>
    <w:rsid w:val="00CA1AB2"/>
    <w:rsid w:val="00CA1B59"/>
    <w:rsid w:val="00CA1D55"/>
    <w:rsid w:val="00CA1E05"/>
    <w:rsid w:val="00CA1E6F"/>
    <w:rsid w:val="00CA1E8D"/>
    <w:rsid w:val="00CA2075"/>
    <w:rsid w:val="00CA2095"/>
    <w:rsid w:val="00CA20D2"/>
    <w:rsid w:val="00CA219A"/>
    <w:rsid w:val="00CA235B"/>
    <w:rsid w:val="00CA24F8"/>
    <w:rsid w:val="00CA257F"/>
    <w:rsid w:val="00CA29A6"/>
    <w:rsid w:val="00CA2A2A"/>
    <w:rsid w:val="00CA2A3F"/>
    <w:rsid w:val="00CA2A6C"/>
    <w:rsid w:val="00CA2ACE"/>
    <w:rsid w:val="00CA2CAF"/>
    <w:rsid w:val="00CA2D86"/>
    <w:rsid w:val="00CA2E00"/>
    <w:rsid w:val="00CA2E89"/>
    <w:rsid w:val="00CA2E8A"/>
    <w:rsid w:val="00CA2EB1"/>
    <w:rsid w:val="00CA2F32"/>
    <w:rsid w:val="00CA2F8A"/>
    <w:rsid w:val="00CA3045"/>
    <w:rsid w:val="00CA32A4"/>
    <w:rsid w:val="00CA32D5"/>
    <w:rsid w:val="00CA3458"/>
    <w:rsid w:val="00CA3461"/>
    <w:rsid w:val="00CA34ED"/>
    <w:rsid w:val="00CA3580"/>
    <w:rsid w:val="00CA384A"/>
    <w:rsid w:val="00CA38BA"/>
    <w:rsid w:val="00CA39AF"/>
    <w:rsid w:val="00CA3A24"/>
    <w:rsid w:val="00CA3A4A"/>
    <w:rsid w:val="00CA3A95"/>
    <w:rsid w:val="00CA3B62"/>
    <w:rsid w:val="00CA3B63"/>
    <w:rsid w:val="00CA3C2B"/>
    <w:rsid w:val="00CA3C4C"/>
    <w:rsid w:val="00CA3CCA"/>
    <w:rsid w:val="00CA3CE9"/>
    <w:rsid w:val="00CA3D10"/>
    <w:rsid w:val="00CA3DE5"/>
    <w:rsid w:val="00CA3E35"/>
    <w:rsid w:val="00CA3FD0"/>
    <w:rsid w:val="00CA403A"/>
    <w:rsid w:val="00CA40D8"/>
    <w:rsid w:val="00CA40F5"/>
    <w:rsid w:val="00CA41E1"/>
    <w:rsid w:val="00CA426D"/>
    <w:rsid w:val="00CA42A3"/>
    <w:rsid w:val="00CA42D4"/>
    <w:rsid w:val="00CA485F"/>
    <w:rsid w:val="00CA4872"/>
    <w:rsid w:val="00CA488E"/>
    <w:rsid w:val="00CA4B36"/>
    <w:rsid w:val="00CA4B6F"/>
    <w:rsid w:val="00CA4C04"/>
    <w:rsid w:val="00CA4C27"/>
    <w:rsid w:val="00CA4C6B"/>
    <w:rsid w:val="00CA4CBC"/>
    <w:rsid w:val="00CA4CC2"/>
    <w:rsid w:val="00CA4D0F"/>
    <w:rsid w:val="00CA5209"/>
    <w:rsid w:val="00CA5234"/>
    <w:rsid w:val="00CA5254"/>
    <w:rsid w:val="00CA53B8"/>
    <w:rsid w:val="00CA5439"/>
    <w:rsid w:val="00CA55A4"/>
    <w:rsid w:val="00CA5716"/>
    <w:rsid w:val="00CA57DF"/>
    <w:rsid w:val="00CA585E"/>
    <w:rsid w:val="00CA58B8"/>
    <w:rsid w:val="00CA5947"/>
    <w:rsid w:val="00CA595D"/>
    <w:rsid w:val="00CA5A28"/>
    <w:rsid w:val="00CA5AC4"/>
    <w:rsid w:val="00CA5CFF"/>
    <w:rsid w:val="00CA5D06"/>
    <w:rsid w:val="00CA5F72"/>
    <w:rsid w:val="00CA601E"/>
    <w:rsid w:val="00CA6113"/>
    <w:rsid w:val="00CA625A"/>
    <w:rsid w:val="00CA6458"/>
    <w:rsid w:val="00CA6483"/>
    <w:rsid w:val="00CA6544"/>
    <w:rsid w:val="00CA65D6"/>
    <w:rsid w:val="00CA65FB"/>
    <w:rsid w:val="00CA672F"/>
    <w:rsid w:val="00CA6832"/>
    <w:rsid w:val="00CA6A08"/>
    <w:rsid w:val="00CA6B43"/>
    <w:rsid w:val="00CA6B95"/>
    <w:rsid w:val="00CA6CCD"/>
    <w:rsid w:val="00CA6DF9"/>
    <w:rsid w:val="00CA6E9D"/>
    <w:rsid w:val="00CA7024"/>
    <w:rsid w:val="00CA70A2"/>
    <w:rsid w:val="00CA7113"/>
    <w:rsid w:val="00CA7163"/>
    <w:rsid w:val="00CA7179"/>
    <w:rsid w:val="00CA7281"/>
    <w:rsid w:val="00CA72D7"/>
    <w:rsid w:val="00CA7439"/>
    <w:rsid w:val="00CA74C0"/>
    <w:rsid w:val="00CA757D"/>
    <w:rsid w:val="00CA75AD"/>
    <w:rsid w:val="00CA75B0"/>
    <w:rsid w:val="00CA763A"/>
    <w:rsid w:val="00CA7760"/>
    <w:rsid w:val="00CA77F5"/>
    <w:rsid w:val="00CA7862"/>
    <w:rsid w:val="00CA78A3"/>
    <w:rsid w:val="00CA7904"/>
    <w:rsid w:val="00CA790A"/>
    <w:rsid w:val="00CA79EE"/>
    <w:rsid w:val="00CA7ABE"/>
    <w:rsid w:val="00CA7C08"/>
    <w:rsid w:val="00CA7D47"/>
    <w:rsid w:val="00CA7D8A"/>
    <w:rsid w:val="00CA7EE6"/>
    <w:rsid w:val="00CA7FB1"/>
    <w:rsid w:val="00CB0069"/>
    <w:rsid w:val="00CB0122"/>
    <w:rsid w:val="00CB026C"/>
    <w:rsid w:val="00CB027F"/>
    <w:rsid w:val="00CB02A8"/>
    <w:rsid w:val="00CB02D1"/>
    <w:rsid w:val="00CB0339"/>
    <w:rsid w:val="00CB0388"/>
    <w:rsid w:val="00CB050D"/>
    <w:rsid w:val="00CB05A7"/>
    <w:rsid w:val="00CB0ABA"/>
    <w:rsid w:val="00CB0D00"/>
    <w:rsid w:val="00CB0D5B"/>
    <w:rsid w:val="00CB0FD2"/>
    <w:rsid w:val="00CB1071"/>
    <w:rsid w:val="00CB10D7"/>
    <w:rsid w:val="00CB1102"/>
    <w:rsid w:val="00CB11AF"/>
    <w:rsid w:val="00CB11B8"/>
    <w:rsid w:val="00CB1248"/>
    <w:rsid w:val="00CB1328"/>
    <w:rsid w:val="00CB13CC"/>
    <w:rsid w:val="00CB175C"/>
    <w:rsid w:val="00CB1898"/>
    <w:rsid w:val="00CB193F"/>
    <w:rsid w:val="00CB1972"/>
    <w:rsid w:val="00CB1996"/>
    <w:rsid w:val="00CB19BE"/>
    <w:rsid w:val="00CB1A1E"/>
    <w:rsid w:val="00CB1A9A"/>
    <w:rsid w:val="00CB1ADB"/>
    <w:rsid w:val="00CB1BCE"/>
    <w:rsid w:val="00CB1CC0"/>
    <w:rsid w:val="00CB1FD9"/>
    <w:rsid w:val="00CB20C7"/>
    <w:rsid w:val="00CB214E"/>
    <w:rsid w:val="00CB21D4"/>
    <w:rsid w:val="00CB22DF"/>
    <w:rsid w:val="00CB245D"/>
    <w:rsid w:val="00CB2563"/>
    <w:rsid w:val="00CB256F"/>
    <w:rsid w:val="00CB2572"/>
    <w:rsid w:val="00CB2871"/>
    <w:rsid w:val="00CB2876"/>
    <w:rsid w:val="00CB29FB"/>
    <w:rsid w:val="00CB2A6A"/>
    <w:rsid w:val="00CB2A78"/>
    <w:rsid w:val="00CB2B72"/>
    <w:rsid w:val="00CB2CFA"/>
    <w:rsid w:val="00CB2D58"/>
    <w:rsid w:val="00CB2E0F"/>
    <w:rsid w:val="00CB30C3"/>
    <w:rsid w:val="00CB316B"/>
    <w:rsid w:val="00CB339E"/>
    <w:rsid w:val="00CB3532"/>
    <w:rsid w:val="00CB371E"/>
    <w:rsid w:val="00CB372A"/>
    <w:rsid w:val="00CB37D2"/>
    <w:rsid w:val="00CB37DA"/>
    <w:rsid w:val="00CB390B"/>
    <w:rsid w:val="00CB3A18"/>
    <w:rsid w:val="00CB3AC6"/>
    <w:rsid w:val="00CB3AF8"/>
    <w:rsid w:val="00CB3AFE"/>
    <w:rsid w:val="00CB3B7F"/>
    <w:rsid w:val="00CB3C6B"/>
    <w:rsid w:val="00CB3C71"/>
    <w:rsid w:val="00CB3ED3"/>
    <w:rsid w:val="00CB4010"/>
    <w:rsid w:val="00CB4087"/>
    <w:rsid w:val="00CB4312"/>
    <w:rsid w:val="00CB43DF"/>
    <w:rsid w:val="00CB4530"/>
    <w:rsid w:val="00CB4572"/>
    <w:rsid w:val="00CB45D5"/>
    <w:rsid w:val="00CB4631"/>
    <w:rsid w:val="00CB4634"/>
    <w:rsid w:val="00CB4758"/>
    <w:rsid w:val="00CB4759"/>
    <w:rsid w:val="00CB4833"/>
    <w:rsid w:val="00CB4B90"/>
    <w:rsid w:val="00CB4D2E"/>
    <w:rsid w:val="00CB4DB3"/>
    <w:rsid w:val="00CB4FFE"/>
    <w:rsid w:val="00CB5073"/>
    <w:rsid w:val="00CB5084"/>
    <w:rsid w:val="00CB54B9"/>
    <w:rsid w:val="00CB56D9"/>
    <w:rsid w:val="00CB582F"/>
    <w:rsid w:val="00CB585A"/>
    <w:rsid w:val="00CB5986"/>
    <w:rsid w:val="00CB5ADE"/>
    <w:rsid w:val="00CB5C83"/>
    <w:rsid w:val="00CB5C91"/>
    <w:rsid w:val="00CB5D2E"/>
    <w:rsid w:val="00CB6296"/>
    <w:rsid w:val="00CB635D"/>
    <w:rsid w:val="00CB6471"/>
    <w:rsid w:val="00CB6484"/>
    <w:rsid w:val="00CB6598"/>
    <w:rsid w:val="00CB6638"/>
    <w:rsid w:val="00CB667A"/>
    <w:rsid w:val="00CB6755"/>
    <w:rsid w:val="00CB67AB"/>
    <w:rsid w:val="00CB682A"/>
    <w:rsid w:val="00CB68FF"/>
    <w:rsid w:val="00CB6971"/>
    <w:rsid w:val="00CB6A95"/>
    <w:rsid w:val="00CB6AFA"/>
    <w:rsid w:val="00CB6CFB"/>
    <w:rsid w:val="00CB6D9B"/>
    <w:rsid w:val="00CB6F73"/>
    <w:rsid w:val="00CB70F9"/>
    <w:rsid w:val="00CB7186"/>
    <w:rsid w:val="00CB7305"/>
    <w:rsid w:val="00CB733F"/>
    <w:rsid w:val="00CB7355"/>
    <w:rsid w:val="00CB752C"/>
    <w:rsid w:val="00CB7650"/>
    <w:rsid w:val="00CB76A6"/>
    <w:rsid w:val="00CB76B7"/>
    <w:rsid w:val="00CB78A0"/>
    <w:rsid w:val="00CB78D5"/>
    <w:rsid w:val="00CB79B5"/>
    <w:rsid w:val="00CB79EF"/>
    <w:rsid w:val="00CB7A80"/>
    <w:rsid w:val="00CB7A9D"/>
    <w:rsid w:val="00CB7B07"/>
    <w:rsid w:val="00CB7B50"/>
    <w:rsid w:val="00CB7BE7"/>
    <w:rsid w:val="00CB7CD4"/>
    <w:rsid w:val="00CB7CF9"/>
    <w:rsid w:val="00CB7DDE"/>
    <w:rsid w:val="00CB7E0E"/>
    <w:rsid w:val="00CB7F2F"/>
    <w:rsid w:val="00CB7FD8"/>
    <w:rsid w:val="00CC0137"/>
    <w:rsid w:val="00CC0273"/>
    <w:rsid w:val="00CC0349"/>
    <w:rsid w:val="00CC038E"/>
    <w:rsid w:val="00CC03D7"/>
    <w:rsid w:val="00CC0480"/>
    <w:rsid w:val="00CC059E"/>
    <w:rsid w:val="00CC0674"/>
    <w:rsid w:val="00CC0754"/>
    <w:rsid w:val="00CC0B12"/>
    <w:rsid w:val="00CC0B3A"/>
    <w:rsid w:val="00CC0B91"/>
    <w:rsid w:val="00CC0B95"/>
    <w:rsid w:val="00CC0DAC"/>
    <w:rsid w:val="00CC0DBE"/>
    <w:rsid w:val="00CC0DD4"/>
    <w:rsid w:val="00CC0DFF"/>
    <w:rsid w:val="00CC0F45"/>
    <w:rsid w:val="00CC0FDF"/>
    <w:rsid w:val="00CC10B4"/>
    <w:rsid w:val="00CC10B5"/>
    <w:rsid w:val="00CC1121"/>
    <w:rsid w:val="00CC113E"/>
    <w:rsid w:val="00CC139B"/>
    <w:rsid w:val="00CC13C9"/>
    <w:rsid w:val="00CC1528"/>
    <w:rsid w:val="00CC1967"/>
    <w:rsid w:val="00CC1B64"/>
    <w:rsid w:val="00CC1CC2"/>
    <w:rsid w:val="00CC1DF4"/>
    <w:rsid w:val="00CC1F07"/>
    <w:rsid w:val="00CC20C4"/>
    <w:rsid w:val="00CC2180"/>
    <w:rsid w:val="00CC21DE"/>
    <w:rsid w:val="00CC2205"/>
    <w:rsid w:val="00CC2238"/>
    <w:rsid w:val="00CC2268"/>
    <w:rsid w:val="00CC2293"/>
    <w:rsid w:val="00CC2429"/>
    <w:rsid w:val="00CC2440"/>
    <w:rsid w:val="00CC2494"/>
    <w:rsid w:val="00CC2518"/>
    <w:rsid w:val="00CC26A3"/>
    <w:rsid w:val="00CC27B3"/>
    <w:rsid w:val="00CC27DD"/>
    <w:rsid w:val="00CC2892"/>
    <w:rsid w:val="00CC28F9"/>
    <w:rsid w:val="00CC297C"/>
    <w:rsid w:val="00CC299D"/>
    <w:rsid w:val="00CC29B5"/>
    <w:rsid w:val="00CC2A01"/>
    <w:rsid w:val="00CC2AFE"/>
    <w:rsid w:val="00CC2B96"/>
    <w:rsid w:val="00CC2C4A"/>
    <w:rsid w:val="00CC2CF0"/>
    <w:rsid w:val="00CC2DFB"/>
    <w:rsid w:val="00CC2E4F"/>
    <w:rsid w:val="00CC2F1D"/>
    <w:rsid w:val="00CC2FEB"/>
    <w:rsid w:val="00CC306E"/>
    <w:rsid w:val="00CC30BB"/>
    <w:rsid w:val="00CC3423"/>
    <w:rsid w:val="00CC34B0"/>
    <w:rsid w:val="00CC3549"/>
    <w:rsid w:val="00CC3580"/>
    <w:rsid w:val="00CC35B4"/>
    <w:rsid w:val="00CC35F1"/>
    <w:rsid w:val="00CC3660"/>
    <w:rsid w:val="00CC36E0"/>
    <w:rsid w:val="00CC3891"/>
    <w:rsid w:val="00CC38E2"/>
    <w:rsid w:val="00CC38FB"/>
    <w:rsid w:val="00CC3A63"/>
    <w:rsid w:val="00CC3C88"/>
    <w:rsid w:val="00CC3CE9"/>
    <w:rsid w:val="00CC3EDD"/>
    <w:rsid w:val="00CC3EF2"/>
    <w:rsid w:val="00CC3F51"/>
    <w:rsid w:val="00CC40DC"/>
    <w:rsid w:val="00CC4210"/>
    <w:rsid w:val="00CC4599"/>
    <w:rsid w:val="00CC45A4"/>
    <w:rsid w:val="00CC4684"/>
    <w:rsid w:val="00CC4788"/>
    <w:rsid w:val="00CC489B"/>
    <w:rsid w:val="00CC48AA"/>
    <w:rsid w:val="00CC4961"/>
    <w:rsid w:val="00CC49A8"/>
    <w:rsid w:val="00CC49D4"/>
    <w:rsid w:val="00CC4AB1"/>
    <w:rsid w:val="00CC4B12"/>
    <w:rsid w:val="00CC4B99"/>
    <w:rsid w:val="00CC4C45"/>
    <w:rsid w:val="00CC4C8E"/>
    <w:rsid w:val="00CC4D14"/>
    <w:rsid w:val="00CC4DE6"/>
    <w:rsid w:val="00CC4E06"/>
    <w:rsid w:val="00CC5065"/>
    <w:rsid w:val="00CC509C"/>
    <w:rsid w:val="00CC50A9"/>
    <w:rsid w:val="00CC50E8"/>
    <w:rsid w:val="00CC519E"/>
    <w:rsid w:val="00CC51FC"/>
    <w:rsid w:val="00CC5418"/>
    <w:rsid w:val="00CC549C"/>
    <w:rsid w:val="00CC54C9"/>
    <w:rsid w:val="00CC583F"/>
    <w:rsid w:val="00CC58B8"/>
    <w:rsid w:val="00CC5967"/>
    <w:rsid w:val="00CC5986"/>
    <w:rsid w:val="00CC5ACE"/>
    <w:rsid w:val="00CC5B01"/>
    <w:rsid w:val="00CC5BE4"/>
    <w:rsid w:val="00CC5C49"/>
    <w:rsid w:val="00CC5C60"/>
    <w:rsid w:val="00CC5CB8"/>
    <w:rsid w:val="00CC5CCC"/>
    <w:rsid w:val="00CC5D0F"/>
    <w:rsid w:val="00CC5D3B"/>
    <w:rsid w:val="00CC5E33"/>
    <w:rsid w:val="00CC5E53"/>
    <w:rsid w:val="00CC5E82"/>
    <w:rsid w:val="00CC60E2"/>
    <w:rsid w:val="00CC6111"/>
    <w:rsid w:val="00CC616A"/>
    <w:rsid w:val="00CC61DD"/>
    <w:rsid w:val="00CC6383"/>
    <w:rsid w:val="00CC6478"/>
    <w:rsid w:val="00CC64EE"/>
    <w:rsid w:val="00CC654F"/>
    <w:rsid w:val="00CC655B"/>
    <w:rsid w:val="00CC6562"/>
    <w:rsid w:val="00CC65FB"/>
    <w:rsid w:val="00CC6799"/>
    <w:rsid w:val="00CC680A"/>
    <w:rsid w:val="00CC6855"/>
    <w:rsid w:val="00CC6934"/>
    <w:rsid w:val="00CC6935"/>
    <w:rsid w:val="00CC6980"/>
    <w:rsid w:val="00CC6A2B"/>
    <w:rsid w:val="00CC6C60"/>
    <w:rsid w:val="00CC6CF9"/>
    <w:rsid w:val="00CC6D0F"/>
    <w:rsid w:val="00CC6ED0"/>
    <w:rsid w:val="00CC6F07"/>
    <w:rsid w:val="00CC6FDF"/>
    <w:rsid w:val="00CC7021"/>
    <w:rsid w:val="00CC708C"/>
    <w:rsid w:val="00CC70B1"/>
    <w:rsid w:val="00CC7159"/>
    <w:rsid w:val="00CC72A7"/>
    <w:rsid w:val="00CC72EE"/>
    <w:rsid w:val="00CC7302"/>
    <w:rsid w:val="00CC7304"/>
    <w:rsid w:val="00CC7407"/>
    <w:rsid w:val="00CC74BF"/>
    <w:rsid w:val="00CC7522"/>
    <w:rsid w:val="00CC7598"/>
    <w:rsid w:val="00CC75DA"/>
    <w:rsid w:val="00CC76C2"/>
    <w:rsid w:val="00CC76E8"/>
    <w:rsid w:val="00CC77F0"/>
    <w:rsid w:val="00CC783A"/>
    <w:rsid w:val="00CC7996"/>
    <w:rsid w:val="00CC7A59"/>
    <w:rsid w:val="00CC7B63"/>
    <w:rsid w:val="00CC7BE9"/>
    <w:rsid w:val="00CC7C46"/>
    <w:rsid w:val="00CC7D56"/>
    <w:rsid w:val="00CC7DEE"/>
    <w:rsid w:val="00CC7F4A"/>
    <w:rsid w:val="00CC7FAC"/>
    <w:rsid w:val="00CD02FF"/>
    <w:rsid w:val="00CD0332"/>
    <w:rsid w:val="00CD034A"/>
    <w:rsid w:val="00CD03AA"/>
    <w:rsid w:val="00CD045C"/>
    <w:rsid w:val="00CD05D6"/>
    <w:rsid w:val="00CD0669"/>
    <w:rsid w:val="00CD06BF"/>
    <w:rsid w:val="00CD075B"/>
    <w:rsid w:val="00CD0A11"/>
    <w:rsid w:val="00CD0A5A"/>
    <w:rsid w:val="00CD0B0A"/>
    <w:rsid w:val="00CD0C76"/>
    <w:rsid w:val="00CD0D42"/>
    <w:rsid w:val="00CD0DA9"/>
    <w:rsid w:val="00CD0DBA"/>
    <w:rsid w:val="00CD0E54"/>
    <w:rsid w:val="00CD0E68"/>
    <w:rsid w:val="00CD0E71"/>
    <w:rsid w:val="00CD1004"/>
    <w:rsid w:val="00CD10EC"/>
    <w:rsid w:val="00CD111D"/>
    <w:rsid w:val="00CD118A"/>
    <w:rsid w:val="00CD11B4"/>
    <w:rsid w:val="00CD11E9"/>
    <w:rsid w:val="00CD12F0"/>
    <w:rsid w:val="00CD132A"/>
    <w:rsid w:val="00CD142C"/>
    <w:rsid w:val="00CD1463"/>
    <w:rsid w:val="00CD1483"/>
    <w:rsid w:val="00CD150D"/>
    <w:rsid w:val="00CD15DF"/>
    <w:rsid w:val="00CD164D"/>
    <w:rsid w:val="00CD167E"/>
    <w:rsid w:val="00CD170D"/>
    <w:rsid w:val="00CD171E"/>
    <w:rsid w:val="00CD1819"/>
    <w:rsid w:val="00CD1985"/>
    <w:rsid w:val="00CD1A2F"/>
    <w:rsid w:val="00CD1A34"/>
    <w:rsid w:val="00CD1A3D"/>
    <w:rsid w:val="00CD1A8D"/>
    <w:rsid w:val="00CD1D3D"/>
    <w:rsid w:val="00CD1DE0"/>
    <w:rsid w:val="00CD2128"/>
    <w:rsid w:val="00CD2313"/>
    <w:rsid w:val="00CD23C7"/>
    <w:rsid w:val="00CD240A"/>
    <w:rsid w:val="00CD24BB"/>
    <w:rsid w:val="00CD25C4"/>
    <w:rsid w:val="00CD25F4"/>
    <w:rsid w:val="00CD2645"/>
    <w:rsid w:val="00CD271D"/>
    <w:rsid w:val="00CD289A"/>
    <w:rsid w:val="00CD28EA"/>
    <w:rsid w:val="00CD2918"/>
    <w:rsid w:val="00CD2B15"/>
    <w:rsid w:val="00CD2B8B"/>
    <w:rsid w:val="00CD2CCC"/>
    <w:rsid w:val="00CD2D05"/>
    <w:rsid w:val="00CD2D87"/>
    <w:rsid w:val="00CD2F2A"/>
    <w:rsid w:val="00CD2F74"/>
    <w:rsid w:val="00CD303E"/>
    <w:rsid w:val="00CD30A8"/>
    <w:rsid w:val="00CD315F"/>
    <w:rsid w:val="00CD31C3"/>
    <w:rsid w:val="00CD31DC"/>
    <w:rsid w:val="00CD3271"/>
    <w:rsid w:val="00CD3487"/>
    <w:rsid w:val="00CD34D0"/>
    <w:rsid w:val="00CD3512"/>
    <w:rsid w:val="00CD3529"/>
    <w:rsid w:val="00CD3534"/>
    <w:rsid w:val="00CD3537"/>
    <w:rsid w:val="00CD35FC"/>
    <w:rsid w:val="00CD369D"/>
    <w:rsid w:val="00CD378A"/>
    <w:rsid w:val="00CD387B"/>
    <w:rsid w:val="00CD38D4"/>
    <w:rsid w:val="00CD392A"/>
    <w:rsid w:val="00CD39B5"/>
    <w:rsid w:val="00CD3ADB"/>
    <w:rsid w:val="00CD3CC9"/>
    <w:rsid w:val="00CD3DC6"/>
    <w:rsid w:val="00CD3EAE"/>
    <w:rsid w:val="00CD3EF4"/>
    <w:rsid w:val="00CD4037"/>
    <w:rsid w:val="00CD4052"/>
    <w:rsid w:val="00CD40CB"/>
    <w:rsid w:val="00CD416C"/>
    <w:rsid w:val="00CD41A5"/>
    <w:rsid w:val="00CD421E"/>
    <w:rsid w:val="00CD422A"/>
    <w:rsid w:val="00CD423A"/>
    <w:rsid w:val="00CD42E7"/>
    <w:rsid w:val="00CD4350"/>
    <w:rsid w:val="00CD4476"/>
    <w:rsid w:val="00CD44F1"/>
    <w:rsid w:val="00CD4623"/>
    <w:rsid w:val="00CD4898"/>
    <w:rsid w:val="00CD491E"/>
    <w:rsid w:val="00CD496D"/>
    <w:rsid w:val="00CD49BB"/>
    <w:rsid w:val="00CD4C52"/>
    <w:rsid w:val="00CD4C83"/>
    <w:rsid w:val="00CD4CC9"/>
    <w:rsid w:val="00CD4E59"/>
    <w:rsid w:val="00CD4E75"/>
    <w:rsid w:val="00CD508B"/>
    <w:rsid w:val="00CD53D1"/>
    <w:rsid w:val="00CD53FB"/>
    <w:rsid w:val="00CD5538"/>
    <w:rsid w:val="00CD56D4"/>
    <w:rsid w:val="00CD587C"/>
    <w:rsid w:val="00CD58F5"/>
    <w:rsid w:val="00CD59D5"/>
    <w:rsid w:val="00CD5BAF"/>
    <w:rsid w:val="00CD5EA2"/>
    <w:rsid w:val="00CD5F83"/>
    <w:rsid w:val="00CD5FFF"/>
    <w:rsid w:val="00CD6167"/>
    <w:rsid w:val="00CD61C3"/>
    <w:rsid w:val="00CD6486"/>
    <w:rsid w:val="00CD64D2"/>
    <w:rsid w:val="00CD64FA"/>
    <w:rsid w:val="00CD6625"/>
    <w:rsid w:val="00CD66A8"/>
    <w:rsid w:val="00CD67FC"/>
    <w:rsid w:val="00CD69CD"/>
    <w:rsid w:val="00CD6A7A"/>
    <w:rsid w:val="00CD6B27"/>
    <w:rsid w:val="00CD6BC6"/>
    <w:rsid w:val="00CD6C1B"/>
    <w:rsid w:val="00CD6DB0"/>
    <w:rsid w:val="00CD6DEB"/>
    <w:rsid w:val="00CD6E62"/>
    <w:rsid w:val="00CD6E92"/>
    <w:rsid w:val="00CD6ED3"/>
    <w:rsid w:val="00CD6FA9"/>
    <w:rsid w:val="00CD722A"/>
    <w:rsid w:val="00CD74D3"/>
    <w:rsid w:val="00CD769B"/>
    <w:rsid w:val="00CD76C0"/>
    <w:rsid w:val="00CD776B"/>
    <w:rsid w:val="00CD78DE"/>
    <w:rsid w:val="00CD78F2"/>
    <w:rsid w:val="00CD7926"/>
    <w:rsid w:val="00CD796E"/>
    <w:rsid w:val="00CD7B5E"/>
    <w:rsid w:val="00CD7C68"/>
    <w:rsid w:val="00CD7C83"/>
    <w:rsid w:val="00CD7D61"/>
    <w:rsid w:val="00CD7E3E"/>
    <w:rsid w:val="00CD7EC2"/>
    <w:rsid w:val="00CD7F60"/>
    <w:rsid w:val="00CD7F81"/>
    <w:rsid w:val="00CE009C"/>
    <w:rsid w:val="00CE00FB"/>
    <w:rsid w:val="00CE0239"/>
    <w:rsid w:val="00CE0254"/>
    <w:rsid w:val="00CE031F"/>
    <w:rsid w:val="00CE05DB"/>
    <w:rsid w:val="00CE060D"/>
    <w:rsid w:val="00CE0646"/>
    <w:rsid w:val="00CE0695"/>
    <w:rsid w:val="00CE06E1"/>
    <w:rsid w:val="00CE0756"/>
    <w:rsid w:val="00CE0780"/>
    <w:rsid w:val="00CE0A28"/>
    <w:rsid w:val="00CE0A9C"/>
    <w:rsid w:val="00CE0B4D"/>
    <w:rsid w:val="00CE0BA3"/>
    <w:rsid w:val="00CE0BD0"/>
    <w:rsid w:val="00CE0C4A"/>
    <w:rsid w:val="00CE0D11"/>
    <w:rsid w:val="00CE0D13"/>
    <w:rsid w:val="00CE0D3B"/>
    <w:rsid w:val="00CE0D86"/>
    <w:rsid w:val="00CE0E53"/>
    <w:rsid w:val="00CE0F38"/>
    <w:rsid w:val="00CE0F7B"/>
    <w:rsid w:val="00CE1048"/>
    <w:rsid w:val="00CE12AE"/>
    <w:rsid w:val="00CE12E5"/>
    <w:rsid w:val="00CE1407"/>
    <w:rsid w:val="00CE1770"/>
    <w:rsid w:val="00CE18DC"/>
    <w:rsid w:val="00CE1902"/>
    <w:rsid w:val="00CE19D3"/>
    <w:rsid w:val="00CE1B12"/>
    <w:rsid w:val="00CE1BBE"/>
    <w:rsid w:val="00CE1DD4"/>
    <w:rsid w:val="00CE1ECD"/>
    <w:rsid w:val="00CE1EFB"/>
    <w:rsid w:val="00CE211A"/>
    <w:rsid w:val="00CE211C"/>
    <w:rsid w:val="00CE2123"/>
    <w:rsid w:val="00CE2124"/>
    <w:rsid w:val="00CE2397"/>
    <w:rsid w:val="00CE239B"/>
    <w:rsid w:val="00CE24A4"/>
    <w:rsid w:val="00CE2598"/>
    <w:rsid w:val="00CE26C8"/>
    <w:rsid w:val="00CE27A0"/>
    <w:rsid w:val="00CE2851"/>
    <w:rsid w:val="00CE28AF"/>
    <w:rsid w:val="00CE28C0"/>
    <w:rsid w:val="00CE2904"/>
    <w:rsid w:val="00CE2A35"/>
    <w:rsid w:val="00CE2ABF"/>
    <w:rsid w:val="00CE2B3D"/>
    <w:rsid w:val="00CE2D4D"/>
    <w:rsid w:val="00CE2E16"/>
    <w:rsid w:val="00CE2E41"/>
    <w:rsid w:val="00CE2EA2"/>
    <w:rsid w:val="00CE2EEA"/>
    <w:rsid w:val="00CE2F40"/>
    <w:rsid w:val="00CE2FF2"/>
    <w:rsid w:val="00CE309D"/>
    <w:rsid w:val="00CE30E0"/>
    <w:rsid w:val="00CE3242"/>
    <w:rsid w:val="00CE3341"/>
    <w:rsid w:val="00CE33E2"/>
    <w:rsid w:val="00CE3438"/>
    <w:rsid w:val="00CE3441"/>
    <w:rsid w:val="00CE34BF"/>
    <w:rsid w:val="00CE34C5"/>
    <w:rsid w:val="00CE35E1"/>
    <w:rsid w:val="00CE36A1"/>
    <w:rsid w:val="00CE36A3"/>
    <w:rsid w:val="00CE3873"/>
    <w:rsid w:val="00CE38D2"/>
    <w:rsid w:val="00CE3900"/>
    <w:rsid w:val="00CE3926"/>
    <w:rsid w:val="00CE3A3A"/>
    <w:rsid w:val="00CE3A69"/>
    <w:rsid w:val="00CE3B5D"/>
    <w:rsid w:val="00CE3BA6"/>
    <w:rsid w:val="00CE3BFD"/>
    <w:rsid w:val="00CE3D7D"/>
    <w:rsid w:val="00CE3D8A"/>
    <w:rsid w:val="00CE3E23"/>
    <w:rsid w:val="00CE3EBC"/>
    <w:rsid w:val="00CE4098"/>
    <w:rsid w:val="00CE4182"/>
    <w:rsid w:val="00CE4269"/>
    <w:rsid w:val="00CE4288"/>
    <w:rsid w:val="00CE42E0"/>
    <w:rsid w:val="00CE4325"/>
    <w:rsid w:val="00CE43A0"/>
    <w:rsid w:val="00CE441C"/>
    <w:rsid w:val="00CE44EC"/>
    <w:rsid w:val="00CE4572"/>
    <w:rsid w:val="00CE4722"/>
    <w:rsid w:val="00CE4745"/>
    <w:rsid w:val="00CE47DC"/>
    <w:rsid w:val="00CE4ACC"/>
    <w:rsid w:val="00CE4B37"/>
    <w:rsid w:val="00CE4D1F"/>
    <w:rsid w:val="00CE4DE5"/>
    <w:rsid w:val="00CE4EFF"/>
    <w:rsid w:val="00CE4F91"/>
    <w:rsid w:val="00CE4FA1"/>
    <w:rsid w:val="00CE5049"/>
    <w:rsid w:val="00CE5112"/>
    <w:rsid w:val="00CE513A"/>
    <w:rsid w:val="00CE55A6"/>
    <w:rsid w:val="00CE55D3"/>
    <w:rsid w:val="00CE56CB"/>
    <w:rsid w:val="00CE5755"/>
    <w:rsid w:val="00CE5828"/>
    <w:rsid w:val="00CE582B"/>
    <w:rsid w:val="00CE5904"/>
    <w:rsid w:val="00CE591E"/>
    <w:rsid w:val="00CE59AF"/>
    <w:rsid w:val="00CE59CE"/>
    <w:rsid w:val="00CE59EE"/>
    <w:rsid w:val="00CE59FC"/>
    <w:rsid w:val="00CE5AFD"/>
    <w:rsid w:val="00CE5B61"/>
    <w:rsid w:val="00CE5BDC"/>
    <w:rsid w:val="00CE5C44"/>
    <w:rsid w:val="00CE5C5F"/>
    <w:rsid w:val="00CE5CA4"/>
    <w:rsid w:val="00CE5CB2"/>
    <w:rsid w:val="00CE5DAF"/>
    <w:rsid w:val="00CE621C"/>
    <w:rsid w:val="00CE62F2"/>
    <w:rsid w:val="00CE643F"/>
    <w:rsid w:val="00CE64F8"/>
    <w:rsid w:val="00CE660B"/>
    <w:rsid w:val="00CE6653"/>
    <w:rsid w:val="00CE66CF"/>
    <w:rsid w:val="00CE66E0"/>
    <w:rsid w:val="00CE6813"/>
    <w:rsid w:val="00CE684A"/>
    <w:rsid w:val="00CE686F"/>
    <w:rsid w:val="00CE698C"/>
    <w:rsid w:val="00CE69D2"/>
    <w:rsid w:val="00CE6A80"/>
    <w:rsid w:val="00CE6AEB"/>
    <w:rsid w:val="00CE6B10"/>
    <w:rsid w:val="00CE6B20"/>
    <w:rsid w:val="00CE6C45"/>
    <w:rsid w:val="00CE6CD8"/>
    <w:rsid w:val="00CE6E9A"/>
    <w:rsid w:val="00CE7019"/>
    <w:rsid w:val="00CE7061"/>
    <w:rsid w:val="00CE71A9"/>
    <w:rsid w:val="00CE71AD"/>
    <w:rsid w:val="00CE721C"/>
    <w:rsid w:val="00CE733E"/>
    <w:rsid w:val="00CE7340"/>
    <w:rsid w:val="00CE736C"/>
    <w:rsid w:val="00CE73CD"/>
    <w:rsid w:val="00CE7637"/>
    <w:rsid w:val="00CE7692"/>
    <w:rsid w:val="00CE7742"/>
    <w:rsid w:val="00CE77A9"/>
    <w:rsid w:val="00CE788F"/>
    <w:rsid w:val="00CE79F5"/>
    <w:rsid w:val="00CE7A57"/>
    <w:rsid w:val="00CE7BF2"/>
    <w:rsid w:val="00CE7C51"/>
    <w:rsid w:val="00CE7DF5"/>
    <w:rsid w:val="00CE7E15"/>
    <w:rsid w:val="00CE7E27"/>
    <w:rsid w:val="00CE7EDC"/>
    <w:rsid w:val="00CE7EF0"/>
    <w:rsid w:val="00CE7F31"/>
    <w:rsid w:val="00CF0032"/>
    <w:rsid w:val="00CF007E"/>
    <w:rsid w:val="00CF00F5"/>
    <w:rsid w:val="00CF0198"/>
    <w:rsid w:val="00CF01BC"/>
    <w:rsid w:val="00CF061D"/>
    <w:rsid w:val="00CF0637"/>
    <w:rsid w:val="00CF06B0"/>
    <w:rsid w:val="00CF0B04"/>
    <w:rsid w:val="00CF0B66"/>
    <w:rsid w:val="00CF0B82"/>
    <w:rsid w:val="00CF0C2E"/>
    <w:rsid w:val="00CF0C4C"/>
    <w:rsid w:val="00CF0E12"/>
    <w:rsid w:val="00CF0E35"/>
    <w:rsid w:val="00CF0E96"/>
    <w:rsid w:val="00CF10D6"/>
    <w:rsid w:val="00CF116A"/>
    <w:rsid w:val="00CF1217"/>
    <w:rsid w:val="00CF12E0"/>
    <w:rsid w:val="00CF12F5"/>
    <w:rsid w:val="00CF139D"/>
    <w:rsid w:val="00CF1426"/>
    <w:rsid w:val="00CF1631"/>
    <w:rsid w:val="00CF1637"/>
    <w:rsid w:val="00CF1667"/>
    <w:rsid w:val="00CF16AC"/>
    <w:rsid w:val="00CF1720"/>
    <w:rsid w:val="00CF1733"/>
    <w:rsid w:val="00CF174F"/>
    <w:rsid w:val="00CF176B"/>
    <w:rsid w:val="00CF195C"/>
    <w:rsid w:val="00CF1A9C"/>
    <w:rsid w:val="00CF1C69"/>
    <w:rsid w:val="00CF1E5F"/>
    <w:rsid w:val="00CF1FA2"/>
    <w:rsid w:val="00CF1FDF"/>
    <w:rsid w:val="00CF1FF5"/>
    <w:rsid w:val="00CF209C"/>
    <w:rsid w:val="00CF2103"/>
    <w:rsid w:val="00CF21EF"/>
    <w:rsid w:val="00CF2308"/>
    <w:rsid w:val="00CF2376"/>
    <w:rsid w:val="00CF23B1"/>
    <w:rsid w:val="00CF23CB"/>
    <w:rsid w:val="00CF2484"/>
    <w:rsid w:val="00CF25FF"/>
    <w:rsid w:val="00CF26F6"/>
    <w:rsid w:val="00CF2715"/>
    <w:rsid w:val="00CF2760"/>
    <w:rsid w:val="00CF2865"/>
    <w:rsid w:val="00CF2888"/>
    <w:rsid w:val="00CF2969"/>
    <w:rsid w:val="00CF29C9"/>
    <w:rsid w:val="00CF2CB1"/>
    <w:rsid w:val="00CF2E7C"/>
    <w:rsid w:val="00CF2F39"/>
    <w:rsid w:val="00CF30B7"/>
    <w:rsid w:val="00CF3298"/>
    <w:rsid w:val="00CF3405"/>
    <w:rsid w:val="00CF35AE"/>
    <w:rsid w:val="00CF37E2"/>
    <w:rsid w:val="00CF38EC"/>
    <w:rsid w:val="00CF397D"/>
    <w:rsid w:val="00CF3980"/>
    <w:rsid w:val="00CF3982"/>
    <w:rsid w:val="00CF39A2"/>
    <w:rsid w:val="00CF3A19"/>
    <w:rsid w:val="00CF3BAE"/>
    <w:rsid w:val="00CF3DB6"/>
    <w:rsid w:val="00CF3F26"/>
    <w:rsid w:val="00CF4215"/>
    <w:rsid w:val="00CF4233"/>
    <w:rsid w:val="00CF426C"/>
    <w:rsid w:val="00CF43D0"/>
    <w:rsid w:val="00CF457E"/>
    <w:rsid w:val="00CF47E0"/>
    <w:rsid w:val="00CF4915"/>
    <w:rsid w:val="00CF499B"/>
    <w:rsid w:val="00CF4A23"/>
    <w:rsid w:val="00CF4A3A"/>
    <w:rsid w:val="00CF4B67"/>
    <w:rsid w:val="00CF4BFA"/>
    <w:rsid w:val="00CF4DCC"/>
    <w:rsid w:val="00CF4EAF"/>
    <w:rsid w:val="00CF4FF1"/>
    <w:rsid w:val="00CF5074"/>
    <w:rsid w:val="00CF50AD"/>
    <w:rsid w:val="00CF5264"/>
    <w:rsid w:val="00CF52F8"/>
    <w:rsid w:val="00CF547D"/>
    <w:rsid w:val="00CF54DD"/>
    <w:rsid w:val="00CF554B"/>
    <w:rsid w:val="00CF568C"/>
    <w:rsid w:val="00CF5705"/>
    <w:rsid w:val="00CF5777"/>
    <w:rsid w:val="00CF57E3"/>
    <w:rsid w:val="00CF59B7"/>
    <w:rsid w:val="00CF59C1"/>
    <w:rsid w:val="00CF59CF"/>
    <w:rsid w:val="00CF5A69"/>
    <w:rsid w:val="00CF5B61"/>
    <w:rsid w:val="00CF5B81"/>
    <w:rsid w:val="00CF5D8C"/>
    <w:rsid w:val="00CF5E76"/>
    <w:rsid w:val="00CF5EBE"/>
    <w:rsid w:val="00CF6094"/>
    <w:rsid w:val="00CF61B6"/>
    <w:rsid w:val="00CF61C3"/>
    <w:rsid w:val="00CF632D"/>
    <w:rsid w:val="00CF63C9"/>
    <w:rsid w:val="00CF6638"/>
    <w:rsid w:val="00CF664D"/>
    <w:rsid w:val="00CF6739"/>
    <w:rsid w:val="00CF674A"/>
    <w:rsid w:val="00CF6799"/>
    <w:rsid w:val="00CF679D"/>
    <w:rsid w:val="00CF6A2D"/>
    <w:rsid w:val="00CF6A58"/>
    <w:rsid w:val="00CF6C24"/>
    <w:rsid w:val="00CF6C3E"/>
    <w:rsid w:val="00CF6D65"/>
    <w:rsid w:val="00CF6E5C"/>
    <w:rsid w:val="00CF6EE0"/>
    <w:rsid w:val="00CF6F2A"/>
    <w:rsid w:val="00CF6F37"/>
    <w:rsid w:val="00CF7086"/>
    <w:rsid w:val="00CF7099"/>
    <w:rsid w:val="00CF725E"/>
    <w:rsid w:val="00CF74CE"/>
    <w:rsid w:val="00CF74F6"/>
    <w:rsid w:val="00CF75F9"/>
    <w:rsid w:val="00CF7644"/>
    <w:rsid w:val="00CF764D"/>
    <w:rsid w:val="00CF7877"/>
    <w:rsid w:val="00CF798E"/>
    <w:rsid w:val="00CF7AC1"/>
    <w:rsid w:val="00CF7ACD"/>
    <w:rsid w:val="00CF7ADE"/>
    <w:rsid w:val="00CF7C6E"/>
    <w:rsid w:val="00CF7DEA"/>
    <w:rsid w:val="00CF7DFD"/>
    <w:rsid w:val="00CF7E04"/>
    <w:rsid w:val="00D00050"/>
    <w:rsid w:val="00D000A1"/>
    <w:rsid w:val="00D001AF"/>
    <w:rsid w:val="00D0024B"/>
    <w:rsid w:val="00D00332"/>
    <w:rsid w:val="00D003FA"/>
    <w:rsid w:val="00D00452"/>
    <w:rsid w:val="00D00534"/>
    <w:rsid w:val="00D00555"/>
    <w:rsid w:val="00D0076B"/>
    <w:rsid w:val="00D007E8"/>
    <w:rsid w:val="00D00A99"/>
    <w:rsid w:val="00D00BA9"/>
    <w:rsid w:val="00D00C2D"/>
    <w:rsid w:val="00D00C94"/>
    <w:rsid w:val="00D00DA7"/>
    <w:rsid w:val="00D00E90"/>
    <w:rsid w:val="00D00F44"/>
    <w:rsid w:val="00D0108C"/>
    <w:rsid w:val="00D01093"/>
    <w:rsid w:val="00D0112D"/>
    <w:rsid w:val="00D01137"/>
    <w:rsid w:val="00D01146"/>
    <w:rsid w:val="00D0114A"/>
    <w:rsid w:val="00D01169"/>
    <w:rsid w:val="00D0116A"/>
    <w:rsid w:val="00D011AC"/>
    <w:rsid w:val="00D0126A"/>
    <w:rsid w:val="00D013B8"/>
    <w:rsid w:val="00D013FB"/>
    <w:rsid w:val="00D017B5"/>
    <w:rsid w:val="00D01851"/>
    <w:rsid w:val="00D018D8"/>
    <w:rsid w:val="00D01915"/>
    <w:rsid w:val="00D01984"/>
    <w:rsid w:val="00D019BE"/>
    <w:rsid w:val="00D019FC"/>
    <w:rsid w:val="00D01AF8"/>
    <w:rsid w:val="00D01BC4"/>
    <w:rsid w:val="00D01BDB"/>
    <w:rsid w:val="00D01BF5"/>
    <w:rsid w:val="00D01C57"/>
    <w:rsid w:val="00D01CC8"/>
    <w:rsid w:val="00D01D5D"/>
    <w:rsid w:val="00D01E3F"/>
    <w:rsid w:val="00D02106"/>
    <w:rsid w:val="00D022FB"/>
    <w:rsid w:val="00D02313"/>
    <w:rsid w:val="00D0238A"/>
    <w:rsid w:val="00D02426"/>
    <w:rsid w:val="00D02526"/>
    <w:rsid w:val="00D02548"/>
    <w:rsid w:val="00D025B6"/>
    <w:rsid w:val="00D025CA"/>
    <w:rsid w:val="00D02607"/>
    <w:rsid w:val="00D02774"/>
    <w:rsid w:val="00D02902"/>
    <w:rsid w:val="00D02ADA"/>
    <w:rsid w:val="00D02B2D"/>
    <w:rsid w:val="00D02B2E"/>
    <w:rsid w:val="00D02B47"/>
    <w:rsid w:val="00D02B8F"/>
    <w:rsid w:val="00D02C68"/>
    <w:rsid w:val="00D02CE2"/>
    <w:rsid w:val="00D02CF7"/>
    <w:rsid w:val="00D02CFD"/>
    <w:rsid w:val="00D02D0B"/>
    <w:rsid w:val="00D02D3C"/>
    <w:rsid w:val="00D02E77"/>
    <w:rsid w:val="00D02F39"/>
    <w:rsid w:val="00D03013"/>
    <w:rsid w:val="00D0315C"/>
    <w:rsid w:val="00D031F4"/>
    <w:rsid w:val="00D034DC"/>
    <w:rsid w:val="00D034FC"/>
    <w:rsid w:val="00D03502"/>
    <w:rsid w:val="00D036DF"/>
    <w:rsid w:val="00D037B8"/>
    <w:rsid w:val="00D038A7"/>
    <w:rsid w:val="00D03CC3"/>
    <w:rsid w:val="00D03DB9"/>
    <w:rsid w:val="00D03E01"/>
    <w:rsid w:val="00D03F13"/>
    <w:rsid w:val="00D03F1E"/>
    <w:rsid w:val="00D03FC4"/>
    <w:rsid w:val="00D04112"/>
    <w:rsid w:val="00D041C4"/>
    <w:rsid w:val="00D042C7"/>
    <w:rsid w:val="00D043A6"/>
    <w:rsid w:val="00D04406"/>
    <w:rsid w:val="00D0448A"/>
    <w:rsid w:val="00D045F4"/>
    <w:rsid w:val="00D04607"/>
    <w:rsid w:val="00D04632"/>
    <w:rsid w:val="00D04669"/>
    <w:rsid w:val="00D046B0"/>
    <w:rsid w:val="00D04726"/>
    <w:rsid w:val="00D04729"/>
    <w:rsid w:val="00D0478A"/>
    <w:rsid w:val="00D047AD"/>
    <w:rsid w:val="00D04A37"/>
    <w:rsid w:val="00D04ABE"/>
    <w:rsid w:val="00D04C6F"/>
    <w:rsid w:val="00D04CD6"/>
    <w:rsid w:val="00D04D29"/>
    <w:rsid w:val="00D04E79"/>
    <w:rsid w:val="00D050A9"/>
    <w:rsid w:val="00D051F2"/>
    <w:rsid w:val="00D0527F"/>
    <w:rsid w:val="00D053AC"/>
    <w:rsid w:val="00D0543C"/>
    <w:rsid w:val="00D05543"/>
    <w:rsid w:val="00D0557E"/>
    <w:rsid w:val="00D055C2"/>
    <w:rsid w:val="00D05761"/>
    <w:rsid w:val="00D057A1"/>
    <w:rsid w:val="00D057B4"/>
    <w:rsid w:val="00D05860"/>
    <w:rsid w:val="00D058A3"/>
    <w:rsid w:val="00D05949"/>
    <w:rsid w:val="00D05ABD"/>
    <w:rsid w:val="00D05BC0"/>
    <w:rsid w:val="00D05BDF"/>
    <w:rsid w:val="00D05CC7"/>
    <w:rsid w:val="00D05E5B"/>
    <w:rsid w:val="00D05E7C"/>
    <w:rsid w:val="00D05F69"/>
    <w:rsid w:val="00D0605A"/>
    <w:rsid w:val="00D06119"/>
    <w:rsid w:val="00D0611D"/>
    <w:rsid w:val="00D06125"/>
    <w:rsid w:val="00D06174"/>
    <w:rsid w:val="00D06181"/>
    <w:rsid w:val="00D06274"/>
    <w:rsid w:val="00D06511"/>
    <w:rsid w:val="00D06589"/>
    <w:rsid w:val="00D065CF"/>
    <w:rsid w:val="00D0665C"/>
    <w:rsid w:val="00D0679E"/>
    <w:rsid w:val="00D06C42"/>
    <w:rsid w:val="00D06C65"/>
    <w:rsid w:val="00D06D87"/>
    <w:rsid w:val="00D06F5C"/>
    <w:rsid w:val="00D0700E"/>
    <w:rsid w:val="00D07021"/>
    <w:rsid w:val="00D0704C"/>
    <w:rsid w:val="00D0707F"/>
    <w:rsid w:val="00D07527"/>
    <w:rsid w:val="00D07585"/>
    <w:rsid w:val="00D0766F"/>
    <w:rsid w:val="00D07795"/>
    <w:rsid w:val="00D07AC8"/>
    <w:rsid w:val="00D07B21"/>
    <w:rsid w:val="00D07C55"/>
    <w:rsid w:val="00D07CB8"/>
    <w:rsid w:val="00D07D62"/>
    <w:rsid w:val="00D07DA6"/>
    <w:rsid w:val="00D07DAC"/>
    <w:rsid w:val="00D07E50"/>
    <w:rsid w:val="00D07EAA"/>
    <w:rsid w:val="00D100C8"/>
    <w:rsid w:val="00D10130"/>
    <w:rsid w:val="00D10248"/>
    <w:rsid w:val="00D103E1"/>
    <w:rsid w:val="00D1058D"/>
    <w:rsid w:val="00D1066E"/>
    <w:rsid w:val="00D107E0"/>
    <w:rsid w:val="00D1080D"/>
    <w:rsid w:val="00D1085A"/>
    <w:rsid w:val="00D108D7"/>
    <w:rsid w:val="00D109DE"/>
    <w:rsid w:val="00D10A67"/>
    <w:rsid w:val="00D10A8B"/>
    <w:rsid w:val="00D10A91"/>
    <w:rsid w:val="00D10C33"/>
    <w:rsid w:val="00D10D37"/>
    <w:rsid w:val="00D10DCC"/>
    <w:rsid w:val="00D10DF9"/>
    <w:rsid w:val="00D10DFF"/>
    <w:rsid w:val="00D110F2"/>
    <w:rsid w:val="00D1116F"/>
    <w:rsid w:val="00D11186"/>
    <w:rsid w:val="00D1128C"/>
    <w:rsid w:val="00D11331"/>
    <w:rsid w:val="00D113D5"/>
    <w:rsid w:val="00D11420"/>
    <w:rsid w:val="00D11469"/>
    <w:rsid w:val="00D114AA"/>
    <w:rsid w:val="00D114C7"/>
    <w:rsid w:val="00D1159E"/>
    <w:rsid w:val="00D117DE"/>
    <w:rsid w:val="00D1199E"/>
    <w:rsid w:val="00D119F3"/>
    <w:rsid w:val="00D11AF4"/>
    <w:rsid w:val="00D11B96"/>
    <w:rsid w:val="00D11BAC"/>
    <w:rsid w:val="00D11E41"/>
    <w:rsid w:val="00D12163"/>
    <w:rsid w:val="00D1232C"/>
    <w:rsid w:val="00D12342"/>
    <w:rsid w:val="00D12718"/>
    <w:rsid w:val="00D127D1"/>
    <w:rsid w:val="00D127D4"/>
    <w:rsid w:val="00D12986"/>
    <w:rsid w:val="00D1298B"/>
    <w:rsid w:val="00D12A7B"/>
    <w:rsid w:val="00D12B53"/>
    <w:rsid w:val="00D12B93"/>
    <w:rsid w:val="00D12C04"/>
    <w:rsid w:val="00D12D0C"/>
    <w:rsid w:val="00D12E30"/>
    <w:rsid w:val="00D12ED4"/>
    <w:rsid w:val="00D12F4C"/>
    <w:rsid w:val="00D13011"/>
    <w:rsid w:val="00D13015"/>
    <w:rsid w:val="00D13044"/>
    <w:rsid w:val="00D13121"/>
    <w:rsid w:val="00D132C8"/>
    <w:rsid w:val="00D13340"/>
    <w:rsid w:val="00D1335B"/>
    <w:rsid w:val="00D133F9"/>
    <w:rsid w:val="00D13407"/>
    <w:rsid w:val="00D1341A"/>
    <w:rsid w:val="00D1347B"/>
    <w:rsid w:val="00D1348B"/>
    <w:rsid w:val="00D135AA"/>
    <w:rsid w:val="00D13673"/>
    <w:rsid w:val="00D13906"/>
    <w:rsid w:val="00D13971"/>
    <w:rsid w:val="00D13A53"/>
    <w:rsid w:val="00D13AAA"/>
    <w:rsid w:val="00D13AE4"/>
    <w:rsid w:val="00D13AFC"/>
    <w:rsid w:val="00D13B58"/>
    <w:rsid w:val="00D13B6A"/>
    <w:rsid w:val="00D13CA0"/>
    <w:rsid w:val="00D13DCA"/>
    <w:rsid w:val="00D13F7A"/>
    <w:rsid w:val="00D13FA0"/>
    <w:rsid w:val="00D141EC"/>
    <w:rsid w:val="00D14225"/>
    <w:rsid w:val="00D1424A"/>
    <w:rsid w:val="00D1442F"/>
    <w:rsid w:val="00D1448D"/>
    <w:rsid w:val="00D145AC"/>
    <w:rsid w:val="00D145DF"/>
    <w:rsid w:val="00D1471C"/>
    <w:rsid w:val="00D147D4"/>
    <w:rsid w:val="00D1495C"/>
    <w:rsid w:val="00D14989"/>
    <w:rsid w:val="00D14991"/>
    <w:rsid w:val="00D14994"/>
    <w:rsid w:val="00D149BE"/>
    <w:rsid w:val="00D149F4"/>
    <w:rsid w:val="00D14A5C"/>
    <w:rsid w:val="00D14AF7"/>
    <w:rsid w:val="00D14DB7"/>
    <w:rsid w:val="00D14DD0"/>
    <w:rsid w:val="00D14DFB"/>
    <w:rsid w:val="00D14E29"/>
    <w:rsid w:val="00D14E2E"/>
    <w:rsid w:val="00D14F38"/>
    <w:rsid w:val="00D1503F"/>
    <w:rsid w:val="00D1523B"/>
    <w:rsid w:val="00D1533E"/>
    <w:rsid w:val="00D15357"/>
    <w:rsid w:val="00D153AB"/>
    <w:rsid w:val="00D15405"/>
    <w:rsid w:val="00D155B8"/>
    <w:rsid w:val="00D157B7"/>
    <w:rsid w:val="00D15880"/>
    <w:rsid w:val="00D1597B"/>
    <w:rsid w:val="00D159BC"/>
    <w:rsid w:val="00D15A1E"/>
    <w:rsid w:val="00D15B96"/>
    <w:rsid w:val="00D15BD3"/>
    <w:rsid w:val="00D15C9E"/>
    <w:rsid w:val="00D15CCB"/>
    <w:rsid w:val="00D15D83"/>
    <w:rsid w:val="00D15E9A"/>
    <w:rsid w:val="00D15FD0"/>
    <w:rsid w:val="00D15FEC"/>
    <w:rsid w:val="00D16085"/>
    <w:rsid w:val="00D16102"/>
    <w:rsid w:val="00D1613D"/>
    <w:rsid w:val="00D1616E"/>
    <w:rsid w:val="00D161AF"/>
    <w:rsid w:val="00D161D0"/>
    <w:rsid w:val="00D1624E"/>
    <w:rsid w:val="00D16271"/>
    <w:rsid w:val="00D1645C"/>
    <w:rsid w:val="00D16473"/>
    <w:rsid w:val="00D16515"/>
    <w:rsid w:val="00D165DB"/>
    <w:rsid w:val="00D16677"/>
    <w:rsid w:val="00D166E4"/>
    <w:rsid w:val="00D166EB"/>
    <w:rsid w:val="00D167E9"/>
    <w:rsid w:val="00D1684A"/>
    <w:rsid w:val="00D16986"/>
    <w:rsid w:val="00D169AF"/>
    <w:rsid w:val="00D16A09"/>
    <w:rsid w:val="00D16A14"/>
    <w:rsid w:val="00D16A41"/>
    <w:rsid w:val="00D16B11"/>
    <w:rsid w:val="00D16B33"/>
    <w:rsid w:val="00D16C72"/>
    <w:rsid w:val="00D16C9A"/>
    <w:rsid w:val="00D16DDB"/>
    <w:rsid w:val="00D1703C"/>
    <w:rsid w:val="00D17136"/>
    <w:rsid w:val="00D171C7"/>
    <w:rsid w:val="00D17245"/>
    <w:rsid w:val="00D172F2"/>
    <w:rsid w:val="00D173FF"/>
    <w:rsid w:val="00D17568"/>
    <w:rsid w:val="00D17580"/>
    <w:rsid w:val="00D17588"/>
    <w:rsid w:val="00D175C3"/>
    <w:rsid w:val="00D1762E"/>
    <w:rsid w:val="00D17637"/>
    <w:rsid w:val="00D1763C"/>
    <w:rsid w:val="00D1775B"/>
    <w:rsid w:val="00D1783E"/>
    <w:rsid w:val="00D178F2"/>
    <w:rsid w:val="00D17A1C"/>
    <w:rsid w:val="00D17ABE"/>
    <w:rsid w:val="00D17B81"/>
    <w:rsid w:val="00D17BF7"/>
    <w:rsid w:val="00D17F6C"/>
    <w:rsid w:val="00D20251"/>
    <w:rsid w:val="00D202D5"/>
    <w:rsid w:val="00D20304"/>
    <w:rsid w:val="00D20380"/>
    <w:rsid w:val="00D20381"/>
    <w:rsid w:val="00D203D6"/>
    <w:rsid w:val="00D20654"/>
    <w:rsid w:val="00D20666"/>
    <w:rsid w:val="00D2068F"/>
    <w:rsid w:val="00D206BC"/>
    <w:rsid w:val="00D20784"/>
    <w:rsid w:val="00D2079C"/>
    <w:rsid w:val="00D207EA"/>
    <w:rsid w:val="00D20801"/>
    <w:rsid w:val="00D20888"/>
    <w:rsid w:val="00D208C6"/>
    <w:rsid w:val="00D2095C"/>
    <w:rsid w:val="00D20A5B"/>
    <w:rsid w:val="00D20AEC"/>
    <w:rsid w:val="00D20C03"/>
    <w:rsid w:val="00D20C66"/>
    <w:rsid w:val="00D20F22"/>
    <w:rsid w:val="00D2109E"/>
    <w:rsid w:val="00D21166"/>
    <w:rsid w:val="00D2125B"/>
    <w:rsid w:val="00D212D7"/>
    <w:rsid w:val="00D2148D"/>
    <w:rsid w:val="00D214F2"/>
    <w:rsid w:val="00D2167E"/>
    <w:rsid w:val="00D2170F"/>
    <w:rsid w:val="00D218AD"/>
    <w:rsid w:val="00D218DE"/>
    <w:rsid w:val="00D218EC"/>
    <w:rsid w:val="00D2197C"/>
    <w:rsid w:val="00D219A5"/>
    <w:rsid w:val="00D219FC"/>
    <w:rsid w:val="00D21A4A"/>
    <w:rsid w:val="00D21A80"/>
    <w:rsid w:val="00D21B97"/>
    <w:rsid w:val="00D21C34"/>
    <w:rsid w:val="00D21D37"/>
    <w:rsid w:val="00D21DB1"/>
    <w:rsid w:val="00D21DE2"/>
    <w:rsid w:val="00D21DE8"/>
    <w:rsid w:val="00D21DEC"/>
    <w:rsid w:val="00D21E18"/>
    <w:rsid w:val="00D21E63"/>
    <w:rsid w:val="00D21EBC"/>
    <w:rsid w:val="00D220C0"/>
    <w:rsid w:val="00D220C5"/>
    <w:rsid w:val="00D220D2"/>
    <w:rsid w:val="00D220F1"/>
    <w:rsid w:val="00D22214"/>
    <w:rsid w:val="00D22246"/>
    <w:rsid w:val="00D222C3"/>
    <w:rsid w:val="00D2230C"/>
    <w:rsid w:val="00D22486"/>
    <w:rsid w:val="00D224B7"/>
    <w:rsid w:val="00D22536"/>
    <w:rsid w:val="00D22562"/>
    <w:rsid w:val="00D2259C"/>
    <w:rsid w:val="00D225E3"/>
    <w:rsid w:val="00D22703"/>
    <w:rsid w:val="00D2270E"/>
    <w:rsid w:val="00D22771"/>
    <w:rsid w:val="00D22857"/>
    <w:rsid w:val="00D22894"/>
    <w:rsid w:val="00D228E1"/>
    <w:rsid w:val="00D22941"/>
    <w:rsid w:val="00D22981"/>
    <w:rsid w:val="00D22A1B"/>
    <w:rsid w:val="00D22BCF"/>
    <w:rsid w:val="00D22DEE"/>
    <w:rsid w:val="00D22E63"/>
    <w:rsid w:val="00D22F20"/>
    <w:rsid w:val="00D22F39"/>
    <w:rsid w:val="00D230CC"/>
    <w:rsid w:val="00D2316D"/>
    <w:rsid w:val="00D23186"/>
    <w:rsid w:val="00D23271"/>
    <w:rsid w:val="00D23473"/>
    <w:rsid w:val="00D23682"/>
    <w:rsid w:val="00D237A3"/>
    <w:rsid w:val="00D238D9"/>
    <w:rsid w:val="00D23998"/>
    <w:rsid w:val="00D23B77"/>
    <w:rsid w:val="00D23BAC"/>
    <w:rsid w:val="00D23BBE"/>
    <w:rsid w:val="00D23D91"/>
    <w:rsid w:val="00D23DC5"/>
    <w:rsid w:val="00D23E86"/>
    <w:rsid w:val="00D23ED1"/>
    <w:rsid w:val="00D2408E"/>
    <w:rsid w:val="00D240A3"/>
    <w:rsid w:val="00D24132"/>
    <w:rsid w:val="00D24153"/>
    <w:rsid w:val="00D24166"/>
    <w:rsid w:val="00D241CE"/>
    <w:rsid w:val="00D24207"/>
    <w:rsid w:val="00D242D3"/>
    <w:rsid w:val="00D2434B"/>
    <w:rsid w:val="00D2434D"/>
    <w:rsid w:val="00D24377"/>
    <w:rsid w:val="00D2438B"/>
    <w:rsid w:val="00D24428"/>
    <w:rsid w:val="00D24547"/>
    <w:rsid w:val="00D2455F"/>
    <w:rsid w:val="00D245CA"/>
    <w:rsid w:val="00D2484D"/>
    <w:rsid w:val="00D2492E"/>
    <w:rsid w:val="00D2495F"/>
    <w:rsid w:val="00D2496A"/>
    <w:rsid w:val="00D24A32"/>
    <w:rsid w:val="00D24AFA"/>
    <w:rsid w:val="00D24B46"/>
    <w:rsid w:val="00D24C58"/>
    <w:rsid w:val="00D24D3A"/>
    <w:rsid w:val="00D24D3F"/>
    <w:rsid w:val="00D24D77"/>
    <w:rsid w:val="00D24DE4"/>
    <w:rsid w:val="00D24FD6"/>
    <w:rsid w:val="00D25014"/>
    <w:rsid w:val="00D251D7"/>
    <w:rsid w:val="00D251EE"/>
    <w:rsid w:val="00D25393"/>
    <w:rsid w:val="00D2549D"/>
    <w:rsid w:val="00D25656"/>
    <w:rsid w:val="00D25682"/>
    <w:rsid w:val="00D257BE"/>
    <w:rsid w:val="00D25919"/>
    <w:rsid w:val="00D25942"/>
    <w:rsid w:val="00D2599D"/>
    <w:rsid w:val="00D25A28"/>
    <w:rsid w:val="00D25AAD"/>
    <w:rsid w:val="00D25ACD"/>
    <w:rsid w:val="00D25BCD"/>
    <w:rsid w:val="00D25CEA"/>
    <w:rsid w:val="00D25D87"/>
    <w:rsid w:val="00D25DD6"/>
    <w:rsid w:val="00D25EED"/>
    <w:rsid w:val="00D260F9"/>
    <w:rsid w:val="00D26259"/>
    <w:rsid w:val="00D26316"/>
    <w:rsid w:val="00D2645B"/>
    <w:rsid w:val="00D26495"/>
    <w:rsid w:val="00D264B9"/>
    <w:rsid w:val="00D26552"/>
    <w:rsid w:val="00D2697D"/>
    <w:rsid w:val="00D26A04"/>
    <w:rsid w:val="00D26C18"/>
    <w:rsid w:val="00D26CFE"/>
    <w:rsid w:val="00D26D62"/>
    <w:rsid w:val="00D26E5C"/>
    <w:rsid w:val="00D26F9B"/>
    <w:rsid w:val="00D270CE"/>
    <w:rsid w:val="00D27280"/>
    <w:rsid w:val="00D27401"/>
    <w:rsid w:val="00D27448"/>
    <w:rsid w:val="00D27523"/>
    <w:rsid w:val="00D2755C"/>
    <w:rsid w:val="00D275BA"/>
    <w:rsid w:val="00D27667"/>
    <w:rsid w:val="00D276EA"/>
    <w:rsid w:val="00D276EF"/>
    <w:rsid w:val="00D27777"/>
    <w:rsid w:val="00D27914"/>
    <w:rsid w:val="00D27916"/>
    <w:rsid w:val="00D27AB0"/>
    <w:rsid w:val="00D27AD2"/>
    <w:rsid w:val="00D27AF0"/>
    <w:rsid w:val="00D27E1C"/>
    <w:rsid w:val="00D30126"/>
    <w:rsid w:val="00D301A6"/>
    <w:rsid w:val="00D30388"/>
    <w:rsid w:val="00D304A8"/>
    <w:rsid w:val="00D3060E"/>
    <w:rsid w:val="00D30684"/>
    <w:rsid w:val="00D308B3"/>
    <w:rsid w:val="00D30A01"/>
    <w:rsid w:val="00D30A7D"/>
    <w:rsid w:val="00D30B66"/>
    <w:rsid w:val="00D30BAA"/>
    <w:rsid w:val="00D30BD6"/>
    <w:rsid w:val="00D30BDC"/>
    <w:rsid w:val="00D30CBA"/>
    <w:rsid w:val="00D30DD1"/>
    <w:rsid w:val="00D30E43"/>
    <w:rsid w:val="00D30E9D"/>
    <w:rsid w:val="00D30EC8"/>
    <w:rsid w:val="00D31369"/>
    <w:rsid w:val="00D3144E"/>
    <w:rsid w:val="00D31571"/>
    <w:rsid w:val="00D316D2"/>
    <w:rsid w:val="00D317B9"/>
    <w:rsid w:val="00D31850"/>
    <w:rsid w:val="00D31878"/>
    <w:rsid w:val="00D3195B"/>
    <w:rsid w:val="00D31C12"/>
    <w:rsid w:val="00D31C1F"/>
    <w:rsid w:val="00D31D8D"/>
    <w:rsid w:val="00D31DB1"/>
    <w:rsid w:val="00D31DE9"/>
    <w:rsid w:val="00D31E54"/>
    <w:rsid w:val="00D31EF8"/>
    <w:rsid w:val="00D32152"/>
    <w:rsid w:val="00D3219B"/>
    <w:rsid w:val="00D32233"/>
    <w:rsid w:val="00D3228B"/>
    <w:rsid w:val="00D32468"/>
    <w:rsid w:val="00D3246C"/>
    <w:rsid w:val="00D3247F"/>
    <w:rsid w:val="00D325BD"/>
    <w:rsid w:val="00D32657"/>
    <w:rsid w:val="00D327E1"/>
    <w:rsid w:val="00D32928"/>
    <w:rsid w:val="00D329F1"/>
    <w:rsid w:val="00D32AE5"/>
    <w:rsid w:val="00D32B03"/>
    <w:rsid w:val="00D32BA2"/>
    <w:rsid w:val="00D32C0B"/>
    <w:rsid w:val="00D32C32"/>
    <w:rsid w:val="00D32CC1"/>
    <w:rsid w:val="00D32CE5"/>
    <w:rsid w:val="00D32D01"/>
    <w:rsid w:val="00D32D04"/>
    <w:rsid w:val="00D32D23"/>
    <w:rsid w:val="00D32DBD"/>
    <w:rsid w:val="00D32EB6"/>
    <w:rsid w:val="00D32EE1"/>
    <w:rsid w:val="00D32F05"/>
    <w:rsid w:val="00D32F06"/>
    <w:rsid w:val="00D32F5A"/>
    <w:rsid w:val="00D32FAA"/>
    <w:rsid w:val="00D3329A"/>
    <w:rsid w:val="00D33422"/>
    <w:rsid w:val="00D33535"/>
    <w:rsid w:val="00D336FF"/>
    <w:rsid w:val="00D3371B"/>
    <w:rsid w:val="00D33866"/>
    <w:rsid w:val="00D33950"/>
    <w:rsid w:val="00D33989"/>
    <w:rsid w:val="00D339D6"/>
    <w:rsid w:val="00D33AEA"/>
    <w:rsid w:val="00D33CF7"/>
    <w:rsid w:val="00D33D1F"/>
    <w:rsid w:val="00D33E0B"/>
    <w:rsid w:val="00D33E29"/>
    <w:rsid w:val="00D33F56"/>
    <w:rsid w:val="00D33FCF"/>
    <w:rsid w:val="00D34055"/>
    <w:rsid w:val="00D340B3"/>
    <w:rsid w:val="00D34178"/>
    <w:rsid w:val="00D34254"/>
    <w:rsid w:val="00D34317"/>
    <w:rsid w:val="00D343DF"/>
    <w:rsid w:val="00D343F4"/>
    <w:rsid w:val="00D34480"/>
    <w:rsid w:val="00D34509"/>
    <w:rsid w:val="00D345CA"/>
    <w:rsid w:val="00D345CD"/>
    <w:rsid w:val="00D345F6"/>
    <w:rsid w:val="00D3462F"/>
    <w:rsid w:val="00D34647"/>
    <w:rsid w:val="00D347CE"/>
    <w:rsid w:val="00D34909"/>
    <w:rsid w:val="00D34935"/>
    <w:rsid w:val="00D34943"/>
    <w:rsid w:val="00D349D4"/>
    <w:rsid w:val="00D34A24"/>
    <w:rsid w:val="00D34A75"/>
    <w:rsid w:val="00D34AE2"/>
    <w:rsid w:val="00D34B2C"/>
    <w:rsid w:val="00D34B83"/>
    <w:rsid w:val="00D34DD6"/>
    <w:rsid w:val="00D34F9F"/>
    <w:rsid w:val="00D350C7"/>
    <w:rsid w:val="00D3521E"/>
    <w:rsid w:val="00D3527D"/>
    <w:rsid w:val="00D35334"/>
    <w:rsid w:val="00D353E5"/>
    <w:rsid w:val="00D3547F"/>
    <w:rsid w:val="00D35624"/>
    <w:rsid w:val="00D35789"/>
    <w:rsid w:val="00D359BD"/>
    <w:rsid w:val="00D35A40"/>
    <w:rsid w:val="00D35BE2"/>
    <w:rsid w:val="00D35D13"/>
    <w:rsid w:val="00D36064"/>
    <w:rsid w:val="00D360DE"/>
    <w:rsid w:val="00D360E5"/>
    <w:rsid w:val="00D36184"/>
    <w:rsid w:val="00D361A6"/>
    <w:rsid w:val="00D361DA"/>
    <w:rsid w:val="00D362A3"/>
    <w:rsid w:val="00D36432"/>
    <w:rsid w:val="00D36499"/>
    <w:rsid w:val="00D364B9"/>
    <w:rsid w:val="00D3652F"/>
    <w:rsid w:val="00D36593"/>
    <w:rsid w:val="00D36700"/>
    <w:rsid w:val="00D367AE"/>
    <w:rsid w:val="00D368DF"/>
    <w:rsid w:val="00D3694C"/>
    <w:rsid w:val="00D36992"/>
    <w:rsid w:val="00D36A89"/>
    <w:rsid w:val="00D36AD0"/>
    <w:rsid w:val="00D36B0B"/>
    <w:rsid w:val="00D36B16"/>
    <w:rsid w:val="00D36B88"/>
    <w:rsid w:val="00D36C25"/>
    <w:rsid w:val="00D36CBA"/>
    <w:rsid w:val="00D36E42"/>
    <w:rsid w:val="00D36F8A"/>
    <w:rsid w:val="00D37052"/>
    <w:rsid w:val="00D370FE"/>
    <w:rsid w:val="00D3711F"/>
    <w:rsid w:val="00D374B1"/>
    <w:rsid w:val="00D37548"/>
    <w:rsid w:val="00D375A4"/>
    <w:rsid w:val="00D3760F"/>
    <w:rsid w:val="00D376CF"/>
    <w:rsid w:val="00D377C8"/>
    <w:rsid w:val="00D37856"/>
    <w:rsid w:val="00D37ACF"/>
    <w:rsid w:val="00D37C7E"/>
    <w:rsid w:val="00D37CD0"/>
    <w:rsid w:val="00D37CF5"/>
    <w:rsid w:val="00D37D07"/>
    <w:rsid w:val="00D37D6B"/>
    <w:rsid w:val="00D37EA7"/>
    <w:rsid w:val="00D37F2B"/>
    <w:rsid w:val="00D4000D"/>
    <w:rsid w:val="00D40020"/>
    <w:rsid w:val="00D4020C"/>
    <w:rsid w:val="00D4027C"/>
    <w:rsid w:val="00D40319"/>
    <w:rsid w:val="00D40335"/>
    <w:rsid w:val="00D4034B"/>
    <w:rsid w:val="00D40388"/>
    <w:rsid w:val="00D40426"/>
    <w:rsid w:val="00D404D6"/>
    <w:rsid w:val="00D4051C"/>
    <w:rsid w:val="00D4056F"/>
    <w:rsid w:val="00D405AC"/>
    <w:rsid w:val="00D405BD"/>
    <w:rsid w:val="00D40730"/>
    <w:rsid w:val="00D408E0"/>
    <w:rsid w:val="00D409EF"/>
    <w:rsid w:val="00D40ACF"/>
    <w:rsid w:val="00D40B3C"/>
    <w:rsid w:val="00D40BDF"/>
    <w:rsid w:val="00D40BF0"/>
    <w:rsid w:val="00D40DB9"/>
    <w:rsid w:val="00D40DBB"/>
    <w:rsid w:val="00D40DCF"/>
    <w:rsid w:val="00D40E2D"/>
    <w:rsid w:val="00D40E2E"/>
    <w:rsid w:val="00D40EEE"/>
    <w:rsid w:val="00D40FB4"/>
    <w:rsid w:val="00D410EA"/>
    <w:rsid w:val="00D411C2"/>
    <w:rsid w:val="00D415B3"/>
    <w:rsid w:val="00D41619"/>
    <w:rsid w:val="00D4162C"/>
    <w:rsid w:val="00D4165F"/>
    <w:rsid w:val="00D4197B"/>
    <w:rsid w:val="00D4198B"/>
    <w:rsid w:val="00D41AB6"/>
    <w:rsid w:val="00D41AED"/>
    <w:rsid w:val="00D41B50"/>
    <w:rsid w:val="00D41C2F"/>
    <w:rsid w:val="00D41D45"/>
    <w:rsid w:val="00D41D85"/>
    <w:rsid w:val="00D420EA"/>
    <w:rsid w:val="00D42373"/>
    <w:rsid w:val="00D4239B"/>
    <w:rsid w:val="00D42445"/>
    <w:rsid w:val="00D4247A"/>
    <w:rsid w:val="00D42527"/>
    <w:rsid w:val="00D42691"/>
    <w:rsid w:val="00D42876"/>
    <w:rsid w:val="00D428C9"/>
    <w:rsid w:val="00D42997"/>
    <w:rsid w:val="00D42A01"/>
    <w:rsid w:val="00D42C73"/>
    <w:rsid w:val="00D42D4C"/>
    <w:rsid w:val="00D42DE7"/>
    <w:rsid w:val="00D42E6C"/>
    <w:rsid w:val="00D42F9D"/>
    <w:rsid w:val="00D42FA2"/>
    <w:rsid w:val="00D4316B"/>
    <w:rsid w:val="00D43238"/>
    <w:rsid w:val="00D432B4"/>
    <w:rsid w:val="00D432E3"/>
    <w:rsid w:val="00D433B0"/>
    <w:rsid w:val="00D433BD"/>
    <w:rsid w:val="00D4352D"/>
    <w:rsid w:val="00D43559"/>
    <w:rsid w:val="00D43687"/>
    <w:rsid w:val="00D43824"/>
    <w:rsid w:val="00D439D4"/>
    <w:rsid w:val="00D43A29"/>
    <w:rsid w:val="00D43A5E"/>
    <w:rsid w:val="00D43A64"/>
    <w:rsid w:val="00D43B15"/>
    <w:rsid w:val="00D43B46"/>
    <w:rsid w:val="00D43BBD"/>
    <w:rsid w:val="00D43BFE"/>
    <w:rsid w:val="00D43C43"/>
    <w:rsid w:val="00D43CC9"/>
    <w:rsid w:val="00D4400F"/>
    <w:rsid w:val="00D44022"/>
    <w:rsid w:val="00D4403D"/>
    <w:rsid w:val="00D44107"/>
    <w:rsid w:val="00D4448E"/>
    <w:rsid w:val="00D4450A"/>
    <w:rsid w:val="00D44655"/>
    <w:rsid w:val="00D4470C"/>
    <w:rsid w:val="00D4471F"/>
    <w:rsid w:val="00D4474D"/>
    <w:rsid w:val="00D449D4"/>
    <w:rsid w:val="00D449EE"/>
    <w:rsid w:val="00D44B17"/>
    <w:rsid w:val="00D44CBA"/>
    <w:rsid w:val="00D44CE5"/>
    <w:rsid w:val="00D44D1F"/>
    <w:rsid w:val="00D44D2A"/>
    <w:rsid w:val="00D44E39"/>
    <w:rsid w:val="00D44EA2"/>
    <w:rsid w:val="00D44FD8"/>
    <w:rsid w:val="00D450DC"/>
    <w:rsid w:val="00D45199"/>
    <w:rsid w:val="00D451CC"/>
    <w:rsid w:val="00D45360"/>
    <w:rsid w:val="00D453A6"/>
    <w:rsid w:val="00D4558A"/>
    <w:rsid w:val="00D455CA"/>
    <w:rsid w:val="00D45645"/>
    <w:rsid w:val="00D4564B"/>
    <w:rsid w:val="00D45672"/>
    <w:rsid w:val="00D456C5"/>
    <w:rsid w:val="00D456E6"/>
    <w:rsid w:val="00D457D6"/>
    <w:rsid w:val="00D458B3"/>
    <w:rsid w:val="00D458B8"/>
    <w:rsid w:val="00D458CA"/>
    <w:rsid w:val="00D45954"/>
    <w:rsid w:val="00D45BA7"/>
    <w:rsid w:val="00D45BDD"/>
    <w:rsid w:val="00D45D19"/>
    <w:rsid w:val="00D45E44"/>
    <w:rsid w:val="00D45EC6"/>
    <w:rsid w:val="00D45F68"/>
    <w:rsid w:val="00D45FE9"/>
    <w:rsid w:val="00D4600E"/>
    <w:rsid w:val="00D4605C"/>
    <w:rsid w:val="00D460B2"/>
    <w:rsid w:val="00D46145"/>
    <w:rsid w:val="00D46288"/>
    <w:rsid w:val="00D46483"/>
    <w:rsid w:val="00D464AA"/>
    <w:rsid w:val="00D465A0"/>
    <w:rsid w:val="00D46611"/>
    <w:rsid w:val="00D46620"/>
    <w:rsid w:val="00D46952"/>
    <w:rsid w:val="00D46C99"/>
    <w:rsid w:val="00D46CB8"/>
    <w:rsid w:val="00D46D82"/>
    <w:rsid w:val="00D46D95"/>
    <w:rsid w:val="00D46E05"/>
    <w:rsid w:val="00D47174"/>
    <w:rsid w:val="00D47175"/>
    <w:rsid w:val="00D471AA"/>
    <w:rsid w:val="00D471C2"/>
    <w:rsid w:val="00D4724B"/>
    <w:rsid w:val="00D47294"/>
    <w:rsid w:val="00D472C6"/>
    <w:rsid w:val="00D472DA"/>
    <w:rsid w:val="00D47339"/>
    <w:rsid w:val="00D473D5"/>
    <w:rsid w:val="00D4745C"/>
    <w:rsid w:val="00D475C3"/>
    <w:rsid w:val="00D476ED"/>
    <w:rsid w:val="00D4775D"/>
    <w:rsid w:val="00D4778B"/>
    <w:rsid w:val="00D47858"/>
    <w:rsid w:val="00D4796B"/>
    <w:rsid w:val="00D479FF"/>
    <w:rsid w:val="00D47A47"/>
    <w:rsid w:val="00D47B0F"/>
    <w:rsid w:val="00D47B78"/>
    <w:rsid w:val="00D47D12"/>
    <w:rsid w:val="00D47D1D"/>
    <w:rsid w:val="00D47E0B"/>
    <w:rsid w:val="00D47ED2"/>
    <w:rsid w:val="00D47FAD"/>
    <w:rsid w:val="00D50224"/>
    <w:rsid w:val="00D5026A"/>
    <w:rsid w:val="00D503AC"/>
    <w:rsid w:val="00D50464"/>
    <w:rsid w:val="00D50479"/>
    <w:rsid w:val="00D50487"/>
    <w:rsid w:val="00D504E2"/>
    <w:rsid w:val="00D50566"/>
    <w:rsid w:val="00D506AA"/>
    <w:rsid w:val="00D50769"/>
    <w:rsid w:val="00D5077C"/>
    <w:rsid w:val="00D50B6F"/>
    <w:rsid w:val="00D50DA8"/>
    <w:rsid w:val="00D50EB7"/>
    <w:rsid w:val="00D50F8B"/>
    <w:rsid w:val="00D5104B"/>
    <w:rsid w:val="00D51106"/>
    <w:rsid w:val="00D5111A"/>
    <w:rsid w:val="00D512E4"/>
    <w:rsid w:val="00D5138C"/>
    <w:rsid w:val="00D513B5"/>
    <w:rsid w:val="00D513BE"/>
    <w:rsid w:val="00D51462"/>
    <w:rsid w:val="00D515B4"/>
    <w:rsid w:val="00D51756"/>
    <w:rsid w:val="00D5177A"/>
    <w:rsid w:val="00D5195F"/>
    <w:rsid w:val="00D519DE"/>
    <w:rsid w:val="00D51A25"/>
    <w:rsid w:val="00D51AFC"/>
    <w:rsid w:val="00D51B1F"/>
    <w:rsid w:val="00D51B8E"/>
    <w:rsid w:val="00D51E15"/>
    <w:rsid w:val="00D51F07"/>
    <w:rsid w:val="00D52027"/>
    <w:rsid w:val="00D52111"/>
    <w:rsid w:val="00D5220F"/>
    <w:rsid w:val="00D5226A"/>
    <w:rsid w:val="00D522E2"/>
    <w:rsid w:val="00D5234B"/>
    <w:rsid w:val="00D523EB"/>
    <w:rsid w:val="00D52438"/>
    <w:rsid w:val="00D524A0"/>
    <w:rsid w:val="00D52594"/>
    <w:rsid w:val="00D5260C"/>
    <w:rsid w:val="00D52649"/>
    <w:rsid w:val="00D52691"/>
    <w:rsid w:val="00D52721"/>
    <w:rsid w:val="00D5277E"/>
    <w:rsid w:val="00D52836"/>
    <w:rsid w:val="00D52A88"/>
    <w:rsid w:val="00D52B98"/>
    <w:rsid w:val="00D52BD1"/>
    <w:rsid w:val="00D52D53"/>
    <w:rsid w:val="00D52DAB"/>
    <w:rsid w:val="00D52E34"/>
    <w:rsid w:val="00D53155"/>
    <w:rsid w:val="00D53166"/>
    <w:rsid w:val="00D531E7"/>
    <w:rsid w:val="00D5328F"/>
    <w:rsid w:val="00D532BE"/>
    <w:rsid w:val="00D533EA"/>
    <w:rsid w:val="00D5357D"/>
    <w:rsid w:val="00D535A4"/>
    <w:rsid w:val="00D53646"/>
    <w:rsid w:val="00D5365B"/>
    <w:rsid w:val="00D53695"/>
    <w:rsid w:val="00D536AD"/>
    <w:rsid w:val="00D53774"/>
    <w:rsid w:val="00D53983"/>
    <w:rsid w:val="00D53AA4"/>
    <w:rsid w:val="00D53D92"/>
    <w:rsid w:val="00D53D94"/>
    <w:rsid w:val="00D53DD2"/>
    <w:rsid w:val="00D53E0D"/>
    <w:rsid w:val="00D53E1A"/>
    <w:rsid w:val="00D53E87"/>
    <w:rsid w:val="00D53EB7"/>
    <w:rsid w:val="00D53EF4"/>
    <w:rsid w:val="00D53F91"/>
    <w:rsid w:val="00D54022"/>
    <w:rsid w:val="00D540F2"/>
    <w:rsid w:val="00D541B9"/>
    <w:rsid w:val="00D541CA"/>
    <w:rsid w:val="00D5423F"/>
    <w:rsid w:val="00D54246"/>
    <w:rsid w:val="00D54373"/>
    <w:rsid w:val="00D5449C"/>
    <w:rsid w:val="00D544CF"/>
    <w:rsid w:val="00D54586"/>
    <w:rsid w:val="00D545AD"/>
    <w:rsid w:val="00D545BC"/>
    <w:rsid w:val="00D545CB"/>
    <w:rsid w:val="00D5460F"/>
    <w:rsid w:val="00D54622"/>
    <w:rsid w:val="00D54628"/>
    <w:rsid w:val="00D5470D"/>
    <w:rsid w:val="00D54710"/>
    <w:rsid w:val="00D547AC"/>
    <w:rsid w:val="00D547B9"/>
    <w:rsid w:val="00D5489B"/>
    <w:rsid w:val="00D54907"/>
    <w:rsid w:val="00D54A73"/>
    <w:rsid w:val="00D54B50"/>
    <w:rsid w:val="00D54E39"/>
    <w:rsid w:val="00D54E51"/>
    <w:rsid w:val="00D54E84"/>
    <w:rsid w:val="00D54EDF"/>
    <w:rsid w:val="00D54F00"/>
    <w:rsid w:val="00D54F2F"/>
    <w:rsid w:val="00D54F43"/>
    <w:rsid w:val="00D5507B"/>
    <w:rsid w:val="00D55183"/>
    <w:rsid w:val="00D551B3"/>
    <w:rsid w:val="00D551B8"/>
    <w:rsid w:val="00D55312"/>
    <w:rsid w:val="00D553D5"/>
    <w:rsid w:val="00D5548B"/>
    <w:rsid w:val="00D554A3"/>
    <w:rsid w:val="00D554F4"/>
    <w:rsid w:val="00D5555E"/>
    <w:rsid w:val="00D5556E"/>
    <w:rsid w:val="00D55699"/>
    <w:rsid w:val="00D55749"/>
    <w:rsid w:val="00D55C07"/>
    <w:rsid w:val="00D55CA8"/>
    <w:rsid w:val="00D55CF5"/>
    <w:rsid w:val="00D55D2E"/>
    <w:rsid w:val="00D55D3A"/>
    <w:rsid w:val="00D55DBA"/>
    <w:rsid w:val="00D55E24"/>
    <w:rsid w:val="00D55FA6"/>
    <w:rsid w:val="00D560D5"/>
    <w:rsid w:val="00D560E9"/>
    <w:rsid w:val="00D560FE"/>
    <w:rsid w:val="00D56113"/>
    <w:rsid w:val="00D56194"/>
    <w:rsid w:val="00D562BC"/>
    <w:rsid w:val="00D56363"/>
    <w:rsid w:val="00D56474"/>
    <w:rsid w:val="00D564CB"/>
    <w:rsid w:val="00D564EB"/>
    <w:rsid w:val="00D5651B"/>
    <w:rsid w:val="00D56551"/>
    <w:rsid w:val="00D565E3"/>
    <w:rsid w:val="00D5676A"/>
    <w:rsid w:val="00D567D2"/>
    <w:rsid w:val="00D5684F"/>
    <w:rsid w:val="00D56930"/>
    <w:rsid w:val="00D569D5"/>
    <w:rsid w:val="00D56A22"/>
    <w:rsid w:val="00D56B66"/>
    <w:rsid w:val="00D56C5E"/>
    <w:rsid w:val="00D56CA2"/>
    <w:rsid w:val="00D56CD6"/>
    <w:rsid w:val="00D56D49"/>
    <w:rsid w:val="00D56D5A"/>
    <w:rsid w:val="00D56E51"/>
    <w:rsid w:val="00D56ED4"/>
    <w:rsid w:val="00D570D6"/>
    <w:rsid w:val="00D571B6"/>
    <w:rsid w:val="00D571F8"/>
    <w:rsid w:val="00D5725F"/>
    <w:rsid w:val="00D573B5"/>
    <w:rsid w:val="00D57422"/>
    <w:rsid w:val="00D57447"/>
    <w:rsid w:val="00D57479"/>
    <w:rsid w:val="00D575A5"/>
    <w:rsid w:val="00D575FD"/>
    <w:rsid w:val="00D57756"/>
    <w:rsid w:val="00D577FB"/>
    <w:rsid w:val="00D5785A"/>
    <w:rsid w:val="00D578B5"/>
    <w:rsid w:val="00D578E0"/>
    <w:rsid w:val="00D579D9"/>
    <w:rsid w:val="00D57B02"/>
    <w:rsid w:val="00D57C30"/>
    <w:rsid w:val="00D57C49"/>
    <w:rsid w:val="00D57CEE"/>
    <w:rsid w:val="00D57D76"/>
    <w:rsid w:val="00D57F78"/>
    <w:rsid w:val="00D600C8"/>
    <w:rsid w:val="00D60191"/>
    <w:rsid w:val="00D601C6"/>
    <w:rsid w:val="00D601EA"/>
    <w:rsid w:val="00D60490"/>
    <w:rsid w:val="00D606DF"/>
    <w:rsid w:val="00D6077A"/>
    <w:rsid w:val="00D60872"/>
    <w:rsid w:val="00D608B7"/>
    <w:rsid w:val="00D60B43"/>
    <w:rsid w:val="00D60C16"/>
    <w:rsid w:val="00D60C5F"/>
    <w:rsid w:val="00D60E30"/>
    <w:rsid w:val="00D60EC6"/>
    <w:rsid w:val="00D6100D"/>
    <w:rsid w:val="00D61061"/>
    <w:rsid w:val="00D61092"/>
    <w:rsid w:val="00D6115D"/>
    <w:rsid w:val="00D6162A"/>
    <w:rsid w:val="00D61790"/>
    <w:rsid w:val="00D61995"/>
    <w:rsid w:val="00D61A85"/>
    <w:rsid w:val="00D61B3F"/>
    <w:rsid w:val="00D61D16"/>
    <w:rsid w:val="00D61DCC"/>
    <w:rsid w:val="00D61DED"/>
    <w:rsid w:val="00D61DEE"/>
    <w:rsid w:val="00D61E2C"/>
    <w:rsid w:val="00D61E50"/>
    <w:rsid w:val="00D61F09"/>
    <w:rsid w:val="00D6213B"/>
    <w:rsid w:val="00D6231A"/>
    <w:rsid w:val="00D623E8"/>
    <w:rsid w:val="00D62644"/>
    <w:rsid w:val="00D6267A"/>
    <w:rsid w:val="00D62821"/>
    <w:rsid w:val="00D628DF"/>
    <w:rsid w:val="00D62948"/>
    <w:rsid w:val="00D6294F"/>
    <w:rsid w:val="00D6296E"/>
    <w:rsid w:val="00D629AB"/>
    <w:rsid w:val="00D62A47"/>
    <w:rsid w:val="00D62CA7"/>
    <w:rsid w:val="00D62D1D"/>
    <w:rsid w:val="00D633DF"/>
    <w:rsid w:val="00D63527"/>
    <w:rsid w:val="00D63602"/>
    <w:rsid w:val="00D6362F"/>
    <w:rsid w:val="00D63647"/>
    <w:rsid w:val="00D636AE"/>
    <w:rsid w:val="00D637B2"/>
    <w:rsid w:val="00D638F2"/>
    <w:rsid w:val="00D6391E"/>
    <w:rsid w:val="00D63A07"/>
    <w:rsid w:val="00D63A82"/>
    <w:rsid w:val="00D63A99"/>
    <w:rsid w:val="00D63AAC"/>
    <w:rsid w:val="00D63ADD"/>
    <w:rsid w:val="00D63B0B"/>
    <w:rsid w:val="00D63B49"/>
    <w:rsid w:val="00D63BF4"/>
    <w:rsid w:val="00D63C07"/>
    <w:rsid w:val="00D63CB5"/>
    <w:rsid w:val="00D63CF3"/>
    <w:rsid w:val="00D63D85"/>
    <w:rsid w:val="00D63E2E"/>
    <w:rsid w:val="00D63ED6"/>
    <w:rsid w:val="00D63EF5"/>
    <w:rsid w:val="00D64003"/>
    <w:rsid w:val="00D64111"/>
    <w:rsid w:val="00D64161"/>
    <w:rsid w:val="00D6417C"/>
    <w:rsid w:val="00D641AE"/>
    <w:rsid w:val="00D6436F"/>
    <w:rsid w:val="00D64800"/>
    <w:rsid w:val="00D6485B"/>
    <w:rsid w:val="00D64AD7"/>
    <w:rsid w:val="00D64B20"/>
    <w:rsid w:val="00D64B27"/>
    <w:rsid w:val="00D64B6D"/>
    <w:rsid w:val="00D64BE9"/>
    <w:rsid w:val="00D64C1C"/>
    <w:rsid w:val="00D64C2F"/>
    <w:rsid w:val="00D64D11"/>
    <w:rsid w:val="00D64F2D"/>
    <w:rsid w:val="00D65000"/>
    <w:rsid w:val="00D65008"/>
    <w:rsid w:val="00D65143"/>
    <w:rsid w:val="00D65197"/>
    <w:rsid w:val="00D65204"/>
    <w:rsid w:val="00D652C1"/>
    <w:rsid w:val="00D65310"/>
    <w:rsid w:val="00D65343"/>
    <w:rsid w:val="00D65363"/>
    <w:rsid w:val="00D6541B"/>
    <w:rsid w:val="00D65452"/>
    <w:rsid w:val="00D6546E"/>
    <w:rsid w:val="00D654CD"/>
    <w:rsid w:val="00D654EE"/>
    <w:rsid w:val="00D657A3"/>
    <w:rsid w:val="00D657F2"/>
    <w:rsid w:val="00D657FD"/>
    <w:rsid w:val="00D658B4"/>
    <w:rsid w:val="00D65B76"/>
    <w:rsid w:val="00D65BD4"/>
    <w:rsid w:val="00D65C06"/>
    <w:rsid w:val="00D65CB5"/>
    <w:rsid w:val="00D65E75"/>
    <w:rsid w:val="00D65FC9"/>
    <w:rsid w:val="00D65FDA"/>
    <w:rsid w:val="00D66026"/>
    <w:rsid w:val="00D6604D"/>
    <w:rsid w:val="00D660BD"/>
    <w:rsid w:val="00D6611C"/>
    <w:rsid w:val="00D66178"/>
    <w:rsid w:val="00D661CF"/>
    <w:rsid w:val="00D66316"/>
    <w:rsid w:val="00D66406"/>
    <w:rsid w:val="00D664D0"/>
    <w:rsid w:val="00D66526"/>
    <w:rsid w:val="00D6667D"/>
    <w:rsid w:val="00D66751"/>
    <w:rsid w:val="00D667BE"/>
    <w:rsid w:val="00D668CA"/>
    <w:rsid w:val="00D6695C"/>
    <w:rsid w:val="00D6697D"/>
    <w:rsid w:val="00D669A1"/>
    <w:rsid w:val="00D669E7"/>
    <w:rsid w:val="00D66A4F"/>
    <w:rsid w:val="00D66A50"/>
    <w:rsid w:val="00D66BB6"/>
    <w:rsid w:val="00D66C4C"/>
    <w:rsid w:val="00D66DBA"/>
    <w:rsid w:val="00D66EBD"/>
    <w:rsid w:val="00D6736A"/>
    <w:rsid w:val="00D6739F"/>
    <w:rsid w:val="00D67416"/>
    <w:rsid w:val="00D67431"/>
    <w:rsid w:val="00D67457"/>
    <w:rsid w:val="00D67462"/>
    <w:rsid w:val="00D67644"/>
    <w:rsid w:val="00D6774D"/>
    <w:rsid w:val="00D67829"/>
    <w:rsid w:val="00D67991"/>
    <w:rsid w:val="00D679B5"/>
    <w:rsid w:val="00D67B38"/>
    <w:rsid w:val="00D67B5E"/>
    <w:rsid w:val="00D67B67"/>
    <w:rsid w:val="00D67C06"/>
    <w:rsid w:val="00D67CFE"/>
    <w:rsid w:val="00D67DF2"/>
    <w:rsid w:val="00D67ED7"/>
    <w:rsid w:val="00D67F95"/>
    <w:rsid w:val="00D702FB"/>
    <w:rsid w:val="00D70429"/>
    <w:rsid w:val="00D70455"/>
    <w:rsid w:val="00D70579"/>
    <w:rsid w:val="00D705AD"/>
    <w:rsid w:val="00D7073C"/>
    <w:rsid w:val="00D708D6"/>
    <w:rsid w:val="00D70998"/>
    <w:rsid w:val="00D70A98"/>
    <w:rsid w:val="00D70CE1"/>
    <w:rsid w:val="00D70DF5"/>
    <w:rsid w:val="00D70E8E"/>
    <w:rsid w:val="00D70FF8"/>
    <w:rsid w:val="00D711B0"/>
    <w:rsid w:val="00D712AD"/>
    <w:rsid w:val="00D71359"/>
    <w:rsid w:val="00D714B2"/>
    <w:rsid w:val="00D714F6"/>
    <w:rsid w:val="00D714F8"/>
    <w:rsid w:val="00D71576"/>
    <w:rsid w:val="00D7157D"/>
    <w:rsid w:val="00D7159A"/>
    <w:rsid w:val="00D715BA"/>
    <w:rsid w:val="00D715EA"/>
    <w:rsid w:val="00D717A8"/>
    <w:rsid w:val="00D71853"/>
    <w:rsid w:val="00D71862"/>
    <w:rsid w:val="00D7189C"/>
    <w:rsid w:val="00D71901"/>
    <w:rsid w:val="00D71942"/>
    <w:rsid w:val="00D71A7C"/>
    <w:rsid w:val="00D71AD1"/>
    <w:rsid w:val="00D71BA8"/>
    <w:rsid w:val="00D71C50"/>
    <w:rsid w:val="00D71DCA"/>
    <w:rsid w:val="00D71E0F"/>
    <w:rsid w:val="00D71E27"/>
    <w:rsid w:val="00D71FA0"/>
    <w:rsid w:val="00D71FCC"/>
    <w:rsid w:val="00D723C9"/>
    <w:rsid w:val="00D723EC"/>
    <w:rsid w:val="00D72482"/>
    <w:rsid w:val="00D724E9"/>
    <w:rsid w:val="00D72649"/>
    <w:rsid w:val="00D726CD"/>
    <w:rsid w:val="00D72795"/>
    <w:rsid w:val="00D72888"/>
    <w:rsid w:val="00D7290B"/>
    <w:rsid w:val="00D72917"/>
    <w:rsid w:val="00D729B3"/>
    <w:rsid w:val="00D729D5"/>
    <w:rsid w:val="00D72A84"/>
    <w:rsid w:val="00D72C2B"/>
    <w:rsid w:val="00D72CFE"/>
    <w:rsid w:val="00D72F70"/>
    <w:rsid w:val="00D730AF"/>
    <w:rsid w:val="00D731E3"/>
    <w:rsid w:val="00D732C3"/>
    <w:rsid w:val="00D734B0"/>
    <w:rsid w:val="00D735AC"/>
    <w:rsid w:val="00D7383F"/>
    <w:rsid w:val="00D738BA"/>
    <w:rsid w:val="00D73919"/>
    <w:rsid w:val="00D739A1"/>
    <w:rsid w:val="00D73A4C"/>
    <w:rsid w:val="00D73AAC"/>
    <w:rsid w:val="00D73AE8"/>
    <w:rsid w:val="00D73B2F"/>
    <w:rsid w:val="00D73C73"/>
    <w:rsid w:val="00D73C7B"/>
    <w:rsid w:val="00D73D5C"/>
    <w:rsid w:val="00D7400F"/>
    <w:rsid w:val="00D7408A"/>
    <w:rsid w:val="00D7418E"/>
    <w:rsid w:val="00D7443A"/>
    <w:rsid w:val="00D7448C"/>
    <w:rsid w:val="00D745C1"/>
    <w:rsid w:val="00D745CE"/>
    <w:rsid w:val="00D74677"/>
    <w:rsid w:val="00D746D0"/>
    <w:rsid w:val="00D746F3"/>
    <w:rsid w:val="00D74708"/>
    <w:rsid w:val="00D747A8"/>
    <w:rsid w:val="00D74851"/>
    <w:rsid w:val="00D7485B"/>
    <w:rsid w:val="00D7489F"/>
    <w:rsid w:val="00D748F3"/>
    <w:rsid w:val="00D74AF6"/>
    <w:rsid w:val="00D74B8C"/>
    <w:rsid w:val="00D74C1B"/>
    <w:rsid w:val="00D74C57"/>
    <w:rsid w:val="00D74C7B"/>
    <w:rsid w:val="00D74E2D"/>
    <w:rsid w:val="00D74FAE"/>
    <w:rsid w:val="00D74FFD"/>
    <w:rsid w:val="00D75040"/>
    <w:rsid w:val="00D7505A"/>
    <w:rsid w:val="00D750D7"/>
    <w:rsid w:val="00D750F5"/>
    <w:rsid w:val="00D751A3"/>
    <w:rsid w:val="00D752D1"/>
    <w:rsid w:val="00D752D7"/>
    <w:rsid w:val="00D75340"/>
    <w:rsid w:val="00D753D0"/>
    <w:rsid w:val="00D75474"/>
    <w:rsid w:val="00D7548B"/>
    <w:rsid w:val="00D7549D"/>
    <w:rsid w:val="00D7555B"/>
    <w:rsid w:val="00D755CA"/>
    <w:rsid w:val="00D75617"/>
    <w:rsid w:val="00D75673"/>
    <w:rsid w:val="00D7569A"/>
    <w:rsid w:val="00D756F7"/>
    <w:rsid w:val="00D75732"/>
    <w:rsid w:val="00D75744"/>
    <w:rsid w:val="00D7585B"/>
    <w:rsid w:val="00D75A2C"/>
    <w:rsid w:val="00D75AC1"/>
    <w:rsid w:val="00D75B94"/>
    <w:rsid w:val="00D75BBB"/>
    <w:rsid w:val="00D75BC1"/>
    <w:rsid w:val="00D75BD4"/>
    <w:rsid w:val="00D75C6F"/>
    <w:rsid w:val="00D75D00"/>
    <w:rsid w:val="00D75D1C"/>
    <w:rsid w:val="00D75D58"/>
    <w:rsid w:val="00D75F38"/>
    <w:rsid w:val="00D75FF3"/>
    <w:rsid w:val="00D7614F"/>
    <w:rsid w:val="00D761B4"/>
    <w:rsid w:val="00D761FF"/>
    <w:rsid w:val="00D76267"/>
    <w:rsid w:val="00D762B7"/>
    <w:rsid w:val="00D7638D"/>
    <w:rsid w:val="00D763A6"/>
    <w:rsid w:val="00D7644A"/>
    <w:rsid w:val="00D7645E"/>
    <w:rsid w:val="00D764FF"/>
    <w:rsid w:val="00D766CD"/>
    <w:rsid w:val="00D7671F"/>
    <w:rsid w:val="00D7675D"/>
    <w:rsid w:val="00D76925"/>
    <w:rsid w:val="00D7699A"/>
    <w:rsid w:val="00D769F1"/>
    <w:rsid w:val="00D76B52"/>
    <w:rsid w:val="00D76CA4"/>
    <w:rsid w:val="00D76D39"/>
    <w:rsid w:val="00D76DFA"/>
    <w:rsid w:val="00D76F5A"/>
    <w:rsid w:val="00D770AD"/>
    <w:rsid w:val="00D770DC"/>
    <w:rsid w:val="00D772B3"/>
    <w:rsid w:val="00D77322"/>
    <w:rsid w:val="00D77352"/>
    <w:rsid w:val="00D773D2"/>
    <w:rsid w:val="00D775E2"/>
    <w:rsid w:val="00D77626"/>
    <w:rsid w:val="00D77680"/>
    <w:rsid w:val="00D77A74"/>
    <w:rsid w:val="00D77AC9"/>
    <w:rsid w:val="00D77C42"/>
    <w:rsid w:val="00D77CFE"/>
    <w:rsid w:val="00D77DA2"/>
    <w:rsid w:val="00D77DBE"/>
    <w:rsid w:val="00D77DD3"/>
    <w:rsid w:val="00D77E17"/>
    <w:rsid w:val="00D77F77"/>
    <w:rsid w:val="00D80279"/>
    <w:rsid w:val="00D802B8"/>
    <w:rsid w:val="00D802EB"/>
    <w:rsid w:val="00D8031F"/>
    <w:rsid w:val="00D80499"/>
    <w:rsid w:val="00D804FC"/>
    <w:rsid w:val="00D805D0"/>
    <w:rsid w:val="00D80680"/>
    <w:rsid w:val="00D806A2"/>
    <w:rsid w:val="00D80768"/>
    <w:rsid w:val="00D8077B"/>
    <w:rsid w:val="00D807D8"/>
    <w:rsid w:val="00D809AE"/>
    <w:rsid w:val="00D80A74"/>
    <w:rsid w:val="00D80A8E"/>
    <w:rsid w:val="00D80AC6"/>
    <w:rsid w:val="00D80DA3"/>
    <w:rsid w:val="00D80E8C"/>
    <w:rsid w:val="00D80EC8"/>
    <w:rsid w:val="00D80F08"/>
    <w:rsid w:val="00D80F97"/>
    <w:rsid w:val="00D81001"/>
    <w:rsid w:val="00D8111A"/>
    <w:rsid w:val="00D81149"/>
    <w:rsid w:val="00D8128C"/>
    <w:rsid w:val="00D8134C"/>
    <w:rsid w:val="00D814A6"/>
    <w:rsid w:val="00D81543"/>
    <w:rsid w:val="00D81580"/>
    <w:rsid w:val="00D819A8"/>
    <w:rsid w:val="00D819AF"/>
    <w:rsid w:val="00D81A07"/>
    <w:rsid w:val="00D81ABE"/>
    <w:rsid w:val="00D81AE2"/>
    <w:rsid w:val="00D81B45"/>
    <w:rsid w:val="00D81B49"/>
    <w:rsid w:val="00D81B83"/>
    <w:rsid w:val="00D81BE7"/>
    <w:rsid w:val="00D81C81"/>
    <w:rsid w:val="00D81D43"/>
    <w:rsid w:val="00D81DF2"/>
    <w:rsid w:val="00D81E6D"/>
    <w:rsid w:val="00D820EB"/>
    <w:rsid w:val="00D82110"/>
    <w:rsid w:val="00D82150"/>
    <w:rsid w:val="00D82323"/>
    <w:rsid w:val="00D8240A"/>
    <w:rsid w:val="00D826A7"/>
    <w:rsid w:val="00D8272D"/>
    <w:rsid w:val="00D8281D"/>
    <w:rsid w:val="00D8283F"/>
    <w:rsid w:val="00D82842"/>
    <w:rsid w:val="00D8287C"/>
    <w:rsid w:val="00D828BD"/>
    <w:rsid w:val="00D828DD"/>
    <w:rsid w:val="00D82942"/>
    <w:rsid w:val="00D82988"/>
    <w:rsid w:val="00D8299A"/>
    <w:rsid w:val="00D829D9"/>
    <w:rsid w:val="00D82A66"/>
    <w:rsid w:val="00D82A6C"/>
    <w:rsid w:val="00D82B81"/>
    <w:rsid w:val="00D82BBB"/>
    <w:rsid w:val="00D82E9B"/>
    <w:rsid w:val="00D82EA3"/>
    <w:rsid w:val="00D82ED9"/>
    <w:rsid w:val="00D82FFD"/>
    <w:rsid w:val="00D830AF"/>
    <w:rsid w:val="00D831F3"/>
    <w:rsid w:val="00D83272"/>
    <w:rsid w:val="00D83277"/>
    <w:rsid w:val="00D832EB"/>
    <w:rsid w:val="00D83419"/>
    <w:rsid w:val="00D8346B"/>
    <w:rsid w:val="00D8347D"/>
    <w:rsid w:val="00D835C5"/>
    <w:rsid w:val="00D83616"/>
    <w:rsid w:val="00D836F5"/>
    <w:rsid w:val="00D837BA"/>
    <w:rsid w:val="00D838D9"/>
    <w:rsid w:val="00D83ADE"/>
    <w:rsid w:val="00D83C9D"/>
    <w:rsid w:val="00D83E2A"/>
    <w:rsid w:val="00D84024"/>
    <w:rsid w:val="00D842C7"/>
    <w:rsid w:val="00D84566"/>
    <w:rsid w:val="00D845B4"/>
    <w:rsid w:val="00D8461D"/>
    <w:rsid w:val="00D8472B"/>
    <w:rsid w:val="00D84974"/>
    <w:rsid w:val="00D84A04"/>
    <w:rsid w:val="00D84B21"/>
    <w:rsid w:val="00D84C83"/>
    <w:rsid w:val="00D84C8A"/>
    <w:rsid w:val="00D84D54"/>
    <w:rsid w:val="00D84F09"/>
    <w:rsid w:val="00D8501B"/>
    <w:rsid w:val="00D8508B"/>
    <w:rsid w:val="00D85099"/>
    <w:rsid w:val="00D850D0"/>
    <w:rsid w:val="00D851E9"/>
    <w:rsid w:val="00D853A1"/>
    <w:rsid w:val="00D854E7"/>
    <w:rsid w:val="00D85530"/>
    <w:rsid w:val="00D855F9"/>
    <w:rsid w:val="00D856CC"/>
    <w:rsid w:val="00D8574E"/>
    <w:rsid w:val="00D85863"/>
    <w:rsid w:val="00D858F2"/>
    <w:rsid w:val="00D85C19"/>
    <w:rsid w:val="00D85CFD"/>
    <w:rsid w:val="00D85D0A"/>
    <w:rsid w:val="00D85D6B"/>
    <w:rsid w:val="00D86007"/>
    <w:rsid w:val="00D8601F"/>
    <w:rsid w:val="00D860A8"/>
    <w:rsid w:val="00D861BE"/>
    <w:rsid w:val="00D861DD"/>
    <w:rsid w:val="00D862F4"/>
    <w:rsid w:val="00D8648E"/>
    <w:rsid w:val="00D8656F"/>
    <w:rsid w:val="00D8661F"/>
    <w:rsid w:val="00D86638"/>
    <w:rsid w:val="00D86652"/>
    <w:rsid w:val="00D866C6"/>
    <w:rsid w:val="00D8673E"/>
    <w:rsid w:val="00D86A63"/>
    <w:rsid w:val="00D86B6A"/>
    <w:rsid w:val="00D86B80"/>
    <w:rsid w:val="00D86BEE"/>
    <w:rsid w:val="00D86C7A"/>
    <w:rsid w:val="00D86DE1"/>
    <w:rsid w:val="00D86F52"/>
    <w:rsid w:val="00D86FC2"/>
    <w:rsid w:val="00D8700C"/>
    <w:rsid w:val="00D8712B"/>
    <w:rsid w:val="00D872F4"/>
    <w:rsid w:val="00D875F4"/>
    <w:rsid w:val="00D87685"/>
    <w:rsid w:val="00D876CA"/>
    <w:rsid w:val="00D87713"/>
    <w:rsid w:val="00D87792"/>
    <w:rsid w:val="00D87B80"/>
    <w:rsid w:val="00D87CA4"/>
    <w:rsid w:val="00D87CE2"/>
    <w:rsid w:val="00D87D0D"/>
    <w:rsid w:val="00D87D7C"/>
    <w:rsid w:val="00D87DCA"/>
    <w:rsid w:val="00D87EB0"/>
    <w:rsid w:val="00D87F03"/>
    <w:rsid w:val="00D87F67"/>
    <w:rsid w:val="00D87F96"/>
    <w:rsid w:val="00D9022F"/>
    <w:rsid w:val="00D903E8"/>
    <w:rsid w:val="00D9049F"/>
    <w:rsid w:val="00D90519"/>
    <w:rsid w:val="00D90549"/>
    <w:rsid w:val="00D90596"/>
    <w:rsid w:val="00D9059E"/>
    <w:rsid w:val="00D9062B"/>
    <w:rsid w:val="00D90640"/>
    <w:rsid w:val="00D906D9"/>
    <w:rsid w:val="00D9072A"/>
    <w:rsid w:val="00D90833"/>
    <w:rsid w:val="00D90844"/>
    <w:rsid w:val="00D90880"/>
    <w:rsid w:val="00D908A2"/>
    <w:rsid w:val="00D909FA"/>
    <w:rsid w:val="00D90A9F"/>
    <w:rsid w:val="00D90B0D"/>
    <w:rsid w:val="00D90B3A"/>
    <w:rsid w:val="00D90B88"/>
    <w:rsid w:val="00D90CA4"/>
    <w:rsid w:val="00D90E86"/>
    <w:rsid w:val="00D90E96"/>
    <w:rsid w:val="00D90F10"/>
    <w:rsid w:val="00D90FA9"/>
    <w:rsid w:val="00D90FCF"/>
    <w:rsid w:val="00D91206"/>
    <w:rsid w:val="00D9125C"/>
    <w:rsid w:val="00D9136F"/>
    <w:rsid w:val="00D913AC"/>
    <w:rsid w:val="00D914DA"/>
    <w:rsid w:val="00D915CA"/>
    <w:rsid w:val="00D915E5"/>
    <w:rsid w:val="00D9167F"/>
    <w:rsid w:val="00D917C1"/>
    <w:rsid w:val="00D91A88"/>
    <w:rsid w:val="00D91AC6"/>
    <w:rsid w:val="00D91B59"/>
    <w:rsid w:val="00D91B86"/>
    <w:rsid w:val="00D91C1F"/>
    <w:rsid w:val="00D91C20"/>
    <w:rsid w:val="00D91C67"/>
    <w:rsid w:val="00D91FFF"/>
    <w:rsid w:val="00D9246F"/>
    <w:rsid w:val="00D92538"/>
    <w:rsid w:val="00D92589"/>
    <w:rsid w:val="00D92634"/>
    <w:rsid w:val="00D926E1"/>
    <w:rsid w:val="00D928A4"/>
    <w:rsid w:val="00D928A6"/>
    <w:rsid w:val="00D929F7"/>
    <w:rsid w:val="00D92C6D"/>
    <w:rsid w:val="00D92C71"/>
    <w:rsid w:val="00D92C80"/>
    <w:rsid w:val="00D92CA5"/>
    <w:rsid w:val="00D92D16"/>
    <w:rsid w:val="00D92EF6"/>
    <w:rsid w:val="00D92F6F"/>
    <w:rsid w:val="00D92F97"/>
    <w:rsid w:val="00D93053"/>
    <w:rsid w:val="00D93168"/>
    <w:rsid w:val="00D931CF"/>
    <w:rsid w:val="00D93201"/>
    <w:rsid w:val="00D93254"/>
    <w:rsid w:val="00D93480"/>
    <w:rsid w:val="00D93557"/>
    <w:rsid w:val="00D935BB"/>
    <w:rsid w:val="00D9362F"/>
    <w:rsid w:val="00D93651"/>
    <w:rsid w:val="00D93864"/>
    <w:rsid w:val="00D938BD"/>
    <w:rsid w:val="00D93B67"/>
    <w:rsid w:val="00D93C3F"/>
    <w:rsid w:val="00D93D5D"/>
    <w:rsid w:val="00D93E57"/>
    <w:rsid w:val="00D93EE9"/>
    <w:rsid w:val="00D93FAD"/>
    <w:rsid w:val="00D940BB"/>
    <w:rsid w:val="00D94220"/>
    <w:rsid w:val="00D9429C"/>
    <w:rsid w:val="00D94343"/>
    <w:rsid w:val="00D94471"/>
    <w:rsid w:val="00D944BF"/>
    <w:rsid w:val="00D944FD"/>
    <w:rsid w:val="00D94540"/>
    <w:rsid w:val="00D94736"/>
    <w:rsid w:val="00D94845"/>
    <w:rsid w:val="00D948F2"/>
    <w:rsid w:val="00D94A7D"/>
    <w:rsid w:val="00D94B74"/>
    <w:rsid w:val="00D94B98"/>
    <w:rsid w:val="00D94BC7"/>
    <w:rsid w:val="00D94EFD"/>
    <w:rsid w:val="00D94F81"/>
    <w:rsid w:val="00D950BE"/>
    <w:rsid w:val="00D95109"/>
    <w:rsid w:val="00D951B9"/>
    <w:rsid w:val="00D951C5"/>
    <w:rsid w:val="00D951CC"/>
    <w:rsid w:val="00D95350"/>
    <w:rsid w:val="00D9539E"/>
    <w:rsid w:val="00D95402"/>
    <w:rsid w:val="00D95430"/>
    <w:rsid w:val="00D95647"/>
    <w:rsid w:val="00D9584F"/>
    <w:rsid w:val="00D95ABB"/>
    <w:rsid w:val="00D95AFF"/>
    <w:rsid w:val="00D95CF7"/>
    <w:rsid w:val="00D95DE2"/>
    <w:rsid w:val="00D95E10"/>
    <w:rsid w:val="00D9605F"/>
    <w:rsid w:val="00D96200"/>
    <w:rsid w:val="00D96248"/>
    <w:rsid w:val="00D96322"/>
    <w:rsid w:val="00D9632E"/>
    <w:rsid w:val="00D96372"/>
    <w:rsid w:val="00D963DC"/>
    <w:rsid w:val="00D964A2"/>
    <w:rsid w:val="00D964CA"/>
    <w:rsid w:val="00D96799"/>
    <w:rsid w:val="00D967B1"/>
    <w:rsid w:val="00D9699B"/>
    <w:rsid w:val="00D969F0"/>
    <w:rsid w:val="00D96B7C"/>
    <w:rsid w:val="00D96BAD"/>
    <w:rsid w:val="00D96C34"/>
    <w:rsid w:val="00D96C78"/>
    <w:rsid w:val="00D96CEC"/>
    <w:rsid w:val="00D96EF1"/>
    <w:rsid w:val="00D96F50"/>
    <w:rsid w:val="00D96FD0"/>
    <w:rsid w:val="00D97040"/>
    <w:rsid w:val="00D97199"/>
    <w:rsid w:val="00D97293"/>
    <w:rsid w:val="00D972A9"/>
    <w:rsid w:val="00D9734D"/>
    <w:rsid w:val="00D97437"/>
    <w:rsid w:val="00D974E0"/>
    <w:rsid w:val="00D9767B"/>
    <w:rsid w:val="00D978B3"/>
    <w:rsid w:val="00D978CA"/>
    <w:rsid w:val="00D97B7A"/>
    <w:rsid w:val="00D97BD8"/>
    <w:rsid w:val="00D97C59"/>
    <w:rsid w:val="00D97C86"/>
    <w:rsid w:val="00D97F45"/>
    <w:rsid w:val="00DA0069"/>
    <w:rsid w:val="00DA00D2"/>
    <w:rsid w:val="00DA019C"/>
    <w:rsid w:val="00DA0209"/>
    <w:rsid w:val="00DA027E"/>
    <w:rsid w:val="00DA03B0"/>
    <w:rsid w:val="00DA03C1"/>
    <w:rsid w:val="00DA03D5"/>
    <w:rsid w:val="00DA040E"/>
    <w:rsid w:val="00DA04B2"/>
    <w:rsid w:val="00DA051B"/>
    <w:rsid w:val="00DA05AC"/>
    <w:rsid w:val="00DA0626"/>
    <w:rsid w:val="00DA0672"/>
    <w:rsid w:val="00DA0793"/>
    <w:rsid w:val="00DA08D6"/>
    <w:rsid w:val="00DA0944"/>
    <w:rsid w:val="00DA0A4E"/>
    <w:rsid w:val="00DA0C01"/>
    <w:rsid w:val="00DA0E2A"/>
    <w:rsid w:val="00DA0E52"/>
    <w:rsid w:val="00DA0FE1"/>
    <w:rsid w:val="00DA109B"/>
    <w:rsid w:val="00DA1187"/>
    <w:rsid w:val="00DA1245"/>
    <w:rsid w:val="00DA12E3"/>
    <w:rsid w:val="00DA1755"/>
    <w:rsid w:val="00DA1974"/>
    <w:rsid w:val="00DA1A11"/>
    <w:rsid w:val="00DA1AFD"/>
    <w:rsid w:val="00DA1C82"/>
    <w:rsid w:val="00DA1C89"/>
    <w:rsid w:val="00DA1CCD"/>
    <w:rsid w:val="00DA1D4C"/>
    <w:rsid w:val="00DA1F5B"/>
    <w:rsid w:val="00DA2002"/>
    <w:rsid w:val="00DA2097"/>
    <w:rsid w:val="00DA211F"/>
    <w:rsid w:val="00DA21E2"/>
    <w:rsid w:val="00DA2212"/>
    <w:rsid w:val="00DA224A"/>
    <w:rsid w:val="00DA2326"/>
    <w:rsid w:val="00DA2327"/>
    <w:rsid w:val="00DA23BB"/>
    <w:rsid w:val="00DA25D5"/>
    <w:rsid w:val="00DA2701"/>
    <w:rsid w:val="00DA27B6"/>
    <w:rsid w:val="00DA2816"/>
    <w:rsid w:val="00DA2866"/>
    <w:rsid w:val="00DA28D9"/>
    <w:rsid w:val="00DA2C7B"/>
    <w:rsid w:val="00DA2D67"/>
    <w:rsid w:val="00DA2F6E"/>
    <w:rsid w:val="00DA3081"/>
    <w:rsid w:val="00DA3169"/>
    <w:rsid w:val="00DA31CD"/>
    <w:rsid w:val="00DA3288"/>
    <w:rsid w:val="00DA328B"/>
    <w:rsid w:val="00DA32FF"/>
    <w:rsid w:val="00DA333D"/>
    <w:rsid w:val="00DA3551"/>
    <w:rsid w:val="00DA35AE"/>
    <w:rsid w:val="00DA360F"/>
    <w:rsid w:val="00DA3620"/>
    <w:rsid w:val="00DA3624"/>
    <w:rsid w:val="00DA3693"/>
    <w:rsid w:val="00DA36B9"/>
    <w:rsid w:val="00DA36DB"/>
    <w:rsid w:val="00DA3928"/>
    <w:rsid w:val="00DA39B0"/>
    <w:rsid w:val="00DA3AB2"/>
    <w:rsid w:val="00DA3AD4"/>
    <w:rsid w:val="00DA3B67"/>
    <w:rsid w:val="00DA3BAB"/>
    <w:rsid w:val="00DA3CE8"/>
    <w:rsid w:val="00DA3CE9"/>
    <w:rsid w:val="00DA3F60"/>
    <w:rsid w:val="00DA3FA5"/>
    <w:rsid w:val="00DA40DD"/>
    <w:rsid w:val="00DA4160"/>
    <w:rsid w:val="00DA4278"/>
    <w:rsid w:val="00DA43B5"/>
    <w:rsid w:val="00DA4441"/>
    <w:rsid w:val="00DA4463"/>
    <w:rsid w:val="00DA4645"/>
    <w:rsid w:val="00DA4726"/>
    <w:rsid w:val="00DA4837"/>
    <w:rsid w:val="00DA4A81"/>
    <w:rsid w:val="00DA4AA8"/>
    <w:rsid w:val="00DA4AFE"/>
    <w:rsid w:val="00DA4C84"/>
    <w:rsid w:val="00DA4D2C"/>
    <w:rsid w:val="00DA4DFB"/>
    <w:rsid w:val="00DA4E1F"/>
    <w:rsid w:val="00DA4E27"/>
    <w:rsid w:val="00DA5077"/>
    <w:rsid w:val="00DA507A"/>
    <w:rsid w:val="00DA5102"/>
    <w:rsid w:val="00DA5207"/>
    <w:rsid w:val="00DA53BB"/>
    <w:rsid w:val="00DA54D9"/>
    <w:rsid w:val="00DA5514"/>
    <w:rsid w:val="00DA5548"/>
    <w:rsid w:val="00DA5686"/>
    <w:rsid w:val="00DA5847"/>
    <w:rsid w:val="00DA586F"/>
    <w:rsid w:val="00DA5977"/>
    <w:rsid w:val="00DA5997"/>
    <w:rsid w:val="00DA59B6"/>
    <w:rsid w:val="00DA5A12"/>
    <w:rsid w:val="00DA5B70"/>
    <w:rsid w:val="00DA5BB3"/>
    <w:rsid w:val="00DA5C35"/>
    <w:rsid w:val="00DA5D9F"/>
    <w:rsid w:val="00DA5E01"/>
    <w:rsid w:val="00DA5E31"/>
    <w:rsid w:val="00DA5EE6"/>
    <w:rsid w:val="00DA6016"/>
    <w:rsid w:val="00DA6052"/>
    <w:rsid w:val="00DA60BD"/>
    <w:rsid w:val="00DA60EF"/>
    <w:rsid w:val="00DA615A"/>
    <w:rsid w:val="00DA6282"/>
    <w:rsid w:val="00DA6598"/>
    <w:rsid w:val="00DA65B0"/>
    <w:rsid w:val="00DA65D0"/>
    <w:rsid w:val="00DA660E"/>
    <w:rsid w:val="00DA669F"/>
    <w:rsid w:val="00DA67D9"/>
    <w:rsid w:val="00DA697A"/>
    <w:rsid w:val="00DA6994"/>
    <w:rsid w:val="00DA6A86"/>
    <w:rsid w:val="00DA6AB0"/>
    <w:rsid w:val="00DA6B09"/>
    <w:rsid w:val="00DA6CA8"/>
    <w:rsid w:val="00DA6EB0"/>
    <w:rsid w:val="00DA6EEF"/>
    <w:rsid w:val="00DA6F33"/>
    <w:rsid w:val="00DA6FD7"/>
    <w:rsid w:val="00DA7009"/>
    <w:rsid w:val="00DA7022"/>
    <w:rsid w:val="00DA7093"/>
    <w:rsid w:val="00DA710A"/>
    <w:rsid w:val="00DA714F"/>
    <w:rsid w:val="00DA71AD"/>
    <w:rsid w:val="00DA7225"/>
    <w:rsid w:val="00DA7256"/>
    <w:rsid w:val="00DA72B2"/>
    <w:rsid w:val="00DA737D"/>
    <w:rsid w:val="00DA743B"/>
    <w:rsid w:val="00DA7507"/>
    <w:rsid w:val="00DA7542"/>
    <w:rsid w:val="00DA759E"/>
    <w:rsid w:val="00DA761A"/>
    <w:rsid w:val="00DA7669"/>
    <w:rsid w:val="00DA7722"/>
    <w:rsid w:val="00DA77C4"/>
    <w:rsid w:val="00DA77D2"/>
    <w:rsid w:val="00DA7818"/>
    <w:rsid w:val="00DA791C"/>
    <w:rsid w:val="00DA79C8"/>
    <w:rsid w:val="00DA7A60"/>
    <w:rsid w:val="00DA7C28"/>
    <w:rsid w:val="00DA7CD6"/>
    <w:rsid w:val="00DA7CF2"/>
    <w:rsid w:val="00DA7D76"/>
    <w:rsid w:val="00DA7F69"/>
    <w:rsid w:val="00DA7FCA"/>
    <w:rsid w:val="00DB0015"/>
    <w:rsid w:val="00DB006D"/>
    <w:rsid w:val="00DB0235"/>
    <w:rsid w:val="00DB0249"/>
    <w:rsid w:val="00DB0350"/>
    <w:rsid w:val="00DB038B"/>
    <w:rsid w:val="00DB0433"/>
    <w:rsid w:val="00DB062A"/>
    <w:rsid w:val="00DB06EB"/>
    <w:rsid w:val="00DB074E"/>
    <w:rsid w:val="00DB0766"/>
    <w:rsid w:val="00DB0910"/>
    <w:rsid w:val="00DB095F"/>
    <w:rsid w:val="00DB0960"/>
    <w:rsid w:val="00DB0961"/>
    <w:rsid w:val="00DB0A2C"/>
    <w:rsid w:val="00DB0BA0"/>
    <w:rsid w:val="00DB0C3A"/>
    <w:rsid w:val="00DB0CE0"/>
    <w:rsid w:val="00DB0D39"/>
    <w:rsid w:val="00DB0D4F"/>
    <w:rsid w:val="00DB0E55"/>
    <w:rsid w:val="00DB0E93"/>
    <w:rsid w:val="00DB0ED0"/>
    <w:rsid w:val="00DB0FFD"/>
    <w:rsid w:val="00DB1192"/>
    <w:rsid w:val="00DB13DA"/>
    <w:rsid w:val="00DB13E0"/>
    <w:rsid w:val="00DB13FC"/>
    <w:rsid w:val="00DB16E9"/>
    <w:rsid w:val="00DB1860"/>
    <w:rsid w:val="00DB1862"/>
    <w:rsid w:val="00DB18B1"/>
    <w:rsid w:val="00DB18C1"/>
    <w:rsid w:val="00DB1A06"/>
    <w:rsid w:val="00DB1A68"/>
    <w:rsid w:val="00DB1AA2"/>
    <w:rsid w:val="00DB1B1C"/>
    <w:rsid w:val="00DB1B3E"/>
    <w:rsid w:val="00DB1B49"/>
    <w:rsid w:val="00DB1B5E"/>
    <w:rsid w:val="00DB1BBB"/>
    <w:rsid w:val="00DB1C8C"/>
    <w:rsid w:val="00DB1CF7"/>
    <w:rsid w:val="00DB1D95"/>
    <w:rsid w:val="00DB1DA7"/>
    <w:rsid w:val="00DB1FEF"/>
    <w:rsid w:val="00DB2121"/>
    <w:rsid w:val="00DB2193"/>
    <w:rsid w:val="00DB21DA"/>
    <w:rsid w:val="00DB25EA"/>
    <w:rsid w:val="00DB264A"/>
    <w:rsid w:val="00DB2792"/>
    <w:rsid w:val="00DB27CC"/>
    <w:rsid w:val="00DB27F0"/>
    <w:rsid w:val="00DB294D"/>
    <w:rsid w:val="00DB29C4"/>
    <w:rsid w:val="00DB2B3F"/>
    <w:rsid w:val="00DB2BE8"/>
    <w:rsid w:val="00DB2EB7"/>
    <w:rsid w:val="00DB2F69"/>
    <w:rsid w:val="00DB2FEA"/>
    <w:rsid w:val="00DB3002"/>
    <w:rsid w:val="00DB3138"/>
    <w:rsid w:val="00DB339E"/>
    <w:rsid w:val="00DB34AD"/>
    <w:rsid w:val="00DB3622"/>
    <w:rsid w:val="00DB3644"/>
    <w:rsid w:val="00DB3656"/>
    <w:rsid w:val="00DB3750"/>
    <w:rsid w:val="00DB3802"/>
    <w:rsid w:val="00DB38AB"/>
    <w:rsid w:val="00DB39AF"/>
    <w:rsid w:val="00DB3BF2"/>
    <w:rsid w:val="00DB3D3B"/>
    <w:rsid w:val="00DB3D61"/>
    <w:rsid w:val="00DB3DA0"/>
    <w:rsid w:val="00DB3EB6"/>
    <w:rsid w:val="00DB404A"/>
    <w:rsid w:val="00DB40F9"/>
    <w:rsid w:val="00DB4118"/>
    <w:rsid w:val="00DB412B"/>
    <w:rsid w:val="00DB4147"/>
    <w:rsid w:val="00DB419F"/>
    <w:rsid w:val="00DB4256"/>
    <w:rsid w:val="00DB4268"/>
    <w:rsid w:val="00DB42C3"/>
    <w:rsid w:val="00DB43C0"/>
    <w:rsid w:val="00DB43DC"/>
    <w:rsid w:val="00DB440D"/>
    <w:rsid w:val="00DB445B"/>
    <w:rsid w:val="00DB4683"/>
    <w:rsid w:val="00DB4684"/>
    <w:rsid w:val="00DB4858"/>
    <w:rsid w:val="00DB4927"/>
    <w:rsid w:val="00DB4937"/>
    <w:rsid w:val="00DB4B06"/>
    <w:rsid w:val="00DB4E04"/>
    <w:rsid w:val="00DB4F78"/>
    <w:rsid w:val="00DB4FAE"/>
    <w:rsid w:val="00DB500B"/>
    <w:rsid w:val="00DB5136"/>
    <w:rsid w:val="00DB51C6"/>
    <w:rsid w:val="00DB51E3"/>
    <w:rsid w:val="00DB5377"/>
    <w:rsid w:val="00DB53AF"/>
    <w:rsid w:val="00DB56CC"/>
    <w:rsid w:val="00DB5783"/>
    <w:rsid w:val="00DB586E"/>
    <w:rsid w:val="00DB58DE"/>
    <w:rsid w:val="00DB5C0D"/>
    <w:rsid w:val="00DB5D66"/>
    <w:rsid w:val="00DB5DB0"/>
    <w:rsid w:val="00DB5DD8"/>
    <w:rsid w:val="00DB5E48"/>
    <w:rsid w:val="00DB5FF6"/>
    <w:rsid w:val="00DB6023"/>
    <w:rsid w:val="00DB6181"/>
    <w:rsid w:val="00DB628E"/>
    <w:rsid w:val="00DB65D3"/>
    <w:rsid w:val="00DB6694"/>
    <w:rsid w:val="00DB66D0"/>
    <w:rsid w:val="00DB67C3"/>
    <w:rsid w:val="00DB67C5"/>
    <w:rsid w:val="00DB6838"/>
    <w:rsid w:val="00DB68BE"/>
    <w:rsid w:val="00DB6928"/>
    <w:rsid w:val="00DB6989"/>
    <w:rsid w:val="00DB6A1C"/>
    <w:rsid w:val="00DB6B99"/>
    <w:rsid w:val="00DB6C01"/>
    <w:rsid w:val="00DB6C15"/>
    <w:rsid w:val="00DB6C5C"/>
    <w:rsid w:val="00DB6D14"/>
    <w:rsid w:val="00DB6DF7"/>
    <w:rsid w:val="00DB6E8F"/>
    <w:rsid w:val="00DB6F90"/>
    <w:rsid w:val="00DB6FC9"/>
    <w:rsid w:val="00DB70AC"/>
    <w:rsid w:val="00DB7128"/>
    <w:rsid w:val="00DB7200"/>
    <w:rsid w:val="00DB735D"/>
    <w:rsid w:val="00DB7378"/>
    <w:rsid w:val="00DB73DD"/>
    <w:rsid w:val="00DB73F6"/>
    <w:rsid w:val="00DB7437"/>
    <w:rsid w:val="00DB74CC"/>
    <w:rsid w:val="00DB754C"/>
    <w:rsid w:val="00DB75AE"/>
    <w:rsid w:val="00DB7776"/>
    <w:rsid w:val="00DB7946"/>
    <w:rsid w:val="00DB797B"/>
    <w:rsid w:val="00DB79D5"/>
    <w:rsid w:val="00DB7A18"/>
    <w:rsid w:val="00DB7A41"/>
    <w:rsid w:val="00DB7A45"/>
    <w:rsid w:val="00DB7BCB"/>
    <w:rsid w:val="00DB7BD8"/>
    <w:rsid w:val="00DB7C11"/>
    <w:rsid w:val="00DB7CA4"/>
    <w:rsid w:val="00DB7CC0"/>
    <w:rsid w:val="00DB7DB1"/>
    <w:rsid w:val="00DB7DFF"/>
    <w:rsid w:val="00DB7F73"/>
    <w:rsid w:val="00DC003D"/>
    <w:rsid w:val="00DC00C0"/>
    <w:rsid w:val="00DC0178"/>
    <w:rsid w:val="00DC02AF"/>
    <w:rsid w:val="00DC0384"/>
    <w:rsid w:val="00DC0472"/>
    <w:rsid w:val="00DC0499"/>
    <w:rsid w:val="00DC052F"/>
    <w:rsid w:val="00DC0731"/>
    <w:rsid w:val="00DC075B"/>
    <w:rsid w:val="00DC0766"/>
    <w:rsid w:val="00DC07AF"/>
    <w:rsid w:val="00DC0868"/>
    <w:rsid w:val="00DC0975"/>
    <w:rsid w:val="00DC09ED"/>
    <w:rsid w:val="00DC0BA8"/>
    <w:rsid w:val="00DC0C8A"/>
    <w:rsid w:val="00DC0D0C"/>
    <w:rsid w:val="00DC0D4A"/>
    <w:rsid w:val="00DC0E9A"/>
    <w:rsid w:val="00DC104B"/>
    <w:rsid w:val="00DC1228"/>
    <w:rsid w:val="00DC125F"/>
    <w:rsid w:val="00DC1301"/>
    <w:rsid w:val="00DC130A"/>
    <w:rsid w:val="00DC137B"/>
    <w:rsid w:val="00DC1486"/>
    <w:rsid w:val="00DC14E1"/>
    <w:rsid w:val="00DC1581"/>
    <w:rsid w:val="00DC167C"/>
    <w:rsid w:val="00DC17C3"/>
    <w:rsid w:val="00DC18BC"/>
    <w:rsid w:val="00DC18BE"/>
    <w:rsid w:val="00DC1931"/>
    <w:rsid w:val="00DC1A91"/>
    <w:rsid w:val="00DC1BA5"/>
    <w:rsid w:val="00DC1BA6"/>
    <w:rsid w:val="00DC1BDE"/>
    <w:rsid w:val="00DC1D42"/>
    <w:rsid w:val="00DC1D7B"/>
    <w:rsid w:val="00DC1DA4"/>
    <w:rsid w:val="00DC1F38"/>
    <w:rsid w:val="00DC1F3C"/>
    <w:rsid w:val="00DC1FD1"/>
    <w:rsid w:val="00DC204D"/>
    <w:rsid w:val="00DC2119"/>
    <w:rsid w:val="00DC21B6"/>
    <w:rsid w:val="00DC23B7"/>
    <w:rsid w:val="00DC2405"/>
    <w:rsid w:val="00DC2663"/>
    <w:rsid w:val="00DC2696"/>
    <w:rsid w:val="00DC26F6"/>
    <w:rsid w:val="00DC2758"/>
    <w:rsid w:val="00DC2762"/>
    <w:rsid w:val="00DC2791"/>
    <w:rsid w:val="00DC27BC"/>
    <w:rsid w:val="00DC2804"/>
    <w:rsid w:val="00DC2863"/>
    <w:rsid w:val="00DC29DD"/>
    <w:rsid w:val="00DC2A0B"/>
    <w:rsid w:val="00DC2A40"/>
    <w:rsid w:val="00DC2A5B"/>
    <w:rsid w:val="00DC2A60"/>
    <w:rsid w:val="00DC2CAE"/>
    <w:rsid w:val="00DC2F6E"/>
    <w:rsid w:val="00DC2FCD"/>
    <w:rsid w:val="00DC3047"/>
    <w:rsid w:val="00DC30C0"/>
    <w:rsid w:val="00DC3106"/>
    <w:rsid w:val="00DC31AB"/>
    <w:rsid w:val="00DC3222"/>
    <w:rsid w:val="00DC3564"/>
    <w:rsid w:val="00DC35DC"/>
    <w:rsid w:val="00DC35E4"/>
    <w:rsid w:val="00DC367C"/>
    <w:rsid w:val="00DC374D"/>
    <w:rsid w:val="00DC3886"/>
    <w:rsid w:val="00DC3928"/>
    <w:rsid w:val="00DC399D"/>
    <w:rsid w:val="00DC39BF"/>
    <w:rsid w:val="00DC39E2"/>
    <w:rsid w:val="00DC3A39"/>
    <w:rsid w:val="00DC3B6F"/>
    <w:rsid w:val="00DC3D14"/>
    <w:rsid w:val="00DC3D96"/>
    <w:rsid w:val="00DC3DBC"/>
    <w:rsid w:val="00DC41D4"/>
    <w:rsid w:val="00DC4235"/>
    <w:rsid w:val="00DC4261"/>
    <w:rsid w:val="00DC4303"/>
    <w:rsid w:val="00DC434C"/>
    <w:rsid w:val="00DC44A3"/>
    <w:rsid w:val="00DC4534"/>
    <w:rsid w:val="00DC45C0"/>
    <w:rsid w:val="00DC45CF"/>
    <w:rsid w:val="00DC464B"/>
    <w:rsid w:val="00DC4760"/>
    <w:rsid w:val="00DC47A6"/>
    <w:rsid w:val="00DC48FE"/>
    <w:rsid w:val="00DC49FA"/>
    <w:rsid w:val="00DC4A3E"/>
    <w:rsid w:val="00DC4ADB"/>
    <w:rsid w:val="00DC4AE5"/>
    <w:rsid w:val="00DC4C93"/>
    <w:rsid w:val="00DC4EA4"/>
    <w:rsid w:val="00DC5029"/>
    <w:rsid w:val="00DC50E9"/>
    <w:rsid w:val="00DC5209"/>
    <w:rsid w:val="00DC5227"/>
    <w:rsid w:val="00DC53D6"/>
    <w:rsid w:val="00DC5473"/>
    <w:rsid w:val="00DC55C2"/>
    <w:rsid w:val="00DC5660"/>
    <w:rsid w:val="00DC5702"/>
    <w:rsid w:val="00DC57C5"/>
    <w:rsid w:val="00DC5851"/>
    <w:rsid w:val="00DC5879"/>
    <w:rsid w:val="00DC58CE"/>
    <w:rsid w:val="00DC5990"/>
    <w:rsid w:val="00DC5A84"/>
    <w:rsid w:val="00DC5AF7"/>
    <w:rsid w:val="00DC5B25"/>
    <w:rsid w:val="00DC5B35"/>
    <w:rsid w:val="00DC5B85"/>
    <w:rsid w:val="00DC5C75"/>
    <w:rsid w:val="00DC5CF9"/>
    <w:rsid w:val="00DC5D89"/>
    <w:rsid w:val="00DC5DCB"/>
    <w:rsid w:val="00DC5E3A"/>
    <w:rsid w:val="00DC6019"/>
    <w:rsid w:val="00DC60A7"/>
    <w:rsid w:val="00DC61F5"/>
    <w:rsid w:val="00DC6298"/>
    <w:rsid w:val="00DC65FF"/>
    <w:rsid w:val="00DC6665"/>
    <w:rsid w:val="00DC6673"/>
    <w:rsid w:val="00DC6680"/>
    <w:rsid w:val="00DC66CD"/>
    <w:rsid w:val="00DC67B0"/>
    <w:rsid w:val="00DC6836"/>
    <w:rsid w:val="00DC691D"/>
    <w:rsid w:val="00DC699A"/>
    <w:rsid w:val="00DC6B02"/>
    <w:rsid w:val="00DC6B5F"/>
    <w:rsid w:val="00DC6D5C"/>
    <w:rsid w:val="00DC6DC9"/>
    <w:rsid w:val="00DC6DF9"/>
    <w:rsid w:val="00DC6F7F"/>
    <w:rsid w:val="00DC6FBC"/>
    <w:rsid w:val="00DC7032"/>
    <w:rsid w:val="00DC7101"/>
    <w:rsid w:val="00DC710C"/>
    <w:rsid w:val="00DC7185"/>
    <w:rsid w:val="00DC7236"/>
    <w:rsid w:val="00DC734F"/>
    <w:rsid w:val="00DC7362"/>
    <w:rsid w:val="00DC751E"/>
    <w:rsid w:val="00DC7557"/>
    <w:rsid w:val="00DC75A4"/>
    <w:rsid w:val="00DC78C7"/>
    <w:rsid w:val="00DC78EF"/>
    <w:rsid w:val="00DC7951"/>
    <w:rsid w:val="00DC79EB"/>
    <w:rsid w:val="00DC7AB3"/>
    <w:rsid w:val="00DC7BCB"/>
    <w:rsid w:val="00DC7CE6"/>
    <w:rsid w:val="00DC7D7C"/>
    <w:rsid w:val="00DC7DAC"/>
    <w:rsid w:val="00DC7F28"/>
    <w:rsid w:val="00DD00A0"/>
    <w:rsid w:val="00DD00EC"/>
    <w:rsid w:val="00DD011E"/>
    <w:rsid w:val="00DD02E7"/>
    <w:rsid w:val="00DD030E"/>
    <w:rsid w:val="00DD0376"/>
    <w:rsid w:val="00DD03B6"/>
    <w:rsid w:val="00DD0497"/>
    <w:rsid w:val="00DD054B"/>
    <w:rsid w:val="00DD0623"/>
    <w:rsid w:val="00DD068A"/>
    <w:rsid w:val="00DD0739"/>
    <w:rsid w:val="00DD07F7"/>
    <w:rsid w:val="00DD0834"/>
    <w:rsid w:val="00DD0939"/>
    <w:rsid w:val="00DD09E9"/>
    <w:rsid w:val="00DD0A54"/>
    <w:rsid w:val="00DD0BA6"/>
    <w:rsid w:val="00DD0C6D"/>
    <w:rsid w:val="00DD0CEB"/>
    <w:rsid w:val="00DD0D09"/>
    <w:rsid w:val="00DD0F51"/>
    <w:rsid w:val="00DD0FB1"/>
    <w:rsid w:val="00DD1034"/>
    <w:rsid w:val="00DD104F"/>
    <w:rsid w:val="00DD10CA"/>
    <w:rsid w:val="00DD112F"/>
    <w:rsid w:val="00DD1454"/>
    <w:rsid w:val="00DD1510"/>
    <w:rsid w:val="00DD15AA"/>
    <w:rsid w:val="00DD15D7"/>
    <w:rsid w:val="00DD171C"/>
    <w:rsid w:val="00DD185F"/>
    <w:rsid w:val="00DD19D3"/>
    <w:rsid w:val="00DD1A44"/>
    <w:rsid w:val="00DD1B48"/>
    <w:rsid w:val="00DD1BF0"/>
    <w:rsid w:val="00DD1F69"/>
    <w:rsid w:val="00DD1F9C"/>
    <w:rsid w:val="00DD20B3"/>
    <w:rsid w:val="00DD2473"/>
    <w:rsid w:val="00DD2584"/>
    <w:rsid w:val="00DD26EE"/>
    <w:rsid w:val="00DD2755"/>
    <w:rsid w:val="00DD2868"/>
    <w:rsid w:val="00DD29C7"/>
    <w:rsid w:val="00DD2A71"/>
    <w:rsid w:val="00DD2A7F"/>
    <w:rsid w:val="00DD2AE6"/>
    <w:rsid w:val="00DD2B3F"/>
    <w:rsid w:val="00DD2CA7"/>
    <w:rsid w:val="00DD2CAC"/>
    <w:rsid w:val="00DD2CD6"/>
    <w:rsid w:val="00DD2E72"/>
    <w:rsid w:val="00DD2FA2"/>
    <w:rsid w:val="00DD30B9"/>
    <w:rsid w:val="00DD30BE"/>
    <w:rsid w:val="00DD3122"/>
    <w:rsid w:val="00DD333B"/>
    <w:rsid w:val="00DD3470"/>
    <w:rsid w:val="00DD34F0"/>
    <w:rsid w:val="00DD3589"/>
    <w:rsid w:val="00DD35FF"/>
    <w:rsid w:val="00DD3673"/>
    <w:rsid w:val="00DD37DD"/>
    <w:rsid w:val="00DD383E"/>
    <w:rsid w:val="00DD3948"/>
    <w:rsid w:val="00DD394A"/>
    <w:rsid w:val="00DD3955"/>
    <w:rsid w:val="00DD3956"/>
    <w:rsid w:val="00DD3A41"/>
    <w:rsid w:val="00DD3ABC"/>
    <w:rsid w:val="00DD3BB0"/>
    <w:rsid w:val="00DD3BBC"/>
    <w:rsid w:val="00DD3BEB"/>
    <w:rsid w:val="00DD3CCA"/>
    <w:rsid w:val="00DD3D8D"/>
    <w:rsid w:val="00DD3DB4"/>
    <w:rsid w:val="00DD3E34"/>
    <w:rsid w:val="00DD3E62"/>
    <w:rsid w:val="00DD3F3E"/>
    <w:rsid w:val="00DD3F97"/>
    <w:rsid w:val="00DD404B"/>
    <w:rsid w:val="00DD4133"/>
    <w:rsid w:val="00DD44C9"/>
    <w:rsid w:val="00DD4505"/>
    <w:rsid w:val="00DD45C3"/>
    <w:rsid w:val="00DD4790"/>
    <w:rsid w:val="00DD4800"/>
    <w:rsid w:val="00DD4809"/>
    <w:rsid w:val="00DD483C"/>
    <w:rsid w:val="00DD48C7"/>
    <w:rsid w:val="00DD4A5C"/>
    <w:rsid w:val="00DD4AFA"/>
    <w:rsid w:val="00DD4B4B"/>
    <w:rsid w:val="00DD4B52"/>
    <w:rsid w:val="00DD4C5C"/>
    <w:rsid w:val="00DD4C86"/>
    <w:rsid w:val="00DD4D5D"/>
    <w:rsid w:val="00DD4DC6"/>
    <w:rsid w:val="00DD4F52"/>
    <w:rsid w:val="00DD4FCF"/>
    <w:rsid w:val="00DD4FE6"/>
    <w:rsid w:val="00DD4FE7"/>
    <w:rsid w:val="00DD5126"/>
    <w:rsid w:val="00DD519D"/>
    <w:rsid w:val="00DD51FC"/>
    <w:rsid w:val="00DD51FD"/>
    <w:rsid w:val="00DD541D"/>
    <w:rsid w:val="00DD54CA"/>
    <w:rsid w:val="00DD5707"/>
    <w:rsid w:val="00DD57E9"/>
    <w:rsid w:val="00DD5809"/>
    <w:rsid w:val="00DD58E1"/>
    <w:rsid w:val="00DD5930"/>
    <w:rsid w:val="00DD59AC"/>
    <w:rsid w:val="00DD5A54"/>
    <w:rsid w:val="00DD5A85"/>
    <w:rsid w:val="00DD5AC7"/>
    <w:rsid w:val="00DD5AE8"/>
    <w:rsid w:val="00DD5F24"/>
    <w:rsid w:val="00DD5F3E"/>
    <w:rsid w:val="00DD6098"/>
    <w:rsid w:val="00DD6117"/>
    <w:rsid w:val="00DD614C"/>
    <w:rsid w:val="00DD61C5"/>
    <w:rsid w:val="00DD61CF"/>
    <w:rsid w:val="00DD6278"/>
    <w:rsid w:val="00DD63ED"/>
    <w:rsid w:val="00DD657C"/>
    <w:rsid w:val="00DD6649"/>
    <w:rsid w:val="00DD666C"/>
    <w:rsid w:val="00DD68D4"/>
    <w:rsid w:val="00DD6B9B"/>
    <w:rsid w:val="00DD6BC0"/>
    <w:rsid w:val="00DD6BEC"/>
    <w:rsid w:val="00DD6CA1"/>
    <w:rsid w:val="00DD6CAF"/>
    <w:rsid w:val="00DD6FC0"/>
    <w:rsid w:val="00DD6FC4"/>
    <w:rsid w:val="00DD702B"/>
    <w:rsid w:val="00DD7168"/>
    <w:rsid w:val="00DD7278"/>
    <w:rsid w:val="00DD7405"/>
    <w:rsid w:val="00DD75A3"/>
    <w:rsid w:val="00DD773D"/>
    <w:rsid w:val="00DD7787"/>
    <w:rsid w:val="00DD7797"/>
    <w:rsid w:val="00DD789F"/>
    <w:rsid w:val="00DD78C7"/>
    <w:rsid w:val="00DD7937"/>
    <w:rsid w:val="00DD79F2"/>
    <w:rsid w:val="00DD7A21"/>
    <w:rsid w:val="00DD7A77"/>
    <w:rsid w:val="00DD7A81"/>
    <w:rsid w:val="00DD7A84"/>
    <w:rsid w:val="00DD7AF4"/>
    <w:rsid w:val="00DD7C1C"/>
    <w:rsid w:val="00DD7CBA"/>
    <w:rsid w:val="00DD7CDE"/>
    <w:rsid w:val="00DD7D61"/>
    <w:rsid w:val="00DD7DA5"/>
    <w:rsid w:val="00DD7E3A"/>
    <w:rsid w:val="00DD7EF3"/>
    <w:rsid w:val="00DD7EFF"/>
    <w:rsid w:val="00DD7F4F"/>
    <w:rsid w:val="00DE022A"/>
    <w:rsid w:val="00DE03DE"/>
    <w:rsid w:val="00DE066C"/>
    <w:rsid w:val="00DE0770"/>
    <w:rsid w:val="00DE089C"/>
    <w:rsid w:val="00DE089F"/>
    <w:rsid w:val="00DE091A"/>
    <w:rsid w:val="00DE0B58"/>
    <w:rsid w:val="00DE0D58"/>
    <w:rsid w:val="00DE0DEF"/>
    <w:rsid w:val="00DE0DF9"/>
    <w:rsid w:val="00DE0E89"/>
    <w:rsid w:val="00DE0EBC"/>
    <w:rsid w:val="00DE0FDB"/>
    <w:rsid w:val="00DE12C3"/>
    <w:rsid w:val="00DE1457"/>
    <w:rsid w:val="00DE1503"/>
    <w:rsid w:val="00DE1602"/>
    <w:rsid w:val="00DE1633"/>
    <w:rsid w:val="00DE1715"/>
    <w:rsid w:val="00DE1734"/>
    <w:rsid w:val="00DE177C"/>
    <w:rsid w:val="00DE17AF"/>
    <w:rsid w:val="00DE1BF5"/>
    <w:rsid w:val="00DE1CC9"/>
    <w:rsid w:val="00DE1D28"/>
    <w:rsid w:val="00DE1E34"/>
    <w:rsid w:val="00DE1E5D"/>
    <w:rsid w:val="00DE1F24"/>
    <w:rsid w:val="00DE2000"/>
    <w:rsid w:val="00DE2046"/>
    <w:rsid w:val="00DE2062"/>
    <w:rsid w:val="00DE210B"/>
    <w:rsid w:val="00DE225E"/>
    <w:rsid w:val="00DE22D7"/>
    <w:rsid w:val="00DE23A1"/>
    <w:rsid w:val="00DE24EB"/>
    <w:rsid w:val="00DE273B"/>
    <w:rsid w:val="00DE280D"/>
    <w:rsid w:val="00DE28E1"/>
    <w:rsid w:val="00DE2AFA"/>
    <w:rsid w:val="00DE2BF5"/>
    <w:rsid w:val="00DE2FB6"/>
    <w:rsid w:val="00DE2FCA"/>
    <w:rsid w:val="00DE2FE7"/>
    <w:rsid w:val="00DE302A"/>
    <w:rsid w:val="00DE307D"/>
    <w:rsid w:val="00DE308E"/>
    <w:rsid w:val="00DE30F9"/>
    <w:rsid w:val="00DE3128"/>
    <w:rsid w:val="00DE31BD"/>
    <w:rsid w:val="00DE327E"/>
    <w:rsid w:val="00DE3399"/>
    <w:rsid w:val="00DE33C9"/>
    <w:rsid w:val="00DE352D"/>
    <w:rsid w:val="00DE3614"/>
    <w:rsid w:val="00DE36B1"/>
    <w:rsid w:val="00DE375D"/>
    <w:rsid w:val="00DE3767"/>
    <w:rsid w:val="00DE379C"/>
    <w:rsid w:val="00DE3819"/>
    <w:rsid w:val="00DE381B"/>
    <w:rsid w:val="00DE38EF"/>
    <w:rsid w:val="00DE3A34"/>
    <w:rsid w:val="00DE3A5B"/>
    <w:rsid w:val="00DE3A92"/>
    <w:rsid w:val="00DE3C31"/>
    <w:rsid w:val="00DE3DF1"/>
    <w:rsid w:val="00DE3EE3"/>
    <w:rsid w:val="00DE3EE9"/>
    <w:rsid w:val="00DE4036"/>
    <w:rsid w:val="00DE4066"/>
    <w:rsid w:val="00DE406F"/>
    <w:rsid w:val="00DE40C7"/>
    <w:rsid w:val="00DE40D7"/>
    <w:rsid w:val="00DE4108"/>
    <w:rsid w:val="00DE4148"/>
    <w:rsid w:val="00DE4206"/>
    <w:rsid w:val="00DE4223"/>
    <w:rsid w:val="00DE4322"/>
    <w:rsid w:val="00DE4354"/>
    <w:rsid w:val="00DE44D4"/>
    <w:rsid w:val="00DE4753"/>
    <w:rsid w:val="00DE48A7"/>
    <w:rsid w:val="00DE499B"/>
    <w:rsid w:val="00DE4B27"/>
    <w:rsid w:val="00DE4C24"/>
    <w:rsid w:val="00DE4D85"/>
    <w:rsid w:val="00DE50F8"/>
    <w:rsid w:val="00DE5128"/>
    <w:rsid w:val="00DE52A9"/>
    <w:rsid w:val="00DE52AC"/>
    <w:rsid w:val="00DE5416"/>
    <w:rsid w:val="00DE54B4"/>
    <w:rsid w:val="00DE5587"/>
    <w:rsid w:val="00DE559E"/>
    <w:rsid w:val="00DE55C3"/>
    <w:rsid w:val="00DE5609"/>
    <w:rsid w:val="00DE57FE"/>
    <w:rsid w:val="00DE5840"/>
    <w:rsid w:val="00DE5885"/>
    <w:rsid w:val="00DE593D"/>
    <w:rsid w:val="00DE5AEE"/>
    <w:rsid w:val="00DE5B0B"/>
    <w:rsid w:val="00DE5B8D"/>
    <w:rsid w:val="00DE5BB4"/>
    <w:rsid w:val="00DE5BD6"/>
    <w:rsid w:val="00DE5C39"/>
    <w:rsid w:val="00DE5C56"/>
    <w:rsid w:val="00DE5CD2"/>
    <w:rsid w:val="00DE5CEE"/>
    <w:rsid w:val="00DE5F98"/>
    <w:rsid w:val="00DE5FFE"/>
    <w:rsid w:val="00DE607F"/>
    <w:rsid w:val="00DE6258"/>
    <w:rsid w:val="00DE666B"/>
    <w:rsid w:val="00DE6739"/>
    <w:rsid w:val="00DE67D7"/>
    <w:rsid w:val="00DE6888"/>
    <w:rsid w:val="00DE68E2"/>
    <w:rsid w:val="00DE68F8"/>
    <w:rsid w:val="00DE690E"/>
    <w:rsid w:val="00DE69E6"/>
    <w:rsid w:val="00DE6A24"/>
    <w:rsid w:val="00DE6A6A"/>
    <w:rsid w:val="00DE6B7D"/>
    <w:rsid w:val="00DE6B93"/>
    <w:rsid w:val="00DE6C3B"/>
    <w:rsid w:val="00DE6D2D"/>
    <w:rsid w:val="00DE6D51"/>
    <w:rsid w:val="00DE6DC9"/>
    <w:rsid w:val="00DE6E08"/>
    <w:rsid w:val="00DE6F82"/>
    <w:rsid w:val="00DE6FBB"/>
    <w:rsid w:val="00DE701D"/>
    <w:rsid w:val="00DE7096"/>
    <w:rsid w:val="00DE733C"/>
    <w:rsid w:val="00DE74B5"/>
    <w:rsid w:val="00DE7594"/>
    <w:rsid w:val="00DE7626"/>
    <w:rsid w:val="00DE7652"/>
    <w:rsid w:val="00DE76B0"/>
    <w:rsid w:val="00DE7A0D"/>
    <w:rsid w:val="00DE7A5E"/>
    <w:rsid w:val="00DE7B46"/>
    <w:rsid w:val="00DE7C15"/>
    <w:rsid w:val="00DE7C4C"/>
    <w:rsid w:val="00DE7C9D"/>
    <w:rsid w:val="00DE7D0B"/>
    <w:rsid w:val="00DE7E31"/>
    <w:rsid w:val="00DE7EC6"/>
    <w:rsid w:val="00DE7F43"/>
    <w:rsid w:val="00DF0647"/>
    <w:rsid w:val="00DF0990"/>
    <w:rsid w:val="00DF0AFA"/>
    <w:rsid w:val="00DF0B30"/>
    <w:rsid w:val="00DF0CBD"/>
    <w:rsid w:val="00DF0DAA"/>
    <w:rsid w:val="00DF0DE2"/>
    <w:rsid w:val="00DF0F7E"/>
    <w:rsid w:val="00DF0F96"/>
    <w:rsid w:val="00DF1102"/>
    <w:rsid w:val="00DF112A"/>
    <w:rsid w:val="00DF12BD"/>
    <w:rsid w:val="00DF1395"/>
    <w:rsid w:val="00DF1418"/>
    <w:rsid w:val="00DF1456"/>
    <w:rsid w:val="00DF14BB"/>
    <w:rsid w:val="00DF152F"/>
    <w:rsid w:val="00DF162A"/>
    <w:rsid w:val="00DF1804"/>
    <w:rsid w:val="00DF1835"/>
    <w:rsid w:val="00DF1938"/>
    <w:rsid w:val="00DF1989"/>
    <w:rsid w:val="00DF1A51"/>
    <w:rsid w:val="00DF1A7E"/>
    <w:rsid w:val="00DF1AD6"/>
    <w:rsid w:val="00DF1CEC"/>
    <w:rsid w:val="00DF1CEF"/>
    <w:rsid w:val="00DF1E51"/>
    <w:rsid w:val="00DF1EB7"/>
    <w:rsid w:val="00DF1EE6"/>
    <w:rsid w:val="00DF1FDA"/>
    <w:rsid w:val="00DF20D5"/>
    <w:rsid w:val="00DF2108"/>
    <w:rsid w:val="00DF22F3"/>
    <w:rsid w:val="00DF22FF"/>
    <w:rsid w:val="00DF230D"/>
    <w:rsid w:val="00DF235F"/>
    <w:rsid w:val="00DF23D1"/>
    <w:rsid w:val="00DF262B"/>
    <w:rsid w:val="00DF273E"/>
    <w:rsid w:val="00DF27A3"/>
    <w:rsid w:val="00DF29F1"/>
    <w:rsid w:val="00DF2ACA"/>
    <w:rsid w:val="00DF2AFD"/>
    <w:rsid w:val="00DF2C23"/>
    <w:rsid w:val="00DF2C3D"/>
    <w:rsid w:val="00DF2E0B"/>
    <w:rsid w:val="00DF2EB9"/>
    <w:rsid w:val="00DF2F60"/>
    <w:rsid w:val="00DF3020"/>
    <w:rsid w:val="00DF30FE"/>
    <w:rsid w:val="00DF331B"/>
    <w:rsid w:val="00DF3346"/>
    <w:rsid w:val="00DF3624"/>
    <w:rsid w:val="00DF37B9"/>
    <w:rsid w:val="00DF3962"/>
    <w:rsid w:val="00DF3993"/>
    <w:rsid w:val="00DF3B06"/>
    <w:rsid w:val="00DF3C8F"/>
    <w:rsid w:val="00DF3FC1"/>
    <w:rsid w:val="00DF3FEF"/>
    <w:rsid w:val="00DF4166"/>
    <w:rsid w:val="00DF435F"/>
    <w:rsid w:val="00DF4387"/>
    <w:rsid w:val="00DF43CA"/>
    <w:rsid w:val="00DF4430"/>
    <w:rsid w:val="00DF443A"/>
    <w:rsid w:val="00DF4442"/>
    <w:rsid w:val="00DF44C7"/>
    <w:rsid w:val="00DF44D0"/>
    <w:rsid w:val="00DF484D"/>
    <w:rsid w:val="00DF4873"/>
    <w:rsid w:val="00DF4B15"/>
    <w:rsid w:val="00DF4CBD"/>
    <w:rsid w:val="00DF4D3B"/>
    <w:rsid w:val="00DF4F4D"/>
    <w:rsid w:val="00DF515A"/>
    <w:rsid w:val="00DF51C1"/>
    <w:rsid w:val="00DF51E9"/>
    <w:rsid w:val="00DF5202"/>
    <w:rsid w:val="00DF5206"/>
    <w:rsid w:val="00DF520F"/>
    <w:rsid w:val="00DF5270"/>
    <w:rsid w:val="00DF52BF"/>
    <w:rsid w:val="00DF5306"/>
    <w:rsid w:val="00DF5502"/>
    <w:rsid w:val="00DF5517"/>
    <w:rsid w:val="00DF55DA"/>
    <w:rsid w:val="00DF561F"/>
    <w:rsid w:val="00DF565C"/>
    <w:rsid w:val="00DF569F"/>
    <w:rsid w:val="00DF573B"/>
    <w:rsid w:val="00DF57DC"/>
    <w:rsid w:val="00DF57E0"/>
    <w:rsid w:val="00DF57F1"/>
    <w:rsid w:val="00DF5AE9"/>
    <w:rsid w:val="00DF5AFB"/>
    <w:rsid w:val="00DF5B9B"/>
    <w:rsid w:val="00DF5C44"/>
    <w:rsid w:val="00DF5CF7"/>
    <w:rsid w:val="00DF5D0D"/>
    <w:rsid w:val="00DF5DA6"/>
    <w:rsid w:val="00DF5E69"/>
    <w:rsid w:val="00DF5F0D"/>
    <w:rsid w:val="00DF6049"/>
    <w:rsid w:val="00DF60FC"/>
    <w:rsid w:val="00DF621E"/>
    <w:rsid w:val="00DF6367"/>
    <w:rsid w:val="00DF63C5"/>
    <w:rsid w:val="00DF64C6"/>
    <w:rsid w:val="00DF6534"/>
    <w:rsid w:val="00DF6542"/>
    <w:rsid w:val="00DF66E1"/>
    <w:rsid w:val="00DF66F5"/>
    <w:rsid w:val="00DF6775"/>
    <w:rsid w:val="00DF677B"/>
    <w:rsid w:val="00DF680F"/>
    <w:rsid w:val="00DF6875"/>
    <w:rsid w:val="00DF68F2"/>
    <w:rsid w:val="00DF69BA"/>
    <w:rsid w:val="00DF6AAB"/>
    <w:rsid w:val="00DF6BED"/>
    <w:rsid w:val="00DF6C12"/>
    <w:rsid w:val="00DF6CC1"/>
    <w:rsid w:val="00DF6D51"/>
    <w:rsid w:val="00DF6E69"/>
    <w:rsid w:val="00DF6FC2"/>
    <w:rsid w:val="00DF70EF"/>
    <w:rsid w:val="00DF7178"/>
    <w:rsid w:val="00DF71F6"/>
    <w:rsid w:val="00DF71FF"/>
    <w:rsid w:val="00DF73A8"/>
    <w:rsid w:val="00DF73AE"/>
    <w:rsid w:val="00DF744F"/>
    <w:rsid w:val="00DF74E0"/>
    <w:rsid w:val="00DF7505"/>
    <w:rsid w:val="00DF75A9"/>
    <w:rsid w:val="00DF7661"/>
    <w:rsid w:val="00DF7761"/>
    <w:rsid w:val="00DF7786"/>
    <w:rsid w:val="00DF7872"/>
    <w:rsid w:val="00DF7D72"/>
    <w:rsid w:val="00DF7E32"/>
    <w:rsid w:val="00DF7E3E"/>
    <w:rsid w:val="00DF7E75"/>
    <w:rsid w:val="00DF7F5B"/>
    <w:rsid w:val="00DF7FD2"/>
    <w:rsid w:val="00E00074"/>
    <w:rsid w:val="00E000C2"/>
    <w:rsid w:val="00E00120"/>
    <w:rsid w:val="00E00314"/>
    <w:rsid w:val="00E003A8"/>
    <w:rsid w:val="00E003C9"/>
    <w:rsid w:val="00E00406"/>
    <w:rsid w:val="00E00441"/>
    <w:rsid w:val="00E004AB"/>
    <w:rsid w:val="00E005E1"/>
    <w:rsid w:val="00E005F3"/>
    <w:rsid w:val="00E006E8"/>
    <w:rsid w:val="00E0085B"/>
    <w:rsid w:val="00E00865"/>
    <w:rsid w:val="00E0091F"/>
    <w:rsid w:val="00E00A6E"/>
    <w:rsid w:val="00E00AE3"/>
    <w:rsid w:val="00E00B13"/>
    <w:rsid w:val="00E00BF2"/>
    <w:rsid w:val="00E00D0C"/>
    <w:rsid w:val="00E00EED"/>
    <w:rsid w:val="00E00F08"/>
    <w:rsid w:val="00E00FE4"/>
    <w:rsid w:val="00E0106E"/>
    <w:rsid w:val="00E01081"/>
    <w:rsid w:val="00E01125"/>
    <w:rsid w:val="00E01153"/>
    <w:rsid w:val="00E01162"/>
    <w:rsid w:val="00E011D7"/>
    <w:rsid w:val="00E01208"/>
    <w:rsid w:val="00E01286"/>
    <w:rsid w:val="00E012C9"/>
    <w:rsid w:val="00E01329"/>
    <w:rsid w:val="00E01365"/>
    <w:rsid w:val="00E013A6"/>
    <w:rsid w:val="00E01535"/>
    <w:rsid w:val="00E0157F"/>
    <w:rsid w:val="00E015D8"/>
    <w:rsid w:val="00E0177B"/>
    <w:rsid w:val="00E01876"/>
    <w:rsid w:val="00E01BC0"/>
    <w:rsid w:val="00E01BE5"/>
    <w:rsid w:val="00E01C07"/>
    <w:rsid w:val="00E01C27"/>
    <w:rsid w:val="00E01CA6"/>
    <w:rsid w:val="00E01D1F"/>
    <w:rsid w:val="00E01D7C"/>
    <w:rsid w:val="00E01DC9"/>
    <w:rsid w:val="00E01DF1"/>
    <w:rsid w:val="00E01ED7"/>
    <w:rsid w:val="00E01EE9"/>
    <w:rsid w:val="00E01FDF"/>
    <w:rsid w:val="00E020E7"/>
    <w:rsid w:val="00E0210B"/>
    <w:rsid w:val="00E0245A"/>
    <w:rsid w:val="00E0250D"/>
    <w:rsid w:val="00E025C1"/>
    <w:rsid w:val="00E02684"/>
    <w:rsid w:val="00E02711"/>
    <w:rsid w:val="00E027C5"/>
    <w:rsid w:val="00E02806"/>
    <w:rsid w:val="00E028A3"/>
    <w:rsid w:val="00E028FE"/>
    <w:rsid w:val="00E0298F"/>
    <w:rsid w:val="00E02AF6"/>
    <w:rsid w:val="00E02B56"/>
    <w:rsid w:val="00E02BE4"/>
    <w:rsid w:val="00E02CE6"/>
    <w:rsid w:val="00E02D3B"/>
    <w:rsid w:val="00E02D66"/>
    <w:rsid w:val="00E02DD9"/>
    <w:rsid w:val="00E02E84"/>
    <w:rsid w:val="00E02EB4"/>
    <w:rsid w:val="00E02EC6"/>
    <w:rsid w:val="00E031E5"/>
    <w:rsid w:val="00E0324C"/>
    <w:rsid w:val="00E03251"/>
    <w:rsid w:val="00E0325E"/>
    <w:rsid w:val="00E0326B"/>
    <w:rsid w:val="00E032D8"/>
    <w:rsid w:val="00E0330F"/>
    <w:rsid w:val="00E033FA"/>
    <w:rsid w:val="00E036EF"/>
    <w:rsid w:val="00E038FB"/>
    <w:rsid w:val="00E038FC"/>
    <w:rsid w:val="00E03979"/>
    <w:rsid w:val="00E0399F"/>
    <w:rsid w:val="00E03A36"/>
    <w:rsid w:val="00E03A52"/>
    <w:rsid w:val="00E03BEF"/>
    <w:rsid w:val="00E03C72"/>
    <w:rsid w:val="00E03C7F"/>
    <w:rsid w:val="00E03ED6"/>
    <w:rsid w:val="00E03EE4"/>
    <w:rsid w:val="00E03F72"/>
    <w:rsid w:val="00E03F86"/>
    <w:rsid w:val="00E03FCC"/>
    <w:rsid w:val="00E04079"/>
    <w:rsid w:val="00E0410F"/>
    <w:rsid w:val="00E04201"/>
    <w:rsid w:val="00E04209"/>
    <w:rsid w:val="00E04382"/>
    <w:rsid w:val="00E04513"/>
    <w:rsid w:val="00E046E5"/>
    <w:rsid w:val="00E047DB"/>
    <w:rsid w:val="00E04A06"/>
    <w:rsid w:val="00E04BE2"/>
    <w:rsid w:val="00E04C6B"/>
    <w:rsid w:val="00E04DED"/>
    <w:rsid w:val="00E04EE5"/>
    <w:rsid w:val="00E04F07"/>
    <w:rsid w:val="00E051EC"/>
    <w:rsid w:val="00E05219"/>
    <w:rsid w:val="00E052D1"/>
    <w:rsid w:val="00E0536D"/>
    <w:rsid w:val="00E0546E"/>
    <w:rsid w:val="00E05581"/>
    <w:rsid w:val="00E055A4"/>
    <w:rsid w:val="00E055EE"/>
    <w:rsid w:val="00E05709"/>
    <w:rsid w:val="00E0573D"/>
    <w:rsid w:val="00E05754"/>
    <w:rsid w:val="00E05911"/>
    <w:rsid w:val="00E05B42"/>
    <w:rsid w:val="00E05B47"/>
    <w:rsid w:val="00E05C52"/>
    <w:rsid w:val="00E05CAE"/>
    <w:rsid w:val="00E05D3D"/>
    <w:rsid w:val="00E05D79"/>
    <w:rsid w:val="00E05F0D"/>
    <w:rsid w:val="00E05F37"/>
    <w:rsid w:val="00E05F61"/>
    <w:rsid w:val="00E05F82"/>
    <w:rsid w:val="00E0602A"/>
    <w:rsid w:val="00E06084"/>
    <w:rsid w:val="00E061D8"/>
    <w:rsid w:val="00E0621F"/>
    <w:rsid w:val="00E06260"/>
    <w:rsid w:val="00E062ED"/>
    <w:rsid w:val="00E0642A"/>
    <w:rsid w:val="00E064B9"/>
    <w:rsid w:val="00E064ED"/>
    <w:rsid w:val="00E06543"/>
    <w:rsid w:val="00E06593"/>
    <w:rsid w:val="00E065FF"/>
    <w:rsid w:val="00E0661B"/>
    <w:rsid w:val="00E06689"/>
    <w:rsid w:val="00E066BF"/>
    <w:rsid w:val="00E06768"/>
    <w:rsid w:val="00E068D0"/>
    <w:rsid w:val="00E06973"/>
    <w:rsid w:val="00E06DC8"/>
    <w:rsid w:val="00E07107"/>
    <w:rsid w:val="00E07304"/>
    <w:rsid w:val="00E07347"/>
    <w:rsid w:val="00E07485"/>
    <w:rsid w:val="00E0750B"/>
    <w:rsid w:val="00E0756C"/>
    <w:rsid w:val="00E07A3C"/>
    <w:rsid w:val="00E07CCB"/>
    <w:rsid w:val="00E07CF2"/>
    <w:rsid w:val="00E07E9C"/>
    <w:rsid w:val="00E10311"/>
    <w:rsid w:val="00E10354"/>
    <w:rsid w:val="00E1042E"/>
    <w:rsid w:val="00E10530"/>
    <w:rsid w:val="00E105ED"/>
    <w:rsid w:val="00E10657"/>
    <w:rsid w:val="00E106B2"/>
    <w:rsid w:val="00E10803"/>
    <w:rsid w:val="00E10893"/>
    <w:rsid w:val="00E1095F"/>
    <w:rsid w:val="00E10AE5"/>
    <w:rsid w:val="00E10C1D"/>
    <w:rsid w:val="00E10CF8"/>
    <w:rsid w:val="00E10E6C"/>
    <w:rsid w:val="00E10F20"/>
    <w:rsid w:val="00E10F58"/>
    <w:rsid w:val="00E11009"/>
    <w:rsid w:val="00E1104B"/>
    <w:rsid w:val="00E1140D"/>
    <w:rsid w:val="00E11431"/>
    <w:rsid w:val="00E11465"/>
    <w:rsid w:val="00E11553"/>
    <w:rsid w:val="00E1163A"/>
    <w:rsid w:val="00E116C0"/>
    <w:rsid w:val="00E116E1"/>
    <w:rsid w:val="00E11841"/>
    <w:rsid w:val="00E119C4"/>
    <w:rsid w:val="00E11B4A"/>
    <w:rsid w:val="00E11DDE"/>
    <w:rsid w:val="00E11E2C"/>
    <w:rsid w:val="00E11ECE"/>
    <w:rsid w:val="00E11EFC"/>
    <w:rsid w:val="00E12025"/>
    <w:rsid w:val="00E121D0"/>
    <w:rsid w:val="00E12279"/>
    <w:rsid w:val="00E12353"/>
    <w:rsid w:val="00E124B7"/>
    <w:rsid w:val="00E125A3"/>
    <w:rsid w:val="00E1270D"/>
    <w:rsid w:val="00E1273E"/>
    <w:rsid w:val="00E1278B"/>
    <w:rsid w:val="00E128F7"/>
    <w:rsid w:val="00E129A4"/>
    <w:rsid w:val="00E12A0D"/>
    <w:rsid w:val="00E12A80"/>
    <w:rsid w:val="00E12AE8"/>
    <w:rsid w:val="00E12CA5"/>
    <w:rsid w:val="00E12D34"/>
    <w:rsid w:val="00E12D63"/>
    <w:rsid w:val="00E12D73"/>
    <w:rsid w:val="00E12FB1"/>
    <w:rsid w:val="00E13060"/>
    <w:rsid w:val="00E13292"/>
    <w:rsid w:val="00E13665"/>
    <w:rsid w:val="00E1374B"/>
    <w:rsid w:val="00E137B7"/>
    <w:rsid w:val="00E137C2"/>
    <w:rsid w:val="00E137E6"/>
    <w:rsid w:val="00E13912"/>
    <w:rsid w:val="00E13BFC"/>
    <w:rsid w:val="00E13CFC"/>
    <w:rsid w:val="00E13D3F"/>
    <w:rsid w:val="00E13E4C"/>
    <w:rsid w:val="00E1406B"/>
    <w:rsid w:val="00E14077"/>
    <w:rsid w:val="00E140B5"/>
    <w:rsid w:val="00E140B6"/>
    <w:rsid w:val="00E14109"/>
    <w:rsid w:val="00E141B6"/>
    <w:rsid w:val="00E1420D"/>
    <w:rsid w:val="00E14256"/>
    <w:rsid w:val="00E1446D"/>
    <w:rsid w:val="00E144BB"/>
    <w:rsid w:val="00E144E3"/>
    <w:rsid w:val="00E1457B"/>
    <w:rsid w:val="00E146F9"/>
    <w:rsid w:val="00E1477D"/>
    <w:rsid w:val="00E14859"/>
    <w:rsid w:val="00E148AE"/>
    <w:rsid w:val="00E14A14"/>
    <w:rsid w:val="00E14B1C"/>
    <w:rsid w:val="00E14DCB"/>
    <w:rsid w:val="00E14E44"/>
    <w:rsid w:val="00E14E51"/>
    <w:rsid w:val="00E14FD3"/>
    <w:rsid w:val="00E14FDB"/>
    <w:rsid w:val="00E1508A"/>
    <w:rsid w:val="00E150F9"/>
    <w:rsid w:val="00E1548E"/>
    <w:rsid w:val="00E15544"/>
    <w:rsid w:val="00E15570"/>
    <w:rsid w:val="00E15654"/>
    <w:rsid w:val="00E1565F"/>
    <w:rsid w:val="00E1569E"/>
    <w:rsid w:val="00E156A8"/>
    <w:rsid w:val="00E156C1"/>
    <w:rsid w:val="00E156EC"/>
    <w:rsid w:val="00E15767"/>
    <w:rsid w:val="00E1579A"/>
    <w:rsid w:val="00E158B8"/>
    <w:rsid w:val="00E15995"/>
    <w:rsid w:val="00E15B29"/>
    <w:rsid w:val="00E15D26"/>
    <w:rsid w:val="00E15E7C"/>
    <w:rsid w:val="00E15EC9"/>
    <w:rsid w:val="00E15EF1"/>
    <w:rsid w:val="00E160D0"/>
    <w:rsid w:val="00E161BE"/>
    <w:rsid w:val="00E1622E"/>
    <w:rsid w:val="00E16377"/>
    <w:rsid w:val="00E16422"/>
    <w:rsid w:val="00E16452"/>
    <w:rsid w:val="00E165B7"/>
    <w:rsid w:val="00E166DE"/>
    <w:rsid w:val="00E16824"/>
    <w:rsid w:val="00E16A6B"/>
    <w:rsid w:val="00E16ADB"/>
    <w:rsid w:val="00E16B5C"/>
    <w:rsid w:val="00E16B8E"/>
    <w:rsid w:val="00E16CC9"/>
    <w:rsid w:val="00E16E65"/>
    <w:rsid w:val="00E16F7A"/>
    <w:rsid w:val="00E16F87"/>
    <w:rsid w:val="00E16FB7"/>
    <w:rsid w:val="00E1705A"/>
    <w:rsid w:val="00E170F7"/>
    <w:rsid w:val="00E1714A"/>
    <w:rsid w:val="00E1722D"/>
    <w:rsid w:val="00E1739F"/>
    <w:rsid w:val="00E174AD"/>
    <w:rsid w:val="00E175BE"/>
    <w:rsid w:val="00E175E2"/>
    <w:rsid w:val="00E17873"/>
    <w:rsid w:val="00E178F8"/>
    <w:rsid w:val="00E17B10"/>
    <w:rsid w:val="00E17D52"/>
    <w:rsid w:val="00E17E35"/>
    <w:rsid w:val="00E17F76"/>
    <w:rsid w:val="00E17FE9"/>
    <w:rsid w:val="00E200C0"/>
    <w:rsid w:val="00E2018D"/>
    <w:rsid w:val="00E202E7"/>
    <w:rsid w:val="00E20596"/>
    <w:rsid w:val="00E205E7"/>
    <w:rsid w:val="00E205F1"/>
    <w:rsid w:val="00E20638"/>
    <w:rsid w:val="00E20737"/>
    <w:rsid w:val="00E20755"/>
    <w:rsid w:val="00E20AEB"/>
    <w:rsid w:val="00E20B23"/>
    <w:rsid w:val="00E20BE7"/>
    <w:rsid w:val="00E20C2A"/>
    <w:rsid w:val="00E20C5D"/>
    <w:rsid w:val="00E20E3B"/>
    <w:rsid w:val="00E20E56"/>
    <w:rsid w:val="00E20F84"/>
    <w:rsid w:val="00E21087"/>
    <w:rsid w:val="00E2110A"/>
    <w:rsid w:val="00E2119C"/>
    <w:rsid w:val="00E212AC"/>
    <w:rsid w:val="00E21348"/>
    <w:rsid w:val="00E21422"/>
    <w:rsid w:val="00E21460"/>
    <w:rsid w:val="00E214A3"/>
    <w:rsid w:val="00E214F2"/>
    <w:rsid w:val="00E2157C"/>
    <w:rsid w:val="00E21628"/>
    <w:rsid w:val="00E21692"/>
    <w:rsid w:val="00E2170E"/>
    <w:rsid w:val="00E217BC"/>
    <w:rsid w:val="00E217C7"/>
    <w:rsid w:val="00E217E9"/>
    <w:rsid w:val="00E21880"/>
    <w:rsid w:val="00E21967"/>
    <w:rsid w:val="00E21BE7"/>
    <w:rsid w:val="00E21C4B"/>
    <w:rsid w:val="00E21DAC"/>
    <w:rsid w:val="00E21DC3"/>
    <w:rsid w:val="00E21E32"/>
    <w:rsid w:val="00E21E83"/>
    <w:rsid w:val="00E21EC0"/>
    <w:rsid w:val="00E21EEB"/>
    <w:rsid w:val="00E21F52"/>
    <w:rsid w:val="00E21F6F"/>
    <w:rsid w:val="00E21FF2"/>
    <w:rsid w:val="00E221DD"/>
    <w:rsid w:val="00E22200"/>
    <w:rsid w:val="00E22294"/>
    <w:rsid w:val="00E222F4"/>
    <w:rsid w:val="00E22306"/>
    <w:rsid w:val="00E22339"/>
    <w:rsid w:val="00E2241A"/>
    <w:rsid w:val="00E22429"/>
    <w:rsid w:val="00E22503"/>
    <w:rsid w:val="00E22528"/>
    <w:rsid w:val="00E22564"/>
    <w:rsid w:val="00E22624"/>
    <w:rsid w:val="00E22758"/>
    <w:rsid w:val="00E22770"/>
    <w:rsid w:val="00E22875"/>
    <w:rsid w:val="00E22930"/>
    <w:rsid w:val="00E22B6F"/>
    <w:rsid w:val="00E22BF6"/>
    <w:rsid w:val="00E22D3C"/>
    <w:rsid w:val="00E22D64"/>
    <w:rsid w:val="00E22F6B"/>
    <w:rsid w:val="00E230D9"/>
    <w:rsid w:val="00E23144"/>
    <w:rsid w:val="00E2314C"/>
    <w:rsid w:val="00E23221"/>
    <w:rsid w:val="00E23233"/>
    <w:rsid w:val="00E23267"/>
    <w:rsid w:val="00E232AB"/>
    <w:rsid w:val="00E235CB"/>
    <w:rsid w:val="00E23836"/>
    <w:rsid w:val="00E2394E"/>
    <w:rsid w:val="00E23985"/>
    <w:rsid w:val="00E239A2"/>
    <w:rsid w:val="00E23B1C"/>
    <w:rsid w:val="00E23DBB"/>
    <w:rsid w:val="00E23F2D"/>
    <w:rsid w:val="00E23FD1"/>
    <w:rsid w:val="00E23FDF"/>
    <w:rsid w:val="00E23FE5"/>
    <w:rsid w:val="00E2415B"/>
    <w:rsid w:val="00E2426F"/>
    <w:rsid w:val="00E242B1"/>
    <w:rsid w:val="00E24326"/>
    <w:rsid w:val="00E24343"/>
    <w:rsid w:val="00E2449C"/>
    <w:rsid w:val="00E2453C"/>
    <w:rsid w:val="00E24608"/>
    <w:rsid w:val="00E2467E"/>
    <w:rsid w:val="00E2473A"/>
    <w:rsid w:val="00E24A43"/>
    <w:rsid w:val="00E24B8A"/>
    <w:rsid w:val="00E24EFF"/>
    <w:rsid w:val="00E24F18"/>
    <w:rsid w:val="00E24FC1"/>
    <w:rsid w:val="00E250AC"/>
    <w:rsid w:val="00E250E2"/>
    <w:rsid w:val="00E250ED"/>
    <w:rsid w:val="00E250F9"/>
    <w:rsid w:val="00E251CA"/>
    <w:rsid w:val="00E25269"/>
    <w:rsid w:val="00E25289"/>
    <w:rsid w:val="00E252B3"/>
    <w:rsid w:val="00E253BE"/>
    <w:rsid w:val="00E25592"/>
    <w:rsid w:val="00E255D3"/>
    <w:rsid w:val="00E256C7"/>
    <w:rsid w:val="00E256E6"/>
    <w:rsid w:val="00E25828"/>
    <w:rsid w:val="00E259D7"/>
    <w:rsid w:val="00E25AD2"/>
    <w:rsid w:val="00E25AD9"/>
    <w:rsid w:val="00E25B25"/>
    <w:rsid w:val="00E25CA0"/>
    <w:rsid w:val="00E25D1A"/>
    <w:rsid w:val="00E25DBF"/>
    <w:rsid w:val="00E25E4D"/>
    <w:rsid w:val="00E26040"/>
    <w:rsid w:val="00E26230"/>
    <w:rsid w:val="00E262BA"/>
    <w:rsid w:val="00E2638C"/>
    <w:rsid w:val="00E263E5"/>
    <w:rsid w:val="00E264F0"/>
    <w:rsid w:val="00E2656F"/>
    <w:rsid w:val="00E26583"/>
    <w:rsid w:val="00E26612"/>
    <w:rsid w:val="00E2666E"/>
    <w:rsid w:val="00E2674C"/>
    <w:rsid w:val="00E26A91"/>
    <w:rsid w:val="00E26ACB"/>
    <w:rsid w:val="00E26AFD"/>
    <w:rsid w:val="00E26CC9"/>
    <w:rsid w:val="00E26D81"/>
    <w:rsid w:val="00E26D9D"/>
    <w:rsid w:val="00E26FD9"/>
    <w:rsid w:val="00E26FE4"/>
    <w:rsid w:val="00E270FA"/>
    <w:rsid w:val="00E2717C"/>
    <w:rsid w:val="00E271AF"/>
    <w:rsid w:val="00E27342"/>
    <w:rsid w:val="00E2734F"/>
    <w:rsid w:val="00E27450"/>
    <w:rsid w:val="00E2745C"/>
    <w:rsid w:val="00E2755B"/>
    <w:rsid w:val="00E275DE"/>
    <w:rsid w:val="00E275E0"/>
    <w:rsid w:val="00E275E8"/>
    <w:rsid w:val="00E276E7"/>
    <w:rsid w:val="00E276F2"/>
    <w:rsid w:val="00E278C6"/>
    <w:rsid w:val="00E27B0A"/>
    <w:rsid w:val="00E27B15"/>
    <w:rsid w:val="00E27FA5"/>
    <w:rsid w:val="00E30077"/>
    <w:rsid w:val="00E301BD"/>
    <w:rsid w:val="00E301F3"/>
    <w:rsid w:val="00E30298"/>
    <w:rsid w:val="00E3031D"/>
    <w:rsid w:val="00E303A7"/>
    <w:rsid w:val="00E303B7"/>
    <w:rsid w:val="00E30466"/>
    <w:rsid w:val="00E304DC"/>
    <w:rsid w:val="00E3051A"/>
    <w:rsid w:val="00E305E8"/>
    <w:rsid w:val="00E30658"/>
    <w:rsid w:val="00E306D8"/>
    <w:rsid w:val="00E307BB"/>
    <w:rsid w:val="00E30B57"/>
    <w:rsid w:val="00E30C27"/>
    <w:rsid w:val="00E30C2F"/>
    <w:rsid w:val="00E30C49"/>
    <w:rsid w:val="00E30C50"/>
    <w:rsid w:val="00E30C6D"/>
    <w:rsid w:val="00E30CFE"/>
    <w:rsid w:val="00E30DCC"/>
    <w:rsid w:val="00E30E0D"/>
    <w:rsid w:val="00E30E3A"/>
    <w:rsid w:val="00E30E41"/>
    <w:rsid w:val="00E30FC9"/>
    <w:rsid w:val="00E31094"/>
    <w:rsid w:val="00E3110E"/>
    <w:rsid w:val="00E311C5"/>
    <w:rsid w:val="00E3121C"/>
    <w:rsid w:val="00E312C4"/>
    <w:rsid w:val="00E3145F"/>
    <w:rsid w:val="00E31502"/>
    <w:rsid w:val="00E31756"/>
    <w:rsid w:val="00E317AC"/>
    <w:rsid w:val="00E31850"/>
    <w:rsid w:val="00E31881"/>
    <w:rsid w:val="00E31937"/>
    <w:rsid w:val="00E31946"/>
    <w:rsid w:val="00E319CE"/>
    <w:rsid w:val="00E319F6"/>
    <w:rsid w:val="00E31A36"/>
    <w:rsid w:val="00E31A7A"/>
    <w:rsid w:val="00E31ABB"/>
    <w:rsid w:val="00E31AF2"/>
    <w:rsid w:val="00E31B1C"/>
    <w:rsid w:val="00E31B93"/>
    <w:rsid w:val="00E31C31"/>
    <w:rsid w:val="00E31C37"/>
    <w:rsid w:val="00E32268"/>
    <w:rsid w:val="00E322EC"/>
    <w:rsid w:val="00E32318"/>
    <w:rsid w:val="00E3235E"/>
    <w:rsid w:val="00E3238F"/>
    <w:rsid w:val="00E32391"/>
    <w:rsid w:val="00E323F2"/>
    <w:rsid w:val="00E32464"/>
    <w:rsid w:val="00E3256D"/>
    <w:rsid w:val="00E32702"/>
    <w:rsid w:val="00E3284F"/>
    <w:rsid w:val="00E3289A"/>
    <w:rsid w:val="00E328EC"/>
    <w:rsid w:val="00E32961"/>
    <w:rsid w:val="00E3297B"/>
    <w:rsid w:val="00E329AF"/>
    <w:rsid w:val="00E329D2"/>
    <w:rsid w:val="00E329FB"/>
    <w:rsid w:val="00E32B67"/>
    <w:rsid w:val="00E32CEC"/>
    <w:rsid w:val="00E3304E"/>
    <w:rsid w:val="00E33301"/>
    <w:rsid w:val="00E33475"/>
    <w:rsid w:val="00E3349F"/>
    <w:rsid w:val="00E33545"/>
    <w:rsid w:val="00E33666"/>
    <w:rsid w:val="00E33675"/>
    <w:rsid w:val="00E33711"/>
    <w:rsid w:val="00E33714"/>
    <w:rsid w:val="00E337DE"/>
    <w:rsid w:val="00E33938"/>
    <w:rsid w:val="00E33A16"/>
    <w:rsid w:val="00E33B94"/>
    <w:rsid w:val="00E33CD8"/>
    <w:rsid w:val="00E33CF4"/>
    <w:rsid w:val="00E33CF9"/>
    <w:rsid w:val="00E33D13"/>
    <w:rsid w:val="00E33D83"/>
    <w:rsid w:val="00E33D99"/>
    <w:rsid w:val="00E33DB5"/>
    <w:rsid w:val="00E33DE3"/>
    <w:rsid w:val="00E33E9A"/>
    <w:rsid w:val="00E33F55"/>
    <w:rsid w:val="00E340C6"/>
    <w:rsid w:val="00E341A6"/>
    <w:rsid w:val="00E341CA"/>
    <w:rsid w:val="00E3465D"/>
    <w:rsid w:val="00E3485C"/>
    <w:rsid w:val="00E3488D"/>
    <w:rsid w:val="00E349D6"/>
    <w:rsid w:val="00E34AB7"/>
    <w:rsid w:val="00E34AD0"/>
    <w:rsid w:val="00E34ADD"/>
    <w:rsid w:val="00E34C53"/>
    <w:rsid w:val="00E34C9C"/>
    <w:rsid w:val="00E34D10"/>
    <w:rsid w:val="00E34E01"/>
    <w:rsid w:val="00E34EAF"/>
    <w:rsid w:val="00E35087"/>
    <w:rsid w:val="00E350E6"/>
    <w:rsid w:val="00E351EB"/>
    <w:rsid w:val="00E35242"/>
    <w:rsid w:val="00E352AE"/>
    <w:rsid w:val="00E35333"/>
    <w:rsid w:val="00E35354"/>
    <w:rsid w:val="00E35391"/>
    <w:rsid w:val="00E353B3"/>
    <w:rsid w:val="00E35409"/>
    <w:rsid w:val="00E35502"/>
    <w:rsid w:val="00E35543"/>
    <w:rsid w:val="00E355F3"/>
    <w:rsid w:val="00E357F8"/>
    <w:rsid w:val="00E3589B"/>
    <w:rsid w:val="00E359C0"/>
    <w:rsid w:val="00E359CE"/>
    <w:rsid w:val="00E35A33"/>
    <w:rsid w:val="00E35BAC"/>
    <w:rsid w:val="00E35D21"/>
    <w:rsid w:val="00E35DD3"/>
    <w:rsid w:val="00E35FD8"/>
    <w:rsid w:val="00E36076"/>
    <w:rsid w:val="00E36100"/>
    <w:rsid w:val="00E36151"/>
    <w:rsid w:val="00E36239"/>
    <w:rsid w:val="00E3629F"/>
    <w:rsid w:val="00E362A3"/>
    <w:rsid w:val="00E363AE"/>
    <w:rsid w:val="00E363C1"/>
    <w:rsid w:val="00E36410"/>
    <w:rsid w:val="00E36449"/>
    <w:rsid w:val="00E36452"/>
    <w:rsid w:val="00E3654B"/>
    <w:rsid w:val="00E36637"/>
    <w:rsid w:val="00E36719"/>
    <w:rsid w:val="00E36859"/>
    <w:rsid w:val="00E3692E"/>
    <w:rsid w:val="00E36975"/>
    <w:rsid w:val="00E36A6D"/>
    <w:rsid w:val="00E36C4A"/>
    <w:rsid w:val="00E36CD6"/>
    <w:rsid w:val="00E36D0A"/>
    <w:rsid w:val="00E36D77"/>
    <w:rsid w:val="00E36D92"/>
    <w:rsid w:val="00E36E1A"/>
    <w:rsid w:val="00E36E75"/>
    <w:rsid w:val="00E37218"/>
    <w:rsid w:val="00E37282"/>
    <w:rsid w:val="00E373E8"/>
    <w:rsid w:val="00E37406"/>
    <w:rsid w:val="00E375AF"/>
    <w:rsid w:val="00E375E2"/>
    <w:rsid w:val="00E3768D"/>
    <w:rsid w:val="00E376AB"/>
    <w:rsid w:val="00E377E5"/>
    <w:rsid w:val="00E3787C"/>
    <w:rsid w:val="00E37A65"/>
    <w:rsid w:val="00E37AD4"/>
    <w:rsid w:val="00E37B62"/>
    <w:rsid w:val="00E37BFC"/>
    <w:rsid w:val="00E37C4D"/>
    <w:rsid w:val="00E37CC1"/>
    <w:rsid w:val="00E37D0A"/>
    <w:rsid w:val="00E37DB2"/>
    <w:rsid w:val="00E37E89"/>
    <w:rsid w:val="00E37F98"/>
    <w:rsid w:val="00E37FE4"/>
    <w:rsid w:val="00E40030"/>
    <w:rsid w:val="00E40101"/>
    <w:rsid w:val="00E401FC"/>
    <w:rsid w:val="00E4027A"/>
    <w:rsid w:val="00E404AF"/>
    <w:rsid w:val="00E4050B"/>
    <w:rsid w:val="00E4053D"/>
    <w:rsid w:val="00E40551"/>
    <w:rsid w:val="00E40919"/>
    <w:rsid w:val="00E40947"/>
    <w:rsid w:val="00E409A3"/>
    <w:rsid w:val="00E40B79"/>
    <w:rsid w:val="00E40BE7"/>
    <w:rsid w:val="00E40CA8"/>
    <w:rsid w:val="00E40E13"/>
    <w:rsid w:val="00E40E3C"/>
    <w:rsid w:val="00E40F34"/>
    <w:rsid w:val="00E40FC9"/>
    <w:rsid w:val="00E410DB"/>
    <w:rsid w:val="00E41122"/>
    <w:rsid w:val="00E4124A"/>
    <w:rsid w:val="00E4125A"/>
    <w:rsid w:val="00E412E8"/>
    <w:rsid w:val="00E4131D"/>
    <w:rsid w:val="00E4139E"/>
    <w:rsid w:val="00E413A1"/>
    <w:rsid w:val="00E415AD"/>
    <w:rsid w:val="00E415BD"/>
    <w:rsid w:val="00E41688"/>
    <w:rsid w:val="00E4189F"/>
    <w:rsid w:val="00E41AA2"/>
    <w:rsid w:val="00E41AAD"/>
    <w:rsid w:val="00E41B07"/>
    <w:rsid w:val="00E41B3A"/>
    <w:rsid w:val="00E41C37"/>
    <w:rsid w:val="00E41C46"/>
    <w:rsid w:val="00E41D91"/>
    <w:rsid w:val="00E41DCE"/>
    <w:rsid w:val="00E41F16"/>
    <w:rsid w:val="00E4210F"/>
    <w:rsid w:val="00E42203"/>
    <w:rsid w:val="00E4230F"/>
    <w:rsid w:val="00E423CA"/>
    <w:rsid w:val="00E423DA"/>
    <w:rsid w:val="00E424C1"/>
    <w:rsid w:val="00E424D0"/>
    <w:rsid w:val="00E4255F"/>
    <w:rsid w:val="00E4257E"/>
    <w:rsid w:val="00E425C2"/>
    <w:rsid w:val="00E425C9"/>
    <w:rsid w:val="00E42764"/>
    <w:rsid w:val="00E427AF"/>
    <w:rsid w:val="00E427F7"/>
    <w:rsid w:val="00E4283C"/>
    <w:rsid w:val="00E428F0"/>
    <w:rsid w:val="00E42957"/>
    <w:rsid w:val="00E42981"/>
    <w:rsid w:val="00E42A32"/>
    <w:rsid w:val="00E42A4A"/>
    <w:rsid w:val="00E42B2C"/>
    <w:rsid w:val="00E42B85"/>
    <w:rsid w:val="00E42C08"/>
    <w:rsid w:val="00E42C98"/>
    <w:rsid w:val="00E42F83"/>
    <w:rsid w:val="00E43000"/>
    <w:rsid w:val="00E4308E"/>
    <w:rsid w:val="00E43386"/>
    <w:rsid w:val="00E433FF"/>
    <w:rsid w:val="00E43412"/>
    <w:rsid w:val="00E43415"/>
    <w:rsid w:val="00E4354C"/>
    <w:rsid w:val="00E43590"/>
    <w:rsid w:val="00E435C1"/>
    <w:rsid w:val="00E435E5"/>
    <w:rsid w:val="00E435F2"/>
    <w:rsid w:val="00E43670"/>
    <w:rsid w:val="00E437A2"/>
    <w:rsid w:val="00E437D8"/>
    <w:rsid w:val="00E438A9"/>
    <w:rsid w:val="00E43926"/>
    <w:rsid w:val="00E439C9"/>
    <w:rsid w:val="00E439CD"/>
    <w:rsid w:val="00E43A28"/>
    <w:rsid w:val="00E43B21"/>
    <w:rsid w:val="00E43B26"/>
    <w:rsid w:val="00E43CBF"/>
    <w:rsid w:val="00E43CF8"/>
    <w:rsid w:val="00E43D45"/>
    <w:rsid w:val="00E43DBC"/>
    <w:rsid w:val="00E43E02"/>
    <w:rsid w:val="00E43E47"/>
    <w:rsid w:val="00E43E91"/>
    <w:rsid w:val="00E43FAA"/>
    <w:rsid w:val="00E43FAB"/>
    <w:rsid w:val="00E4401D"/>
    <w:rsid w:val="00E44178"/>
    <w:rsid w:val="00E4419E"/>
    <w:rsid w:val="00E441BE"/>
    <w:rsid w:val="00E441EE"/>
    <w:rsid w:val="00E4427E"/>
    <w:rsid w:val="00E442BE"/>
    <w:rsid w:val="00E4449A"/>
    <w:rsid w:val="00E44658"/>
    <w:rsid w:val="00E4469B"/>
    <w:rsid w:val="00E44827"/>
    <w:rsid w:val="00E44874"/>
    <w:rsid w:val="00E449FB"/>
    <w:rsid w:val="00E44A58"/>
    <w:rsid w:val="00E44A83"/>
    <w:rsid w:val="00E44B01"/>
    <w:rsid w:val="00E44BD5"/>
    <w:rsid w:val="00E44E12"/>
    <w:rsid w:val="00E44EC6"/>
    <w:rsid w:val="00E44EC9"/>
    <w:rsid w:val="00E45065"/>
    <w:rsid w:val="00E45157"/>
    <w:rsid w:val="00E451BD"/>
    <w:rsid w:val="00E4525E"/>
    <w:rsid w:val="00E453F2"/>
    <w:rsid w:val="00E4551B"/>
    <w:rsid w:val="00E45617"/>
    <w:rsid w:val="00E4572C"/>
    <w:rsid w:val="00E4594B"/>
    <w:rsid w:val="00E459F2"/>
    <w:rsid w:val="00E45A00"/>
    <w:rsid w:val="00E45A83"/>
    <w:rsid w:val="00E45B6A"/>
    <w:rsid w:val="00E45C25"/>
    <w:rsid w:val="00E45C53"/>
    <w:rsid w:val="00E45CEA"/>
    <w:rsid w:val="00E45E33"/>
    <w:rsid w:val="00E46053"/>
    <w:rsid w:val="00E460BD"/>
    <w:rsid w:val="00E461CF"/>
    <w:rsid w:val="00E461D2"/>
    <w:rsid w:val="00E46246"/>
    <w:rsid w:val="00E462A9"/>
    <w:rsid w:val="00E462E1"/>
    <w:rsid w:val="00E46365"/>
    <w:rsid w:val="00E463FD"/>
    <w:rsid w:val="00E46638"/>
    <w:rsid w:val="00E46640"/>
    <w:rsid w:val="00E46743"/>
    <w:rsid w:val="00E46761"/>
    <w:rsid w:val="00E46832"/>
    <w:rsid w:val="00E46883"/>
    <w:rsid w:val="00E4696E"/>
    <w:rsid w:val="00E469F8"/>
    <w:rsid w:val="00E46BA0"/>
    <w:rsid w:val="00E46D15"/>
    <w:rsid w:val="00E46E4F"/>
    <w:rsid w:val="00E46EC5"/>
    <w:rsid w:val="00E47099"/>
    <w:rsid w:val="00E4713C"/>
    <w:rsid w:val="00E4718B"/>
    <w:rsid w:val="00E47261"/>
    <w:rsid w:val="00E47402"/>
    <w:rsid w:val="00E474A4"/>
    <w:rsid w:val="00E475AA"/>
    <w:rsid w:val="00E476A0"/>
    <w:rsid w:val="00E4778C"/>
    <w:rsid w:val="00E479EE"/>
    <w:rsid w:val="00E47A11"/>
    <w:rsid w:val="00E47A59"/>
    <w:rsid w:val="00E47B04"/>
    <w:rsid w:val="00E47C6F"/>
    <w:rsid w:val="00E47C75"/>
    <w:rsid w:val="00E47E6C"/>
    <w:rsid w:val="00E47F9F"/>
    <w:rsid w:val="00E50056"/>
    <w:rsid w:val="00E5011B"/>
    <w:rsid w:val="00E50159"/>
    <w:rsid w:val="00E5018D"/>
    <w:rsid w:val="00E501CB"/>
    <w:rsid w:val="00E501EB"/>
    <w:rsid w:val="00E5020F"/>
    <w:rsid w:val="00E502D0"/>
    <w:rsid w:val="00E503BB"/>
    <w:rsid w:val="00E50675"/>
    <w:rsid w:val="00E50807"/>
    <w:rsid w:val="00E50903"/>
    <w:rsid w:val="00E509A7"/>
    <w:rsid w:val="00E509BE"/>
    <w:rsid w:val="00E50C53"/>
    <w:rsid w:val="00E50CB2"/>
    <w:rsid w:val="00E50E24"/>
    <w:rsid w:val="00E50E5E"/>
    <w:rsid w:val="00E50F5D"/>
    <w:rsid w:val="00E50FA0"/>
    <w:rsid w:val="00E50FE0"/>
    <w:rsid w:val="00E5103D"/>
    <w:rsid w:val="00E51088"/>
    <w:rsid w:val="00E5122B"/>
    <w:rsid w:val="00E513FB"/>
    <w:rsid w:val="00E51418"/>
    <w:rsid w:val="00E5158E"/>
    <w:rsid w:val="00E5158F"/>
    <w:rsid w:val="00E515D2"/>
    <w:rsid w:val="00E51726"/>
    <w:rsid w:val="00E51742"/>
    <w:rsid w:val="00E51802"/>
    <w:rsid w:val="00E51816"/>
    <w:rsid w:val="00E51832"/>
    <w:rsid w:val="00E518BE"/>
    <w:rsid w:val="00E518E9"/>
    <w:rsid w:val="00E51956"/>
    <w:rsid w:val="00E51AB4"/>
    <w:rsid w:val="00E51BB6"/>
    <w:rsid w:val="00E51CB6"/>
    <w:rsid w:val="00E51E27"/>
    <w:rsid w:val="00E51E90"/>
    <w:rsid w:val="00E51F3C"/>
    <w:rsid w:val="00E51FE6"/>
    <w:rsid w:val="00E52295"/>
    <w:rsid w:val="00E523A6"/>
    <w:rsid w:val="00E52480"/>
    <w:rsid w:val="00E52547"/>
    <w:rsid w:val="00E525AD"/>
    <w:rsid w:val="00E52616"/>
    <w:rsid w:val="00E526F5"/>
    <w:rsid w:val="00E52760"/>
    <w:rsid w:val="00E5286C"/>
    <w:rsid w:val="00E52871"/>
    <w:rsid w:val="00E52A2D"/>
    <w:rsid w:val="00E52B36"/>
    <w:rsid w:val="00E52B61"/>
    <w:rsid w:val="00E52BF6"/>
    <w:rsid w:val="00E52CD7"/>
    <w:rsid w:val="00E52EAC"/>
    <w:rsid w:val="00E52ECE"/>
    <w:rsid w:val="00E53041"/>
    <w:rsid w:val="00E5311F"/>
    <w:rsid w:val="00E531BB"/>
    <w:rsid w:val="00E5329C"/>
    <w:rsid w:val="00E5329E"/>
    <w:rsid w:val="00E5374D"/>
    <w:rsid w:val="00E537DA"/>
    <w:rsid w:val="00E538E8"/>
    <w:rsid w:val="00E5392E"/>
    <w:rsid w:val="00E5398E"/>
    <w:rsid w:val="00E53A73"/>
    <w:rsid w:val="00E53AB1"/>
    <w:rsid w:val="00E53AC0"/>
    <w:rsid w:val="00E53B01"/>
    <w:rsid w:val="00E53BB8"/>
    <w:rsid w:val="00E53BB9"/>
    <w:rsid w:val="00E53BD3"/>
    <w:rsid w:val="00E53D34"/>
    <w:rsid w:val="00E53D78"/>
    <w:rsid w:val="00E53E67"/>
    <w:rsid w:val="00E53E94"/>
    <w:rsid w:val="00E53F75"/>
    <w:rsid w:val="00E53F7F"/>
    <w:rsid w:val="00E54029"/>
    <w:rsid w:val="00E5411F"/>
    <w:rsid w:val="00E5415E"/>
    <w:rsid w:val="00E542B9"/>
    <w:rsid w:val="00E5431B"/>
    <w:rsid w:val="00E54385"/>
    <w:rsid w:val="00E5438F"/>
    <w:rsid w:val="00E54395"/>
    <w:rsid w:val="00E545FC"/>
    <w:rsid w:val="00E5462B"/>
    <w:rsid w:val="00E54677"/>
    <w:rsid w:val="00E548D3"/>
    <w:rsid w:val="00E54A87"/>
    <w:rsid w:val="00E54AB3"/>
    <w:rsid w:val="00E54BA1"/>
    <w:rsid w:val="00E54BCA"/>
    <w:rsid w:val="00E54C9D"/>
    <w:rsid w:val="00E54CAB"/>
    <w:rsid w:val="00E54D08"/>
    <w:rsid w:val="00E54D1D"/>
    <w:rsid w:val="00E54DDD"/>
    <w:rsid w:val="00E54E69"/>
    <w:rsid w:val="00E54ECB"/>
    <w:rsid w:val="00E54EEA"/>
    <w:rsid w:val="00E54FCE"/>
    <w:rsid w:val="00E55212"/>
    <w:rsid w:val="00E5529A"/>
    <w:rsid w:val="00E5534C"/>
    <w:rsid w:val="00E553A5"/>
    <w:rsid w:val="00E554E1"/>
    <w:rsid w:val="00E555C0"/>
    <w:rsid w:val="00E55632"/>
    <w:rsid w:val="00E5576E"/>
    <w:rsid w:val="00E557D4"/>
    <w:rsid w:val="00E55854"/>
    <w:rsid w:val="00E5589E"/>
    <w:rsid w:val="00E558BD"/>
    <w:rsid w:val="00E55A0A"/>
    <w:rsid w:val="00E55D52"/>
    <w:rsid w:val="00E55F46"/>
    <w:rsid w:val="00E56056"/>
    <w:rsid w:val="00E560C0"/>
    <w:rsid w:val="00E560F6"/>
    <w:rsid w:val="00E56107"/>
    <w:rsid w:val="00E56192"/>
    <w:rsid w:val="00E561B3"/>
    <w:rsid w:val="00E5633B"/>
    <w:rsid w:val="00E563D2"/>
    <w:rsid w:val="00E5643B"/>
    <w:rsid w:val="00E56580"/>
    <w:rsid w:val="00E565A1"/>
    <w:rsid w:val="00E566A0"/>
    <w:rsid w:val="00E566F0"/>
    <w:rsid w:val="00E56752"/>
    <w:rsid w:val="00E5675C"/>
    <w:rsid w:val="00E567D2"/>
    <w:rsid w:val="00E56C64"/>
    <w:rsid w:val="00E56C75"/>
    <w:rsid w:val="00E56C79"/>
    <w:rsid w:val="00E56D36"/>
    <w:rsid w:val="00E56D3F"/>
    <w:rsid w:val="00E56EBF"/>
    <w:rsid w:val="00E56F52"/>
    <w:rsid w:val="00E56FB3"/>
    <w:rsid w:val="00E56FBC"/>
    <w:rsid w:val="00E5708B"/>
    <w:rsid w:val="00E570F6"/>
    <w:rsid w:val="00E5736E"/>
    <w:rsid w:val="00E573AD"/>
    <w:rsid w:val="00E57634"/>
    <w:rsid w:val="00E5764D"/>
    <w:rsid w:val="00E57731"/>
    <w:rsid w:val="00E578C5"/>
    <w:rsid w:val="00E57A92"/>
    <w:rsid w:val="00E57B23"/>
    <w:rsid w:val="00E57B43"/>
    <w:rsid w:val="00E57B4B"/>
    <w:rsid w:val="00E57B92"/>
    <w:rsid w:val="00E57CBD"/>
    <w:rsid w:val="00E57D6D"/>
    <w:rsid w:val="00E57D8C"/>
    <w:rsid w:val="00E57F97"/>
    <w:rsid w:val="00E57FC9"/>
    <w:rsid w:val="00E60003"/>
    <w:rsid w:val="00E60098"/>
    <w:rsid w:val="00E601CA"/>
    <w:rsid w:val="00E602B8"/>
    <w:rsid w:val="00E60360"/>
    <w:rsid w:val="00E6037B"/>
    <w:rsid w:val="00E603D0"/>
    <w:rsid w:val="00E60562"/>
    <w:rsid w:val="00E6057F"/>
    <w:rsid w:val="00E605B7"/>
    <w:rsid w:val="00E605D8"/>
    <w:rsid w:val="00E60628"/>
    <w:rsid w:val="00E60790"/>
    <w:rsid w:val="00E607D0"/>
    <w:rsid w:val="00E608A1"/>
    <w:rsid w:val="00E60922"/>
    <w:rsid w:val="00E609DB"/>
    <w:rsid w:val="00E60A16"/>
    <w:rsid w:val="00E60B1A"/>
    <w:rsid w:val="00E60C05"/>
    <w:rsid w:val="00E60C68"/>
    <w:rsid w:val="00E60C93"/>
    <w:rsid w:val="00E60CFA"/>
    <w:rsid w:val="00E60D57"/>
    <w:rsid w:val="00E60D9D"/>
    <w:rsid w:val="00E60E67"/>
    <w:rsid w:val="00E60EFA"/>
    <w:rsid w:val="00E60F11"/>
    <w:rsid w:val="00E60FD1"/>
    <w:rsid w:val="00E610B4"/>
    <w:rsid w:val="00E61361"/>
    <w:rsid w:val="00E61652"/>
    <w:rsid w:val="00E61799"/>
    <w:rsid w:val="00E617F4"/>
    <w:rsid w:val="00E618DE"/>
    <w:rsid w:val="00E61925"/>
    <w:rsid w:val="00E6197C"/>
    <w:rsid w:val="00E61AC8"/>
    <w:rsid w:val="00E61B38"/>
    <w:rsid w:val="00E61B44"/>
    <w:rsid w:val="00E61EE9"/>
    <w:rsid w:val="00E61FE7"/>
    <w:rsid w:val="00E6218B"/>
    <w:rsid w:val="00E621A1"/>
    <w:rsid w:val="00E622E5"/>
    <w:rsid w:val="00E624B2"/>
    <w:rsid w:val="00E62514"/>
    <w:rsid w:val="00E62802"/>
    <w:rsid w:val="00E62856"/>
    <w:rsid w:val="00E628D7"/>
    <w:rsid w:val="00E6296F"/>
    <w:rsid w:val="00E62B4F"/>
    <w:rsid w:val="00E62B97"/>
    <w:rsid w:val="00E62DAA"/>
    <w:rsid w:val="00E62EA9"/>
    <w:rsid w:val="00E62EC5"/>
    <w:rsid w:val="00E62EF6"/>
    <w:rsid w:val="00E63270"/>
    <w:rsid w:val="00E63342"/>
    <w:rsid w:val="00E634B7"/>
    <w:rsid w:val="00E6353D"/>
    <w:rsid w:val="00E635B1"/>
    <w:rsid w:val="00E63935"/>
    <w:rsid w:val="00E639CC"/>
    <w:rsid w:val="00E63A30"/>
    <w:rsid w:val="00E63A4D"/>
    <w:rsid w:val="00E63C2F"/>
    <w:rsid w:val="00E63CAB"/>
    <w:rsid w:val="00E63D6A"/>
    <w:rsid w:val="00E63E25"/>
    <w:rsid w:val="00E63E99"/>
    <w:rsid w:val="00E63EC5"/>
    <w:rsid w:val="00E63F99"/>
    <w:rsid w:val="00E64153"/>
    <w:rsid w:val="00E641A8"/>
    <w:rsid w:val="00E641CD"/>
    <w:rsid w:val="00E642C4"/>
    <w:rsid w:val="00E642FD"/>
    <w:rsid w:val="00E6436A"/>
    <w:rsid w:val="00E644E9"/>
    <w:rsid w:val="00E64550"/>
    <w:rsid w:val="00E64552"/>
    <w:rsid w:val="00E645FD"/>
    <w:rsid w:val="00E64646"/>
    <w:rsid w:val="00E64674"/>
    <w:rsid w:val="00E64710"/>
    <w:rsid w:val="00E6481E"/>
    <w:rsid w:val="00E6492D"/>
    <w:rsid w:val="00E64AEA"/>
    <w:rsid w:val="00E64B0D"/>
    <w:rsid w:val="00E64B41"/>
    <w:rsid w:val="00E64C9E"/>
    <w:rsid w:val="00E64D34"/>
    <w:rsid w:val="00E64D45"/>
    <w:rsid w:val="00E64E86"/>
    <w:rsid w:val="00E64EE1"/>
    <w:rsid w:val="00E64F0C"/>
    <w:rsid w:val="00E64FC6"/>
    <w:rsid w:val="00E64FFE"/>
    <w:rsid w:val="00E65145"/>
    <w:rsid w:val="00E65163"/>
    <w:rsid w:val="00E65169"/>
    <w:rsid w:val="00E6516D"/>
    <w:rsid w:val="00E65481"/>
    <w:rsid w:val="00E654F7"/>
    <w:rsid w:val="00E6550B"/>
    <w:rsid w:val="00E65521"/>
    <w:rsid w:val="00E65562"/>
    <w:rsid w:val="00E65565"/>
    <w:rsid w:val="00E65746"/>
    <w:rsid w:val="00E657C3"/>
    <w:rsid w:val="00E65993"/>
    <w:rsid w:val="00E659FE"/>
    <w:rsid w:val="00E65A27"/>
    <w:rsid w:val="00E65B06"/>
    <w:rsid w:val="00E65BC8"/>
    <w:rsid w:val="00E65C22"/>
    <w:rsid w:val="00E65C7A"/>
    <w:rsid w:val="00E65D6C"/>
    <w:rsid w:val="00E65F9E"/>
    <w:rsid w:val="00E66140"/>
    <w:rsid w:val="00E66191"/>
    <w:rsid w:val="00E66254"/>
    <w:rsid w:val="00E663B9"/>
    <w:rsid w:val="00E663E1"/>
    <w:rsid w:val="00E66670"/>
    <w:rsid w:val="00E666A9"/>
    <w:rsid w:val="00E66856"/>
    <w:rsid w:val="00E668D7"/>
    <w:rsid w:val="00E66B91"/>
    <w:rsid w:val="00E66CE0"/>
    <w:rsid w:val="00E66DCC"/>
    <w:rsid w:val="00E66E88"/>
    <w:rsid w:val="00E67008"/>
    <w:rsid w:val="00E6702A"/>
    <w:rsid w:val="00E67048"/>
    <w:rsid w:val="00E670A1"/>
    <w:rsid w:val="00E67178"/>
    <w:rsid w:val="00E6731A"/>
    <w:rsid w:val="00E6734A"/>
    <w:rsid w:val="00E67371"/>
    <w:rsid w:val="00E673C4"/>
    <w:rsid w:val="00E674E8"/>
    <w:rsid w:val="00E67560"/>
    <w:rsid w:val="00E6761C"/>
    <w:rsid w:val="00E67654"/>
    <w:rsid w:val="00E67795"/>
    <w:rsid w:val="00E677E7"/>
    <w:rsid w:val="00E67918"/>
    <w:rsid w:val="00E67920"/>
    <w:rsid w:val="00E67999"/>
    <w:rsid w:val="00E679F8"/>
    <w:rsid w:val="00E67A80"/>
    <w:rsid w:val="00E67B7B"/>
    <w:rsid w:val="00E67C96"/>
    <w:rsid w:val="00E67CBB"/>
    <w:rsid w:val="00E67CE3"/>
    <w:rsid w:val="00E67DDF"/>
    <w:rsid w:val="00E67E00"/>
    <w:rsid w:val="00E67E90"/>
    <w:rsid w:val="00E67EF9"/>
    <w:rsid w:val="00E67F4A"/>
    <w:rsid w:val="00E7000F"/>
    <w:rsid w:val="00E7016F"/>
    <w:rsid w:val="00E701AF"/>
    <w:rsid w:val="00E70253"/>
    <w:rsid w:val="00E70272"/>
    <w:rsid w:val="00E70296"/>
    <w:rsid w:val="00E702EB"/>
    <w:rsid w:val="00E7034A"/>
    <w:rsid w:val="00E70443"/>
    <w:rsid w:val="00E7053F"/>
    <w:rsid w:val="00E7058C"/>
    <w:rsid w:val="00E7065A"/>
    <w:rsid w:val="00E70797"/>
    <w:rsid w:val="00E70A0D"/>
    <w:rsid w:val="00E70B55"/>
    <w:rsid w:val="00E70C58"/>
    <w:rsid w:val="00E70CFC"/>
    <w:rsid w:val="00E70E23"/>
    <w:rsid w:val="00E70EC4"/>
    <w:rsid w:val="00E70EDD"/>
    <w:rsid w:val="00E70FE6"/>
    <w:rsid w:val="00E71046"/>
    <w:rsid w:val="00E7111C"/>
    <w:rsid w:val="00E71124"/>
    <w:rsid w:val="00E7125A"/>
    <w:rsid w:val="00E712DE"/>
    <w:rsid w:val="00E71389"/>
    <w:rsid w:val="00E7153D"/>
    <w:rsid w:val="00E7155D"/>
    <w:rsid w:val="00E7171C"/>
    <w:rsid w:val="00E71751"/>
    <w:rsid w:val="00E7184F"/>
    <w:rsid w:val="00E71854"/>
    <w:rsid w:val="00E71914"/>
    <w:rsid w:val="00E71A09"/>
    <w:rsid w:val="00E71B37"/>
    <w:rsid w:val="00E71B70"/>
    <w:rsid w:val="00E71C8A"/>
    <w:rsid w:val="00E71CA7"/>
    <w:rsid w:val="00E71CBF"/>
    <w:rsid w:val="00E71D82"/>
    <w:rsid w:val="00E71E1D"/>
    <w:rsid w:val="00E71E93"/>
    <w:rsid w:val="00E71EE0"/>
    <w:rsid w:val="00E71F16"/>
    <w:rsid w:val="00E71F2F"/>
    <w:rsid w:val="00E71F92"/>
    <w:rsid w:val="00E7208A"/>
    <w:rsid w:val="00E72097"/>
    <w:rsid w:val="00E7209A"/>
    <w:rsid w:val="00E72216"/>
    <w:rsid w:val="00E723B1"/>
    <w:rsid w:val="00E724B9"/>
    <w:rsid w:val="00E725E7"/>
    <w:rsid w:val="00E726BE"/>
    <w:rsid w:val="00E72723"/>
    <w:rsid w:val="00E727D3"/>
    <w:rsid w:val="00E72A66"/>
    <w:rsid w:val="00E72C22"/>
    <w:rsid w:val="00E72DE1"/>
    <w:rsid w:val="00E72E44"/>
    <w:rsid w:val="00E72E4A"/>
    <w:rsid w:val="00E72F0D"/>
    <w:rsid w:val="00E72F1F"/>
    <w:rsid w:val="00E72F6A"/>
    <w:rsid w:val="00E72FE3"/>
    <w:rsid w:val="00E73045"/>
    <w:rsid w:val="00E73128"/>
    <w:rsid w:val="00E73237"/>
    <w:rsid w:val="00E73335"/>
    <w:rsid w:val="00E73380"/>
    <w:rsid w:val="00E7339B"/>
    <w:rsid w:val="00E735B6"/>
    <w:rsid w:val="00E7371B"/>
    <w:rsid w:val="00E7371D"/>
    <w:rsid w:val="00E7372F"/>
    <w:rsid w:val="00E737E7"/>
    <w:rsid w:val="00E73927"/>
    <w:rsid w:val="00E739B1"/>
    <w:rsid w:val="00E73A01"/>
    <w:rsid w:val="00E73A1B"/>
    <w:rsid w:val="00E73A9D"/>
    <w:rsid w:val="00E73B97"/>
    <w:rsid w:val="00E73C1E"/>
    <w:rsid w:val="00E73C4F"/>
    <w:rsid w:val="00E73C7D"/>
    <w:rsid w:val="00E73CBD"/>
    <w:rsid w:val="00E73CC7"/>
    <w:rsid w:val="00E73D00"/>
    <w:rsid w:val="00E73DF4"/>
    <w:rsid w:val="00E741E2"/>
    <w:rsid w:val="00E741F4"/>
    <w:rsid w:val="00E7423F"/>
    <w:rsid w:val="00E744C8"/>
    <w:rsid w:val="00E744FA"/>
    <w:rsid w:val="00E74580"/>
    <w:rsid w:val="00E745AF"/>
    <w:rsid w:val="00E74676"/>
    <w:rsid w:val="00E7483E"/>
    <w:rsid w:val="00E7485D"/>
    <w:rsid w:val="00E7487A"/>
    <w:rsid w:val="00E74945"/>
    <w:rsid w:val="00E74A0C"/>
    <w:rsid w:val="00E74ABA"/>
    <w:rsid w:val="00E74BFE"/>
    <w:rsid w:val="00E74E2E"/>
    <w:rsid w:val="00E751A4"/>
    <w:rsid w:val="00E7521B"/>
    <w:rsid w:val="00E75260"/>
    <w:rsid w:val="00E75268"/>
    <w:rsid w:val="00E75343"/>
    <w:rsid w:val="00E753EF"/>
    <w:rsid w:val="00E753F7"/>
    <w:rsid w:val="00E75443"/>
    <w:rsid w:val="00E7544F"/>
    <w:rsid w:val="00E7559A"/>
    <w:rsid w:val="00E755E5"/>
    <w:rsid w:val="00E7572B"/>
    <w:rsid w:val="00E7577C"/>
    <w:rsid w:val="00E757E7"/>
    <w:rsid w:val="00E75954"/>
    <w:rsid w:val="00E75961"/>
    <w:rsid w:val="00E759BE"/>
    <w:rsid w:val="00E759CF"/>
    <w:rsid w:val="00E75A7E"/>
    <w:rsid w:val="00E75ADF"/>
    <w:rsid w:val="00E75C81"/>
    <w:rsid w:val="00E75ED9"/>
    <w:rsid w:val="00E75FE2"/>
    <w:rsid w:val="00E75FE5"/>
    <w:rsid w:val="00E7608A"/>
    <w:rsid w:val="00E76121"/>
    <w:rsid w:val="00E76321"/>
    <w:rsid w:val="00E76389"/>
    <w:rsid w:val="00E76398"/>
    <w:rsid w:val="00E76548"/>
    <w:rsid w:val="00E76570"/>
    <w:rsid w:val="00E765AF"/>
    <w:rsid w:val="00E765ED"/>
    <w:rsid w:val="00E76610"/>
    <w:rsid w:val="00E7661D"/>
    <w:rsid w:val="00E76689"/>
    <w:rsid w:val="00E766B3"/>
    <w:rsid w:val="00E767C7"/>
    <w:rsid w:val="00E7697F"/>
    <w:rsid w:val="00E76988"/>
    <w:rsid w:val="00E76A43"/>
    <w:rsid w:val="00E76C3E"/>
    <w:rsid w:val="00E76C8A"/>
    <w:rsid w:val="00E76C92"/>
    <w:rsid w:val="00E76C98"/>
    <w:rsid w:val="00E76CC4"/>
    <w:rsid w:val="00E76D6E"/>
    <w:rsid w:val="00E76EC1"/>
    <w:rsid w:val="00E76EDD"/>
    <w:rsid w:val="00E76F26"/>
    <w:rsid w:val="00E76F7B"/>
    <w:rsid w:val="00E7711B"/>
    <w:rsid w:val="00E771FC"/>
    <w:rsid w:val="00E7726B"/>
    <w:rsid w:val="00E77291"/>
    <w:rsid w:val="00E774E6"/>
    <w:rsid w:val="00E775A7"/>
    <w:rsid w:val="00E775CE"/>
    <w:rsid w:val="00E776AB"/>
    <w:rsid w:val="00E7786D"/>
    <w:rsid w:val="00E77938"/>
    <w:rsid w:val="00E77A2F"/>
    <w:rsid w:val="00E77A34"/>
    <w:rsid w:val="00E77B5E"/>
    <w:rsid w:val="00E77BC6"/>
    <w:rsid w:val="00E77BFD"/>
    <w:rsid w:val="00E77DFC"/>
    <w:rsid w:val="00E77EB9"/>
    <w:rsid w:val="00E77F0F"/>
    <w:rsid w:val="00E77FE5"/>
    <w:rsid w:val="00E8011C"/>
    <w:rsid w:val="00E801EC"/>
    <w:rsid w:val="00E80208"/>
    <w:rsid w:val="00E80217"/>
    <w:rsid w:val="00E802E2"/>
    <w:rsid w:val="00E8040C"/>
    <w:rsid w:val="00E80417"/>
    <w:rsid w:val="00E80579"/>
    <w:rsid w:val="00E8067C"/>
    <w:rsid w:val="00E8083F"/>
    <w:rsid w:val="00E8084B"/>
    <w:rsid w:val="00E8086F"/>
    <w:rsid w:val="00E80878"/>
    <w:rsid w:val="00E80A09"/>
    <w:rsid w:val="00E80A16"/>
    <w:rsid w:val="00E80B2D"/>
    <w:rsid w:val="00E80BF3"/>
    <w:rsid w:val="00E80CB5"/>
    <w:rsid w:val="00E80E90"/>
    <w:rsid w:val="00E80E93"/>
    <w:rsid w:val="00E80EA1"/>
    <w:rsid w:val="00E80FB6"/>
    <w:rsid w:val="00E81014"/>
    <w:rsid w:val="00E81110"/>
    <w:rsid w:val="00E8113D"/>
    <w:rsid w:val="00E8116F"/>
    <w:rsid w:val="00E812EA"/>
    <w:rsid w:val="00E81333"/>
    <w:rsid w:val="00E81571"/>
    <w:rsid w:val="00E816FF"/>
    <w:rsid w:val="00E81759"/>
    <w:rsid w:val="00E8178D"/>
    <w:rsid w:val="00E818A5"/>
    <w:rsid w:val="00E81937"/>
    <w:rsid w:val="00E81977"/>
    <w:rsid w:val="00E819CC"/>
    <w:rsid w:val="00E81AB0"/>
    <w:rsid w:val="00E81BAF"/>
    <w:rsid w:val="00E81C83"/>
    <w:rsid w:val="00E81D40"/>
    <w:rsid w:val="00E81DFC"/>
    <w:rsid w:val="00E81E90"/>
    <w:rsid w:val="00E81FBA"/>
    <w:rsid w:val="00E82005"/>
    <w:rsid w:val="00E82044"/>
    <w:rsid w:val="00E820B7"/>
    <w:rsid w:val="00E82152"/>
    <w:rsid w:val="00E8219E"/>
    <w:rsid w:val="00E821B1"/>
    <w:rsid w:val="00E821E0"/>
    <w:rsid w:val="00E8222D"/>
    <w:rsid w:val="00E82295"/>
    <w:rsid w:val="00E822BE"/>
    <w:rsid w:val="00E825AF"/>
    <w:rsid w:val="00E82626"/>
    <w:rsid w:val="00E8264A"/>
    <w:rsid w:val="00E82652"/>
    <w:rsid w:val="00E82766"/>
    <w:rsid w:val="00E82A09"/>
    <w:rsid w:val="00E82B03"/>
    <w:rsid w:val="00E82B6B"/>
    <w:rsid w:val="00E82B8C"/>
    <w:rsid w:val="00E82B95"/>
    <w:rsid w:val="00E82C73"/>
    <w:rsid w:val="00E82DD4"/>
    <w:rsid w:val="00E82F09"/>
    <w:rsid w:val="00E82F36"/>
    <w:rsid w:val="00E82FB4"/>
    <w:rsid w:val="00E82FE2"/>
    <w:rsid w:val="00E8317C"/>
    <w:rsid w:val="00E832B4"/>
    <w:rsid w:val="00E832BE"/>
    <w:rsid w:val="00E833CE"/>
    <w:rsid w:val="00E833E1"/>
    <w:rsid w:val="00E835DB"/>
    <w:rsid w:val="00E8366A"/>
    <w:rsid w:val="00E836F3"/>
    <w:rsid w:val="00E837FB"/>
    <w:rsid w:val="00E8389D"/>
    <w:rsid w:val="00E8395F"/>
    <w:rsid w:val="00E839C7"/>
    <w:rsid w:val="00E83B4B"/>
    <w:rsid w:val="00E83D4A"/>
    <w:rsid w:val="00E83EED"/>
    <w:rsid w:val="00E83F0F"/>
    <w:rsid w:val="00E83F7E"/>
    <w:rsid w:val="00E8414C"/>
    <w:rsid w:val="00E841EE"/>
    <w:rsid w:val="00E84616"/>
    <w:rsid w:val="00E846FC"/>
    <w:rsid w:val="00E84709"/>
    <w:rsid w:val="00E84794"/>
    <w:rsid w:val="00E848DA"/>
    <w:rsid w:val="00E84998"/>
    <w:rsid w:val="00E84A3D"/>
    <w:rsid w:val="00E84DC8"/>
    <w:rsid w:val="00E85008"/>
    <w:rsid w:val="00E8512A"/>
    <w:rsid w:val="00E852DE"/>
    <w:rsid w:val="00E8536D"/>
    <w:rsid w:val="00E8550F"/>
    <w:rsid w:val="00E8554F"/>
    <w:rsid w:val="00E85781"/>
    <w:rsid w:val="00E857B0"/>
    <w:rsid w:val="00E85800"/>
    <w:rsid w:val="00E85864"/>
    <w:rsid w:val="00E85870"/>
    <w:rsid w:val="00E85A9C"/>
    <w:rsid w:val="00E85B18"/>
    <w:rsid w:val="00E85C04"/>
    <w:rsid w:val="00E85C89"/>
    <w:rsid w:val="00E85DB4"/>
    <w:rsid w:val="00E85DE9"/>
    <w:rsid w:val="00E85E47"/>
    <w:rsid w:val="00E85E6F"/>
    <w:rsid w:val="00E85EDB"/>
    <w:rsid w:val="00E86036"/>
    <w:rsid w:val="00E860D7"/>
    <w:rsid w:val="00E860E3"/>
    <w:rsid w:val="00E8616C"/>
    <w:rsid w:val="00E861CE"/>
    <w:rsid w:val="00E862D9"/>
    <w:rsid w:val="00E862FA"/>
    <w:rsid w:val="00E86345"/>
    <w:rsid w:val="00E86435"/>
    <w:rsid w:val="00E865F0"/>
    <w:rsid w:val="00E8664D"/>
    <w:rsid w:val="00E86698"/>
    <w:rsid w:val="00E8688F"/>
    <w:rsid w:val="00E869DB"/>
    <w:rsid w:val="00E86A41"/>
    <w:rsid w:val="00E86C33"/>
    <w:rsid w:val="00E86C70"/>
    <w:rsid w:val="00E86CAB"/>
    <w:rsid w:val="00E86CE2"/>
    <w:rsid w:val="00E86D0E"/>
    <w:rsid w:val="00E86EA5"/>
    <w:rsid w:val="00E86EF2"/>
    <w:rsid w:val="00E86F38"/>
    <w:rsid w:val="00E86FB0"/>
    <w:rsid w:val="00E87228"/>
    <w:rsid w:val="00E872AF"/>
    <w:rsid w:val="00E87338"/>
    <w:rsid w:val="00E87374"/>
    <w:rsid w:val="00E873D4"/>
    <w:rsid w:val="00E8743A"/>
    <w:rsid w:val="00E87531"/>
    <w:rsid w:val="00E875F3"/>
    <w:rsid w:val="00E876B0"/>
    <w:rsid w:val="00E87709"/>
    <w:rsid w:val="00E87788"/>
    <w:rsid w:val="00E877D4"/>
    <w:rsid w:val="00E87822"/>
    <w:rsid w:val="00E8790D"/>
    <w:rsid w:val="00E87954"/>
    <w:rsid w:val="00E87A21"/>
    <w:rsid w:val="00E87A6F"/>
    <w:rsid w:val="00E87A7A"/>
    <w:rsid w:val="00E87AEB"/>
    <w:rsid w:val="00E87B19"/>
    <w:rsid w:val="00E87BF3"/>
    <w:rsid w:val="00E87C50"/>
    <w:rsid w:val="00E87D39"/>
    <w:rsid w:val="00E87D54"/>
    <w:rsid w:val="00E87FA0"/>
    <w:rsid w:val="00E90308"/>
    <w:rsid w:val="00E903D6"/>
    <w:rsid w:val="00E905E2"/>
    <w:rsid w:val="00E906E8"/>
    <w:rsid w:val="00E9070F"/>
    <w:rsid w:val="00E9072B"/>
    <w:rsid w:val="00E908C3"/>
    <w:rsid w:val="00E90945"/>
    <w:rsid w:val="00E9098D"/>
    <w:rsid w:val="00E90A01"/>
    <w:rsid w:val="00E90B0D"/>
    <w:rsid w:val="00E90B99"/>
    <w:rsid w:val="00E90C46"/>
    <w:rsid w:val="00E90D28"/>
    <w:rsid w:val="00E90D2F"/>
    <w:rsid w:val="00E90ED3"/>
    <w:rsid w:val="00E91024"/>
    <w:rsid w:val="00E91045"/>
    <w:rsid w:val="00E91080"/>
    <w:rsid w:val="00E910E1"/>
    <w:rsid w:val="00E91259"/>
    <w:rsid w:val="00E912E8"/>
    <w:rsid w:val="00E91494"/>
    <w:rsid w:val="00E91504"/>
    <w:rsid w:val="00E91527"/>
    <w:rsid w:val="00E9161A"/>
    <w:rsid w:val="00E91953"/>
    <w:rsid w:val="00E91993"/>
    <w:rsid w:val="00E919CB"/>
    <w:rsid w:val="00E91A9C"/>
    <w:rsid w:val="00E91AD9"/>
    <w:rsid w:val="00E91C6D"/>
    <w:rsid w:val="00E91E0A"/>
    <w:rsid w:val="00E91F1B"/>
    <w:rsid w:val="00E91F97"/>
    <w:rsid w:val="00E91FE8"/>
    <w:rsid w:val="00E92115"/>
    <w:rsid w:val="00E9220F"/>
    <w:rsid w:val="00E92250"/>
    <w:rsid w:val="00E922B0"/>
    <w:rsid w:val="00E922C0"/>
    <w:rsid w:val="00E9232E"/>
    <w:rsid w:val="00E92382"/>
    <w:rsid w:val="00E9248B"/>
    <w:rsid w:val="00E92671"/>
    <w:rsid w:val="00E92760"/>
    <w:rsid w:val="00E928B0"/>
    <w:rsid w:val="00E92946"/>
    <w:rsid w:val="00E92982"/>
    <w:rsid w:val="00E92990"/>
    <w:rsid w:val="00E929D5"/>
    <w:rsid w:val="00E92B23"/>
    <w:rsid w:val="00E92B42"/>
    <w:rsid w:val="00E92BC4"/>
    <w:rsid w:val="00E92C92"/>
    <w:rsid w:val="00E92CC5"/>
    <w:rsid w:val="00E93231"/>
    <w:rsid w:val="00E932E4"/>
    <w:rsid w:val="00E933F0"/>
    <w:rsid w:val="00E934BC"/>
    <w:rsid w:val="00E93567"/>
    <w:rsid w:val="00E93573"/>
    <w:rsid w:val="00E9373F"/>
    <w:rsid w:val="00E9375D"/>
    <w:rsid w:val="00E937A7"/>
    <w:rsid w:val="00E9389C"/>
    <w:rsid w:val="00E9390B"/>
    <w:rsid w:val="00E9391C"/>
    <w:rsid w:val="00E93959"/>
    <w:rsid w:val="00E93A3C"/>
    <w:rsid w:val="00E93D64"/>
    <w:rsid w:val="00E93E8C"/>
    <w:rsid w:val="00E9425E"/>
    <w:rsid w:val="00E94324"/>
    <w:rsid w:val="00E94335"/>
    <w:rsid w:val="00E94368"/>
    <w:rsid w:val="00E94456"/>
    <w:rsid w:val="00E946E4"/>
    <w:rsid w:val="00E947A2"/>
    <w:rsid w:val="00E94811"/>
    <w:rsid w:val="00E948BB"/>
    <w:rsid w:val="00E949CC"/>
    <w:rsid w:val="00E94A43"/>
    <w:rsid w:val="00E94A77"/>
    <w:rsid w:val="00E94B3D"/>
    <w:rsid w:val="00E94D2C"/>
    <w:rsid w:val="00E94F4E"/>
    <w:rsid w:val="00E9517F"/>
    <w:rsid w:val="00E9532D"/>
    <w:rsid w:val="00E95336"/>
    <w:rsid w:val="00E9535C"/>
    <w:rsid w:val="00E956EF"/>
    <w:rsid w:val="00E95705"/>
    <w:rsid w:val="00E95741"/>
    <w:rsid w:val="00E957B0"/>
    <w:rsid w:val="00E95809"/>
    <w:rsid w:val="00E95873"/>
    <w:rsid w:val="00E958F9"/>
    <w:rsid w:val="00E959B7"/>
    <w:rsid w:val="00E95D7A"/>
    <w:rsid w:val="00E95DC7"/>
    <w:rsid w:val="00E95F33"/>
    <w:rsid w:val="00E961C3"/>
    <w:rsid w:val="00E961FB"/>
    <w:rsid w:val="00E96255"/>
    <w:rsid w:val="00E9629B"/>
    <w:rsid w:val="00E964A5"/>
    <w:rsid w:val="00E9654E"/>
    <w:rsid w:val="00E965B2"/>
    <w:rsid w:val="00E9661B"/>
    <w:rsid w:val="00E96927"/>
    <w:rsid w:val="00E96AE0"/>
    <w:rsid w:val="00E96B97"/>
    <w:rsid w:val="00E96BEA"/>
    <w:rsid w:val="00E96C4F"/>
    <w:rsid w:val="00E96CB3"/>
    <w:rsid w:val="00E96D5C"/>
    <w:rsid w:val="00E96F79"/>
    <w:rsid w:val="00E9712A"/>
    <w:rsid w:val="00E97139"/>
    <w:rsid w:val="00E97280"/>
    <w:rsid w:val="00E9731B"/>
    <w:rsid w:val="00E97336"/>
    <w:rsid w:val="00E97349"/>
    <w:rsid w:val="00E973F7"/>
    <w:rsid w:val="00E97462"/>
    <w:rsid w:val="00E974AB"/>
    <w:rsid w:val="00E976EC"/>
    <w:rsid w:val="00E976ED"/>
    <w:rsid w:val="00E97741"/>
    <w:rsid w:val="00E9774E"/>
    <w:rsid w:val="00E9783C"/>
    <w:rsid w:val="00E97851"/>
    <w:rsid w:val="00E9785F"/>
    <w:rsid w:val="00E97921"/>
    <w:rsid w:val="00E97952"/>
    <w:rsid w:val="00E97CEF"/>
    <w:rsid w:val="00E97E44"/>
    <w:rsid w:val="00E97E93"/>
    <w:rsid w:val="00E97EC4"/>
    <w:rsid w:val="00E97FB0"/>
    <w:rsid w:val="00EA0015"/>
    <w:rsid w:val="00EA00E5"/>
    <w:rsid w:val="00EA0190"/>
    <w:rsid w:val="00EA01C9"/>
    <w:rsid w:val="00EA02AB"/>
    <w:rsid w:val="00EA0367"/>
    <w:rsid w:val="00EA04AE"/>
    <w:rsid w:val="00EA05FE"/>
    <w:rsid w:val="00EA06F3"/>
    <w:rsid w:val="00EA0759"/>
    <w:rsid w:val="00EA0996"/>
    <w:rsid w:val="00EA0A8D"/>
    <w:rsid w:val="00EA0B89"/>
    <w:rsid w:val="00EA0BEE"/>
    <w:rsid w:val="00EA0C65"/>
    <w:rsid w:val="00EA0F0F"/>
    <w:rsid w:val="00EA1022"/>
    <w:rsid w:val="00EA1120"/>
    <w:rsid w:val="00EA11A8"/>
    <w:rsid w:val="00EA11FD"/>
    <w:rsid w:val="00EA1437"/>
    <w:rsid w:val="00EA158E"/>
    <w:rsid w:val="00EA18A5"/>
    <w:rsid w:val="00EA18F2"/>
    <w:rsid w:val="00EA1A3B"/>
    <w:rsid w:val="00EA1AA2"/>
    <w:rsid w:val="00EA1BBB"/>
    <w:rsid w:val="00EA1C07"/>
    <w:rsid w:val="00EA1C6F"/>
    <w:rsid w:val="00EA1C8B"/>
    <w:rsid w:val="00EA1D57"/>
    <w:rsid w:val="00EA1D6D"/>
    <w:rsid w:val="00EA1DB6"/>
    <w:rsid w:val="00EA1E96"/>
    <w:rsid w:val="00EA1EC6"/>
    <w:rsid w:val="00EA203D"/>
    <w:rsid w:val="00EA210F"/>
    <w:rsid w:val="00EA2175"/>
    <w:rsid w:val="00EA22E6"/>
    <w:rsid w:val="00EA24E5"/>
    <w:rsid w:val="00EA2561"/>
    <w:rsid w:val="00EA2570"/>
    <w:rsid w:val="00EA2624"/>
    <w:rsid w:val="00EA26FB"/>
    <w:rsid w:val="00EA2902"/>
    <w:rsid w:val="00EA2994"/>
    <w:rsid w:val="00EA29B2"/>
    <w:rsid w:val="00EA2A00"/>
    <w:rsid w:val="00EA2AB9"/>
    <w:rsid w:val="00EA2B04"/>
    <w:rsid w:val="00EA2E10"/>
    <w:rsid w:val="00EA2E48"/>
    <w:rsid w:val="00EA2EEB"/>
    <w:rsid w:val="00EA300F"/>
    <w:rsid w:val="00EA304B"/>
    <w:rsid w:val="00EA3156"/>
    <w:rsid w:val="00EA31FD"/>
    <w:rsid w:val="00EA3209"/>
    <w:rsid w:val="00EA341D"/>
    <w:rsid w:val="00EA3450"/>
    <w:rsid w:val="00EA3613"/>
    <w:rsid w:val="00EA383F"/>
    <w:rsid w:val="00EA38E9"/>
    <w:rsid w:val="00EA38F6"/>
    <w:rsid w:val="00EA3959"/>
    <w:rsid w:val="00EA3992"/>
    <w:rsid w:val="00EA39A1"/>
    <w:rsid w:val="00EA3AA7"/>
    <w:rsid w:val="00EA3B4E"/>
    <w:rsid w:val="00EA3B98"/>
    <w:rsid w:val="00EA3BB7"/>
    <w:rsid w:val="00EA3CC9"/>
    <w:rsid w:val="00EA3CF4"/>
    <w:rsid w:val="00EA4238"/>
    <w:rsid w:val="00EA4313"/>
    <w:rsid w:val="00EA4317"/>
    <w:rsid w:val="00EA43E6"/>
    <w:rsid w:val="00EA44FD"/>
    <w:rsid w:val="00EA4559"/>
    <w:rsid w:val="00EA45C1"/>
    <w:rsid w:val="00EA479A"/>
    <w:rsid w:val="00EA4829"/>
    <w:rsid w:val="00EA486F"/>
    <w:rsid w:val="00EA4A16"/>
    <w:rsid w:val="00EA4A1C"/>
    <w:rsid w:val="00EA4AE9"/>
    <w:rsid w:val="00EA4C31"/>
    <w:rsid w:val="00EA4D2B"/>
    <w:rsid w:val="00EA4E07"/>
    <w:rsid w:val="00EA4E72"/>
    <w:rsid w:val="00EA4F74"/>
    <w:rsid w:val="00EA4FCE"/>
    <w:rsid w:val="00EA50D7"/>
    <w:rsid w:val="00EA51A3"/>
    <w:rsid w:val="00EA51E7"/>
    <w:rsid w:val="00EA5245"/>
    <w:rsid w:val="00EA52B8"/>
    <w:rsid w:val="00EA5368"/>
    <w:rsid w:val="00EA562B"/>
    <w:rsid w:val="00EA5715"/>
    <w:rsid w:val="00EA576F"/>
    <w:rsid w:val="00EA57DE"/>
    <w:rsid w:val="00EA57F5"/>
    <w:rsid w:val="00EA5803"/>
    <w:rsid w:val="00EA58E4"/>
    <w:rsid w:val="00EA5AA4"/>
    <w:rsid w:val="00EA5B57"/>
    <w:rsid w:val="00EA5BD2"/>
    <w:rsid w:val="00EA5BDB"/>
    <w:rsid w:val="00EA5C46"/>
    <w:rsid w:val="00EA5E6F"/>
    <w:rsid w:val="00EA5E9B"/>
    <w:rsid w:val="00EA5F7B"/>
    <w:rsid w:val="00EA5FCD"/>
    <w:rsid w:val="00EA6081"/>
    <w:rsid w:val="00EA6180"/>
    <w:rsid w:val="00EA61C2"/>
    <w:rsid w:val="00EA627B"/>
    <w:rsid w:val="00EA6386"/>
    <w:rsid w:val="00EA63CE"/>
    <w:rsid w:val="00EA6713"/>
    <w:rsid w:val="00EA67EC"/>
    <w:rsid w:val="00EA6B21"/>
    <w:rsid w:val="00EA6C0A"/>
    <w:rsid w:val="00EA6CF3"/>
    <w:rsid w:val="00EA6D00"/>
    <w:rsid w:val="00EA6DB7"/>
    <w:rsid w:val="00EA6E57"/>
    <w:rsid w:val="00EA6EEE"/>
    <w:rsid w:val="00EA710F"/>
    <w:rsid w:val="00EA7128"/>
    <w:rsid w:val="00EA7171"/>
    <w:rsid w:val="00EA71A6"/>
    <w:rsid w:val="00EA71AB"/>
    <w:rsid w:val="00EA7377"/>
    <w:rsid w:val="00EA7499"/>
    <w:rsid w:val="00EA75D6"/>
    <w:rsid w:val="00EA761E"/>
    <w:rsid w:val="00EA763C"/>
    <w:rsid w:val="00EA7644"/>
    <w:rsid w:val="00EA7768"/>
    <w:rsid w:val="00EA7902"/>
    <w:rsid w:val="00EA79AB"/>
    <w:rsid w:val="00EA7A2D"/>
    <w:rsid w:val="00EA7B48"/>
    <w:rsid w:val="00EA7BB7"/>
    <w:rsid w:val="00EA7CD5"/>
    <w:rsid w:val="00EA7CDB"/>
    <w:rsid w:val="00EB00CB"/>
    <w:rsid w:val="00EB0116"/>
    <w:rsid w:val="00EB016C"/>
    <w:rsid w:val="00EB01CF"/>
    <w:rsid w:val="00EB01F5"/>
    <w:rsid w:val="00EB056E"/>
    <w:rsid w:val="00EB058A"/>
    <w:rsid w:val="00EB0610"/>
    <w:rsid w:val="00EB062B"/>
    <w:rsid w:val="00EB0805"/>
    <w:rsid w:val="00EB0824"/>
    <w:rsid w:val="00EB0874"/>
    <w:rsid w:val="00EB08A2"/>
    <w:rsid w:val="00EB0A7B"/>
    <w:rsid w:val="00EB0AEE"/>
    <w:rsid w:val="00EB0AFD"/>
    <w:rsid w:val="00EB0BBB"/>
    <w:rsid w:val="00EB0D02"/>
    <w:rsid w:val="00EB0D69"/>
    <w:rsid w:val="00EB0D92"/>
    <w:rsid w:val="00EB0D96"/>
    <w:rsid w:val="00EB0E42"/>
    <w:rsid w:val="00EB0E57"/>
    <w:rsid w:val="00EB0EB6"/>
    <w:rsid w:val="00EB0F5A"/>
    <w:rsid w:val="00EB0FB0"/>
    <w:rsid w:val="00EB103E"/>
    <w:rsid w:val="00EB1129"/>
    <w:rsid w:val="00EB11A7"/>
    <w:rsid w:val="00EB12C9"/>
    <w:rsid w:val="00EB1346"/>
    <w:rsid w:val="00EB1393"/>
    <w:rsid w:val="00EB13D7"/>
    <w:rsid w:val="00EB13DB"/>
    <w:rsid w:val="00EB1486"/>
    <w:rsid w:val="00EB14F7"/>
    <w:rsid w:val="00EB1506"/>
    <w:rsid w:val="00EB153A"/>
    <w:rsid w:val="00EB169A"/>
    <w:rsid w:val="00EB1736"/>
    <w:rsid w:val="00EB1745"/>
    <w:rsid w:val="00EB1834"/>
    <w:rsid w:val="00EB186B"/>
    <w:rsid w:val="00EB18CC"/>
    <w:rsid w:val="00EB191D"/>
    <w:rsid w:val="00EB1A99"/>
    <w:rsid w:val="00EB1AA2"/>
    <w:rsid w:val="00EB1AC5"/>
    <w:rsid w:val="00EB1B46"/>
    <w:rsid w:val="00EB1BF2"/>
    <w:rsid w:val="00EB1C41"/>
    <w:rsid w:val="00EB1ED0"/>
    <w:rsid w:val="00EB1F54"/>
    <w:rsid w:val="00EB1FB2"/>
    <w:rsid w:val="00EB1FB8"/>
    <w:rsid w:val="00EB2037"/>
    <w:rsid w:val="00EB223A"/>
    <w:rsid w:val="00EB2355"/>
    <w:rsid w:val="00EB23CA"/>
    <w:rsid w:val="00EB244F"/>
    <w:rsid w:val="00EB25D6"/>
    <w:rsid w:val="00EB25FD"/>
    <w:rsid w:val="00EB275E"/>
    <w:rsid w:val="00EB278B"/>
    <w:rsid w:val="00EB281D"/>
    <w:rsid w:val="00EB2841"/>
    <w:rsid w:val="00EB28F3"/>
    <w:rsid w:val="00EB291D"/>
    <w:rsid w:val="00EB2921"/>
    <w:rsid w:val="00EB29B3"/>
    <w:rsid w:val="00EB2BD6"/>
    <w:rsid w:val="00EB2C17"/>
    <w:rsid w:val="00EB2CE5"/>
    <w:rsid w:val="00EB310A"/>
    <w:rsid w:val="00EB3161"/>
    <w:rsid w:val="00EB3325"/>
    <w:rsid w:val="00EB3338"/>
    <w:rsid w:val="00EB338B"/>
    <w:rsid w:val="00EB3471"/>
    <w:rsid w:val="00EB35B9"/>
    <w:rsid w:val="00EB3687"/>
    <w:rsid w:val="00EB395D"/>
    <w:rsid w:val="00EB3A82"/>
    <w:rsid w:val="00EB3B58"/>
    <w:rsid w:val="00EB3D93"/>
    <w:rsid w:val="00EB3E77"/>
    <w:rsid w:val="00EB3F3D"/>
    <w:rsid w:val="00EB400B"/>
    <w:rsid w:val="00EB4133"/>
    <w:rsid w:val="00EB43C1"/>
    <w:rsid w:val="00EB4503"/>
    <w:rsid w:val="00EB455D"/>
    <w:rsid w:val="00EB46BC"/>
    <w:rsid w:val="00EB4789"/>
    <w:rsid w:val="00EB492B"/>
    <w:rsid w:val="00EB4958"/>
    <w:rsid w:val="00EB4A1E"/>
    <w:rsid w:val="00EB4C7E"/>
    <w:rsid w:val="00EB4D50"/>
    <w:rsid w:val="00EB4DD7"/>
    <w:rsid w:val="00EB4F85"/>
    <w:rsid w:val="00EB500D"/>
    <w:rsid w:val="00EB501D"/>
    <w:rsid w:val="00EB503B"/>
    <w:rsid w:val="00EB50AA"/>
    <w:rsid w:val="00EB5153"/>
    <w:rsid w:val="00EB515D"/>
    <w:rsid w:val="00EB5312"/>
    <w:rsid w:val="00EB53F7"/>
    <w:rsid w:val="00EB5432"/>
    <w:rsid w:val="00EB54A8"/>
    <w:rsid w:val="00EB586A"/>
    <w:rsid w:val="00EB5872"/>
    <w:rsid w:val="00EB5981"/>
    <w:rsid w:val="00EB5995"/>
    <w:rsid w:val="00EB5B3A"/>
    <w:rsid w:val="00EB5B3D"/>
    <w:rsid w:val="00EB5BD3"/>
    <w:rsid w:val="00EB5BE2"/>
    <w:rsid w:val="00EB5C41"/>
    <w:rsid w:val="00EB5CB4"/>
    <w:rsid w:val="00EB5CFF"/>
    <w:rsid w:val="00EB5DBF"/>
    <w:rsid w:val="00EB5DCA"/>
    <w:rsid w:val="00EB5DE4"/>
    <w:rsid w:val="00EB5F5F"/>
    <w:rsid w:val="00EB5F87"/>
    <w:rsid w:val="00EB6005"/>
    <w:rsid w:val="00EB6015"/>
    <w:rsid w:val="00EB6157"/>
    <w:rsid w:val="00EB6171"/>
    <w:rsid w:val="00EB6173"/>
    <w:rsid w:val="00EB61C0"/>
    <w:rsid w:val="00EB6211"/>
    <w:rsid w:val="00EB6312"/>
    <w:rsid w:val="00EB6384"/>
    <w:rsid w:val="00EB63D5"/>
    <w:rsid w:val="00EB649B"/>
    <w:rsid w:val="00EB64D2"/>
    <w:rsid w:val="00EB6593"/>
    <w:rsid w:val="00EB6641"/>
    <w:rsid w:val="00EB6683"/>
    <w:rsid w:val="00EB66FD"/>
    <w:rsid w:val="00EB6749"/>
    <w:rsid w:val="00EB674B"/>
    <w:rsid w:val="00EB6987"/>
    <w:rsid w:val="00EB69C9"/>
    <w:rsid w:val="00EB6C98"/>
    <w:rsid w:val="00EB6D40"/>
    <w:rsid w:val="00EB6E2D"/>
    <w:rsid w:val="00EB6EFE"/>
    <w:rsid w:val="00EB708B"/>
    <w:rsid w:val="00EB7136"/>
    <w:rsid w:val="00EB71E5"/>
    <w:rsid w:val="00EB71F2"/>
    <w:rsid w:val="00EB723D"/>
    <w:rsid w:val="00EB727E"/>
    <w:rsid w:val="00EB7295"/>
    <w:rsid w:val="00EB7416"/>
    <w:rsid w:val="00EB76A9"/>
    <w:rsid w:val="00EB782E"/>
    <w:rsid w:val="00EB784F"/>
    <w:rsid w:val="00EB78EF"/>
    <w:rsid w:val="00EB79E1"/>
    <w:rsid w:val="00EB7C23"/>
    <w:rsid w:val="00EB7C44"/>
    <w:rsid w:val="00EB7CCB"/>
    <w:rsid w:val="00EB7D81"/>
    <w:rsid w:val="00EC0099"/>
    <w:rsid w:val="00EC00C6"/>
    <w:rsid w:val="00EC027D"/>
    <w:rsid w:val="00EC029D"/>
    <w:rsid w:val="00EC03C9"/>
    <w:rsid w:val="00EC0414"/>
    <w:rsid w:val="00EC060D"/>
    <w:rsid w:val="00EC087B"/>
    <w:rsid w:val="00EC096D"/>
    <w:rsid w:val="00EC0AB4"/>
    <w:rsid w:val="00EC0B3A"/>
    <w:rsid w:val="00EC0F20"/>
    <w:rsid w:val="00EC0FD1"/>
    <w:rsid w:val="00EC101C"/>
    <w:rsid w:val="00EC103C"/>
    <w:rsid w:val="00EC11D8"/>
    <w:rsid w:val="00EC1246"/>
    <w:rsid w:val="00EC12AA"/>
    <w:rsid w:val="00EC1337"/>
    <w:rsid w:val="00EC1514"/>
    <w:rsid w:val="00EC15DE"/>
    <w:rsid w:val="00EC16C0"/>
    <w:rsid w:val="00EC1786"/>
    <w:rsid w:val="00EC17BD"/>
    <w:rsid w:val="00EC18E3"/>
    <w:rsid w:val="00EC1906"/>
    <w:rsid w:val="00EC1994"/>
    <w:rsid w:val="00EC1B21"/>
    <w:rsid w:val="00EC1CCA"/>
    <w:rsid w:val="00EC1D38"/>
    <w:rsid w:val="00EC1DA4"/>
    <w:rsid w:val="00EC1DCD"/>
    <w:rsid w:val="00EC1F6D"/>
    <w:rsid w:val="00EC2364"/>
    <w:rsid w:val="00EC24BD"/>
    <w:rsid w:val="00EC2550"/>
    <w:rsid w:val="00EC25BC"/>
    <w:rsid w:val="00EC25F2"/>
    <w:rsid w:val="00EC2681"/>
    <w:rsid w:val="00EC27E1"/>
    <w:rsid w:val="00EC28B3"/>
    <w:rsid w:val="00EC28BD"/>
    <w:rsid w:val="00EC2B78"/>
    <w:rsid w:val="00EC2CEB"/>
    <w:rsid w:val="00EC2D5A"/>
    <w:rsid w:val="00EC2DD7"/>
    <w:rsid w:val="00EC2E53"/>
    <w:rsid w:val="00EC310C"/>
    <w:rsid w:val="00EC32C8"/>
    <w:rsid w:val="00EC33B8"/>
    <w:rsid w:val="00EC35E6"/>
    <w:rsid w:val="00EC3685"/>
    <w:rsid w:val="00EC37B5"/>
    <w:rsid w:val="00EC3B89"/>
    <w:rsid w:val="00EC3C0A"/>
    <w:rsid w:val="00EC3C35"/>
    <w:rsid w:val="00EC3D9B"/>
    <w:rsid w:val="00EC3ED1"/>
    <w:rsid w:val="00EC3F4D"/>
    <w:rsid w:val="00EC4075"/>
    <w:rsid w:val="00EC409C"/>
    <w:rsid w:val="00EC4198"/>
    <w:rsid w:val="00EC41D9"/>
    <w:rsid w:val="00EC428F"/>
    <w:rsid w:val="00EC43A2"/>
    <w:rsid w:val="00EC43F9"/>
    <w:rsid w:val="00EC453C"/>
    <w:rsid w:val="00EC4840"/>
    <w:rsid w:val="00EC48D5"/>
    <w:rsid w:val="00EC4BB6"/>
    <w:rsid w:val="00EC4C85"/>
    <w:rsid w:val="00EC4DA8"/>
    <w:rsid w:val="00EC4EC9"/>
    <w:rsid w:val="00EC5004"/>
    <w:rsid w:val="00EC50BF"/>
    <w:rsid w:val="00EC5218"/>
    <w:rsid w:val="00EC538C"/>
    <w:rsid w:val="00EC53E1"/>
    <w:rsid w:val="00EC54EB"/>
    <w:rsid w:val="00EC5543"/>
    <w:rsid w:val="00EC56AA"/>
    <w:rsid w:val="00EC56AE"/>
    <w:rsid w:val="00EC56F7"/>
    <w:rsid w:val="00EC57BF"/>
    <w:rsid w:val="00EC5821"/>
    <w:rsid w:val="00EC5844"/>
    <w:rsid w:val="00EC5A32"/>
    <w:rsid w:val="00EC5A79"/>
    <w:rsid w:val="00EC5BB0"/>
    <w:rsid w:val="00EC5C34"/>
    <w:rsid w:val="00EC5CC2"/>
    <w:rsid w:val="00EC5D53"/>
    <w:rsid w:val="00EC5DA2"/>
    <w:rsid w:val="00EC5E11"/>
    <w:rsid w:val="00EC5EF7"/>
    <w:rsid w:val="00EC5FA3"/>
    <w:rsid w:val="00EC609F"/>
    <w:rsid w:val="00EC63C2"/>
    <w:rsid w:val="00EC6516"/>
    <w:rsid w:val="00EC6692"/>
    <w:rsid w:val="00EC67A8"/>
    <w:rsid w:val="00EC682C"/>
    <w:rsid w:val="00EC68CF"/>
    <w:rsid w:val="00EC6910"/>
    <w:rsid w:val="00EC6A5B"/>
    <w:rsid w:val="00EC6CA6"/>
    <w:rsid w:val="00EC6E1F"/>
    <w:rsid w:val="00EC6E28"/>
    <w:rsid w:val="00EC6EF4"/>
    <w:rsid w:val="00EC70B3"/>
    <w:rsid w:val="00EC7164"/>
    <w:rsid w:val="00EC71B7"/>
    <w:rsid w:val="00EC71DA"/>
    <w:rsid w:val="00EC73B1"/>
    <w:rsid w:val="00EC75B1"/>
    <w:rsid w:val="00EC75BF"/>
    <w:rsid w:val="00EC76FE"/>
    <w:rsid w:val="00EC77AA"/>
    <w:rsid w:val="00EC7948"/>
    <w:rsid w:val="00EC794F"/>
    <w:rsid w:val="00EC7A55"/>
    <w:rsid w:val="00EC7ABE"/>
    <w:rsid w:val="00EC7AEA"/>
    <w:rsid w:val="00EC7B5E"/>
    <w:rsid w:val="00EC7B8B"/>
    <w:rsid w:val="00EC7BED"/>
    <w:rsid w:val="00EC7C25"/>
    <w:rsid w:val="00EC7CAE"/>
    <w:rsid w:val="00EC7D45"/>
    <w:rsid w:val="00EC7D81"/>
    <w:rsid w:val="00EC7DA2"/>
    <w:rsid w:val="00EC7E1A"/>
    <w:rsid w:val="00EC7E4C"/>
    <w:rsid w:val="00EC7EF3"/>
    <w:rsid w:val="00EC7F6F"/>
    <w:rsid w:val="00ED00B7"/>
    <w:rsid w:val="00ED02C9"/>
    <w:rsid w:val="00ED03B4"/>
    <w:rsid w:val="00ED0444"/>
    <w:rsid w:val="00ED046B"/>
    <w:rsid w:val="00ED0502"/>
    <w:rsid w:val="00ED054E"/>
    <w:rsid w:val="00ED056B"/>
    <w:rsid w:val="00ED0622"/>
    <w:rsid w:val="00ED0662"/>
    <w:rsid w:val="00ED0733"/>
    <w:rsid w:val="00ED07BA"/>
    <w:rsid w:val="00ED07F4"/>
    <w:rsid w:val="00ED089F"/>
    <w:rsid w:val="00ED0922"/>
    <w:rsid w:val="00ED0928"/>
    <w:rsid w:val="00ED0956"/>
    <w:rsid w:val="00ED09CD"/>
    <w:rsid w:val="00ED0A52"/>
    <w:rsid w:val="00ED0C0F"/>
    <w:rsid w:val="00ED0CF7"/>
    <w:rsid w:val="00ED0D23"/>
    <w:rsid w:val="00ED0FCF"/>
    <w:rsid w:val="00ED121E"/>
    <w:rsid w:val="00ED1246"/>
    <w:rsid w:val="00ED135B"/>
    <w:rsid w:val="00ED1371"/>
    <w:rsid w:val="00ED13A4"/>
    <w:rsid w:val="00ED13FD"/>
    <w:rsid w:val="00ED1792"/>
    <w:rsid w:val="00ED1878"/>
    <w:rsid w:val="00ED18EB"/>
    <w:rsid w:val="00ED195E"/>
    <w:rsid w:val="00ED19AE"/>
    <w:rsid w:val="00ED19E8"/>
    <w:rsid w:val="00ED1B49"/>
    <w:rsid w:val="00ED1B56"/>
    <w:rsid w:val="00ED1B5E"/>
    <w:rsid w:val="00ED1CE4"/>
    <w:rsid w:val="00ED1E41"/>
    <w:rsid w:val="00ED1FA9"/>
    <w:rsid w:val="00ED208F"/>
    <w:rsid w:val="00ED2180"/>
    <w:rsid w:val="00ED21D3"/>
    <w:rsid w:val="00ED2269"/>
    <w:rsid w:val="00ED22A4"/>
    <w:rsid w:val="00ED2377"/>
    <w:rsid w:val="00ED2516"/>
    <w:rsid w:val="00ED2553"/>
    <w:rsid w:val="00ED2586"/>
    <w:rsid w:val="00ED25E6"/>
    <w:rsid w:val="00ED25FD"/>
    <w:rsid w:val="00ED2728"/>
    <w:rsid w:val="00ED27E6"/>
    <w:rsid w:val="00ED2885"/>
    <w:rsid w:val="00ED28E3"/>
    <w:rsid w:val="00ED29A1"/>
    <w:rsid w:val="00ED2AC0"/>
    <w:rsid w:val="00ED2B22"/>
    <w:rsid w:val="00ED2F26"/>
    <w:rsid w:val="00ED2FE7"/>
    <w:rsid w:val="00ED30E2"/>
    <w:rsid w:val="00ED31B7"/>
    <w:rsid w:val="00ED3227"/>
    <w:rsid w:val="00ED3343"/>
    <w:rsid w:val="00ED3370"/>
    <w:rsid w:val="00ED3459"/>
    <w:rsid w:val="00ED3506"/>
    <w:rsid w:val="00ED3534"/>
    <w:rsid w:val="00ED357C"/>
    <w:rsid w:val="00ED359C"/>
    <w:rsid w:val="00ED373A"/>
    <w:rsid w:val="00ED381A"/>
    <w:rsid w:val="00ED381E"/>
    <w:rsid w:val="00ED3A9F"/>
    <w:rsid w:val="00ED3B85"/>
    <w:rsid w:val="00ED3BC1"/>
    <w:rsid w:val="00ED3C15"/>
    <w:rsid w:val="00ED3F71"/>
    <w:rsid w:val="00ED3F9F"/>
    <w:rsid w:val="00ED407F"/>
    <w:rsid w:val="00ED413E"/>
    <w:rsid w:val="00ED42EA"/>
    <w:rsid w:val="00ED4414"/>
    <w:rsid w:val="00ED45E1"/>
    <w:rsid w:val="00ED48D4"/>
    <w:rsid w:val="00ED4918"/>
    <w:rsid w:val="00ED4972"/>
    <w:rsid w:val="00ED49FA"/>
    <w:rsid w:val="00ED4AB2"/>
    <w:rsid w:val="00ED4B87"/>
    <w:rsid w:val="00ED4C2D"/>
    <w:rsid w:val="00ED4C33"/>
    <w:rsid w:val="00ED4D5E"/>
    <w:rsid w:val="00ED4D70"/>
    <w:rsid w:val="00ED4D81"/>
    <w:rsid w:val="00ED4DED"/>
    <w:rsid w:val="00ED4F7A"/>
    <w:rsid w:val="00ED5039"/>
    <w:rsid w:val="00ED50B7"/>
    <w:rsid w:val="00ED5168"/>
    <w:rsid w:val="00ED51E1"/>
    <w:rsid w:val="00ED5515"/>
    <w:rsid w:val="00ED5593"/>
    <w:rsid w:val="00ED5619"/>
    <w:rsid w:val="00ED5A87"/>
    <w:rsid w:val="00ED5A9D"/>
    <w:rsid w:val="00ED5D30"/>
    <w:rsid w:val="00ED5E14"/>
    <w:rsid w:val="00ED5FF9"/>
    <w:rsid w:val="00ED60F0"/>
    <w:rsid w:val="00ED6246"/>
    <w:rsid w:val="00ED63E1"/>
    <w:rsid w:val="00ED6414"/>
    <w:rsid w:val="00ED650D"/>
    <w:rsid w:val="00ED656C"/>
    <w:rsid w:val="00ED65CD"/>
    <w:rsid w:val="00ED65CF"/>
    <w:rsid w:val="00ED6660"/>
    <w:rsid w:val="00ED6664"/>
    <w:rsid w:val="00ED66B2"/>
    <w:rsid w:val="00ED67E2"/>
    <w:rsid w:val="00ED699D"/>
    <w:rsid w:val="00ED6A90"/>
    <w:rsid w:val="00ED6ABB"/>
    <w:rsid w:val="00ED6AF9"/>
    <w:rsid w:val="00ED6B89"/>
    <w:rsid w:val="00ED6C05"/>
    <w:rsid w:val="00ED6D42"/>
    <w:rsid w:val="00ED6D62"/>
    <w:rsid w:val="00ED6E3F"/>
    <w:rsid w:val="00ED6E7D"/>
    <w:rsid w:val="00ED6EBC"/>
    <w:rsid w:val="00ED6FC2"/>
    <w:rsid w:val="00ED6FC9"/>
    <w:rsid w:val="00ED70BA"/>
    <w:rsid w:val="00ED70DE"/>
    <w:rsid w:val="00ED71B4"/>
    <w:rsid w:val="00ED71E4"/>
    <w:rsid w:val="00ED745A"/>
    <w:rsid w:val="00ED75D9"/>
    <w:rsid w:val="00ED7AEA"/>
    <w:rsid w:val="00ED7B1E"/>
    <w:rsid w:val="00ED7BA8"/>
    <w:rsid w:val="00ED7BD7"/>
    <w:rsid w:val="00ED7C08"/>
    <w:rsid w:val="00ED7C2C"/>
    <w:rsid w:val="00ED7D1D"/>
    <w:rsid w:val="00ED7D20"/>
    <w:rsid w:val="00ED7E8E"/>
    <w:rsid w:val="00ED7F52"/>
    <w:rsid w:val="00EE0029"/>
    <w:rsid w:val="00EE0045"/>
    <w:rsid w:val="00EE0093"/>
    <w:rsid w:val="00EE00B3"/>
    <w:rsid w:val="00EE016D"/>
    <w:rsid w:val="00EE01A9"/>
    <w:rsid w:val="00EE0311"/>
    <w:rsid w:val="00EE0566"/>
    <w:rsid w:val="00EE0628"/>
    <w:rsid w:val="00EE091B"/>
    <w:rsid w:val="00EE0962"/>
    <w:rsid w:val="00EE097A"/>
    <w:rsid w:val="00EE09EF"/>
    <w:rsid w:val="00EE0A1F"/>
    <w:rsid w:val="00EE0A51"/>
    <w:rsid w:val="00EE0A8F"/>
    <w:rsid w:val="00EE0AF1"/>
    <w:rsid w:val="00EE0C2E"/>
    <w:rsid w:val="00EE0D03"/>
    <w:rsid w:val="00EE0ED1"/>
    <w:rsid w:val="00EE0F45"/>
    <w:rsid w:val="00EE0FA2"/>
    <w:rsid w:val="00EE0FC6"/>
    <w:rsid w:val="00EE106A"/>
    <w:rsid w:val="00EE1153"/>
    <w:rsid w:val="00EE1191"/>
    <w:rsid w:val="00EE12D5"/>
    <w:rsid w:val="00EE1300"/>
    <w:rsid w:val="00EE1396"/>
    <w:rsid w:val="00EE1437"/>
    <w:rsid w:val="00EE1466"/>
    <w:rsid w:val="00EE1477"/>
    <w:rsid w:val="00EE14A8"/>
    <w:rsid w:val="00EE154E"/>
    <w:rsid w:val="00EE1652"/>
    <w:rsid w:val="00EE1694"/>
    <w:rsid w:val="00EE1796"/>
    <w:rsid w:val="00EE18E9"/>
    <w:rsid w:val="00EE1994"/>
    <w:rsid w:val="00EE1A3D"/>
    <w:rsid w:val="00EE1A82"/>
    <w:rsid w:val="00EE1AAC"/>
    <w:rsid w:val="00EE1AE9"/>
    <w:rsid w:val="00EE1B4C"/>
    <w:rsid w:val="00EE1B8B"/>
    <w:rsid w:val="00EE1BBE"/>
    <w:rsid w:val="00EE1D59"/>
    <w:rsid w:val="00EE1E41"/>
    <w:rsid w:val="00EE20B0"/>
    <w:rsid w:val="00EE20D0"/>
    <w:rsid w:val="00EE2154"/>
    <w:rsid w:val="00EE221E"/>
    <w:rsid w:val="00EE223F"/>
    <w:rsid w:val="00EE22AE"/>
    <w:rsid w:val="00EE22D0"/>
    <w:rsid w:val="00EE2461"/>
    <w:rsid w:val="00EE2467"/>
    <w:rsid w:val="00EE2473"/>
    <w:rsid w:val="00EE2558"/>
    <w:rsid w:val="00EE25A6"/>
    <w:rsid w:val="00EE2782"/>
    <w:rsid w:val="00EE286D"/>
    <w:rsid w:val="00EE2889"/>
    <w:rsid w:val="00EE2956"/>
    <w:rsid w:val="00EE2990"/>
    <w:rsid w:val="00EE2A18"/>
    <w:rsid w:val="00EE2D51"/>
    <w:rsid w:val="00EE2E37"/>
    <w:rsid w:val="00EE2EA7"/>
    <w:rsid w:val="00EE2F60"/>
    <w:rsid w:val="00EE2F8D"/>
    <w:rsid w:val="00EE3009"/>
    <w:rsid w:val="00EE302D"/>
    <w:rsid w:val="00EE3125"/>
    <w:rsid w:val="00EE3126"/>
    <w:rsid w:val="00EE32B1"/>
    <w:rsid w:val="00EE3493"/>
    <w:rsid w:val="00EE34B2"/>
    <w:rsid w:val="00EE3521"/>
    <w:rsid w:val="00EE35CB"/>
    <w:rsid w:val="00EE35DF"/>
    <w:rsid w:val="00EE38EA"/>
    <w:rsid w:val="00EE3909"/>
    <w:rsid w:val="00EE3B90"/>
    <w:rsid w:val="00EE3D73"/>
    <w:rsid w:val="00EE3E1E"/>
    <w:rsid w:val="00EE4045"/>
    <w:rsid w:val="00EE4102"/>
    <w:rsid w:val="00EE41F1"/>
    <w:rsid w:val="00EE425F"/>
    <w:rsid w:val="00EE42A6"/>
    <w:rsid w:val="00EE43A0"/>
    <w:rsid w:val="00EE43FD"/>
    <w:rsid w:val="00EE4410"/>
    <w:rsid w:val="00EE458F"/>
    <w:rsid w:val="00EE4900"/>
    <w:rsid w:val="00EE4971"/>
    <w:rsid w:val="00EE499B"/>
    <w:rsid w:val="00EE4B25"/>
    <w:rsid w:val="00EE4B98"/>
    <w:rsid w:val="00EE4D10"/>
    <w:rsid w:val="00EE4DAD"/>
    <w:rsid w:val="00EE4DB1"/>
    <w:rsid w:val="00EE4DEE"/>
    <w:rsid w:val="00EE4EA3"/>
    <w:rsid w:val="00EE4EC3"/>
    <w:rsid w:val="00EE50A4"/>
    <w:rsid w:val="00EE5299"/>
    <w:rsid w:val="00EE530D"/>
    <w:rsid w:val="00EE5327"/>
    <w:rsid w:val="00EE560E"/>
    <w:rsid w:val="00EE5660"/>
    <w:rsid w:val="00EE568A"/>
    <w:rsid w:val="00EE56EF"/>
    <w:rsid w:val="00EE585C"/>
    <w:rsid w:val="00EE5895"/>
    <w:rsid w:val="00EE594A"/>
    <w:rsid w:val="00EE596D"/>
    <w:rsid w:val="00EE5976"/>
    <w:rsid w:val="00EE59A8"/>
    <w:rsid w:val="00EE5A40"/>
    <w:rsid w:val="00EE5A72"/>
    <w:rsid w:val="00EE5BCC"/>
    <w:rsid w:val="00EE5D71"/>
    <w:rsid w:val="00EE5ED2"/>
    <w:rsid w:val="00EE6036"/>
    <w:rsid w:val="00EE61A2"/>
    <w:rsid w:val="00EE61BD"/>
    <w:rsid w:val="00EE6294"/>
    <w:rsid w:val="00EE6304"/>
    <w:rsid w:val="00EE63ED"/>
    <w:rsid w:val="00EE640A"/>
    <w:rsid w:val="00EE642F"/>
    <w:rsid w:val="00EE654E"/>
    <w:rsid w:val="00EE654F"/>
    <w:rsid w:val="00EE68F1"/>
    <w:rsid w:val="00EE699A"/>
    <w:rsid w:val="00EE69BF"/>
    <w:rsid w:val="00EE6A3F"/>
    <w:rsid w:val="00EE6A78"/>
    <w:rsid w:val="00EE6C0E"/>
    <w:rsid w:val="00EE6DE6"/>
    <w:rsid w:val="00EE7180"/>
    <w:rsid w:val="00EE743D"/>
    <w:rsid w:val="00EE74B1"/>
    <w:rsid w:val="00EE765B"/>
    <w:rsid w:val="00EE77AD"/>
    <w:rsid w:val="00EE780B"/>
    <w:rsid w:val="00EE782F"/>
    <w:rsid w:val="00EE785A"/>
    <w:rsid w:val="00EE7886"/>
    <w:rsid w:val="00EE78AC"/>
    <w:rsid w:val="00EE7945"/>
    <w:rsid w:val="00EE798D"/>
    <w:rsid w:val="00EE7AE5"/>
    <w:rsid w:val="00EE7B54"/>
    <w:rsid w:val="00EE7B67"/>
    <w:rsid w:val="00EE7BA4"/>
    <w:rsid w:val="00EE7C45"/>
    <w:rsid w:val="00EE7E5E"/>
    <w:rsid w:val="00EE7F6A"/>
    <w:rsid w:val="00EE7F74"/>
    <w:rsid w:val="00EF0133"/>
    <w:rsid w:val="00EF01AF"/>
    <w:rsid w:val="00EF0462"/>
    <w:rsid w:val="00EF0528"/>
    <w:rsid w:val="00EF05E3"/>
    <w:rsid w:val="00EF061F"/>
    <w:rsid w:val="00EF068E"/>
    <w:rsid w:val="00EF0772"/>
    <w:rsid w:val="00EF0794"/>
    <w:rsid w:val="00EF07DE"/>
    <w:rsid w:val="00EF07FC"/>
    <w:rsid w:val="00EF0908"/>
    <w:rsid w:val="00EF0C01"/>
    <w:rsid w:val="00EF0C18"/>
    <w:rsid w:val="00EF0C88"/>
    <w:rsid w:val="00EF0C9E"/>
    <w:rsid w:val="00EF0CAC"/>
    <w:rsid w:val="00EF0EFF"/>
    <w:rsid w:val="00EF11FC"/>
    <w:rsid w:val="00EF1332"/>
    <w:rsid w:val="00EF133F"/>
    <w:rsid w:val="00EF135E"/>
    <w:rsid w:val="00EF13CD"/>
    <w:rsid w:val="00EF144E"/>
    <w:rsid w:val="00EF14A3"/>
    <w:rsid w:val="00EF1533"/>
    <w:rsid w:val="00EF176A"/>
    <w:rsid w:val="00EF179A"/>
    <w:rsid w:val="00EF17F1"/>
    <w:rsid w:val="00EF1AA9"/>
    <w:rsid w:val="00EF1BEE"/>
    <w:rsid w:val="00EF1D0C"/>
    <w:rsid w:val="00EF1D40"/>
    <w:rsid w:val="00EF1E64"/>
    <w:rsid w:val="00EF1E76"/>
    <w:rsid w:val="00EF1E9A"/>
    <w:rsid w:val="00EF1EDD"/>
    <w:rsid w:val="00EF2052"/>
    <w:rsid w:val="00EF2061"/>
    <w:rsid w:val="00EF2188"/>
    <w:rsid w:val="00EF22CA"/>
    <w:rsid w:val="00EF2310"/>
    <w:rsid w:val="00EF2374"/>
    <w:rsid w:val="00EF2405"/>
    <w:rsid w:val="00EF2465"/>
    <w:rsid w:val="00EF257A"/>
    <w:rsid w:val="00EF258F"/>
    <w:rsid w:val="00EF2592"/>
    <w:rsid w:val="00EF26D7"/>
    <w:rsid w:val="00EF28EA"/>
    <w:rsid w:val="00EF2991"/>
    <w:rsid w:val="00EF2A2C"/>
    <w:rsid w:val="00EF2A35"/>
    <w:rsid w:val="00EF2AC6"/>
    <w:rsid w:val="00EF2ADE"/>
    <w:rsid w:val="00EF2B39"/>
    <w:rsid w:val="00EF2C29"/>
    <w:rsid w:val="00EF2F5F"/>
    <w:rsid w:val="00EF2FCD"/>
    <w:rsid w:val="00EF3074"/>
    <w:rsid w:val="00EF30FC"/>
    <w:rsid w:val="00EF32A9"/>
    <w:rsid w:val="00EF32D3"/>
    <w:rsid w:val="00EF3378"/>
    <w:rsid w:val="00EF337E"/>
    <w:rsid w:val="00EF33F9"/>
    <w:rsid w:val="00EF3440"/>
    <w:rsid w:val="00EF36DB"/>
    <w:rsid w:val="00EF36F2"/>
    <w:rsid w:val="00EF387C"/>
    <w:rsid w:val="00EF388C"/>
    <w:rsid w:val="00EF3A60"/>
    <w:rsid w:val="00EF3B1B"/>
    <w:rsid w:val="00EF3BE9"/>
    <w:rsid w:val="00EF3D4A"/>
    <w:rsid w:val="00EF3D57"/>
    <w:rsid w:val="00EF3E0C"/>
    <w:rsid w:val="00EF3E2A"/>
    <w:rsid w:val="00EF3FEF"/>
    <w:rsid w:val="00EF4005"/>
    <w:rsid w:val="00EF40A8"/>
    <w:rsid w:val="00EF40CA"/>
    <w:rsid w:val="00EF4173"/>
    <w:rsid w:val="00EF4324"/>
    <w:rsid w:val="00EF4478"/>
    <w:rsid w:val="00EF449B"/>
    <w:rsid w:val="00EF4543"/>
    <w:rsid w:val="00EF462B"/>
    <w:rsid w:val="00EF468F"/>
    <w:rsid w:val="00EF46FD"/>
    <w:rsid w:val="00EF473B"/>
    <w:rsid w:val="00EF4775"/>
    <w:rsid w:val="00EF4942"/>
    <w:rsid w:val="00EF49DE"/>
    <w:rsid w:val="00EF4A39"/>
    <w:rsid w:val="00EF4A6E"/>
    <w:rsid w:val="00EF4A9E"/>
    <w:rsid w:val="00EF4AA3"/>
    <w:rsid w:val="00EF4AA4"/>
    <w:rsid w:val="00EF4B8E"/>
    <w:rsid w:val="00EF4BE3"/>
    <w:rsid w:val="00EF4C6E"/>
    <w:rsid w:val="00EF4DFB"/>
    <w:rsid w:val="00EF4E79"/>
    <w:rsid w:val="00EF4F4B"/>
    <w:rsid w:val="00EF4F5F"/>
    <w:rsid w:val="00EF512E"/>
    <w:rsid w:val="00EF514A"/>
    <w:rsid w:val="00EF5278"/>
    <w:rsid w:val="00EF540B"/>
    <w:rsid w:val="00EF568F"/>
    <w:rsid w:val="00EF5868"/>
    <w:rsid w:val="00EF59FF"/>
    <w:rsid w:val="00EF5A3B"/>
    <w:rsid w:val="00EF5B37"/>
    <w:rsid w:val="00EF5C3A"/>
    <w:rsid w:val="00EF5D36"/>
    <w:rsid w:val="00EF5D60"/>
    <w:rsid w:val="00EF5F0C"/>
    <w:rsid w:val="00EF5F97"/>
    <w:rsid w:val="00EF601D"/>
    <w:rsid w:val="00EF621E"/>
    <w:rsid w:val="00EF6233"/>
    <w:rsid w:val="00EF6290"/>
    <w:rsid w:val="00EF646E"/>
    <w:rsid w:val="00EF64E6"/>
    <w:rsid w:val="00EF65C2"/>
    <w:rsid w:val="00EF6794"/>
    <w:rsid w:val="00EF67B0"/>
    <w:rsid w:val="00EF6812"/>
    <w:rsid w:val="00EF6927"/>
    <w:rsid w:val="00EF69E1"/>
    <w:rsid w:val="00EF6B58"/>
    <w:rsid w:val="00EF6C4C"/>
    <w:rsid w:val="00EF6DC1"/>
    <w:rsid w:val="00EF6F11"/>
    <w:rsid w:val="00EF6F25"/>
    <w:rsid w:val="00EF6FDB"/>
    <w:rsid w:val="00EF705D"/>
    <w:rsid w:val="00EF70C6"/>
    <w:rsid w:val="00EF7213"/>
    <w:rsid w:val="00EF7222"/>
    <w:rsid w:val="00EF72AF"/>
    <w:rsid w:val="00EF73DD"/>
    <w:rsid w:val="00EF7409"/>
    <w:rsid w:val="00EF7547"/>
    <w:rsid w:val="00EF75EF"/>
    <w:rsid w:val="00EF779F"/>
    <w:rsid w:val="00EF77BC"/>
    <w:rsid w:val="00EF77C1"/>
    <w:rsid w:val="00EF786F"/>
    <w:rsid w:val="00EF78CB"/>
    <w:rsid w:val="00EF7A79"/>
    <w:rsid w:val="00EF7AAD"/>
    <w:rsid w:val="00EF7AE0"/>
    <w:rsid w:val="00EF7C7F"/>
    <w:rsid w:val="00EF7E3F"/>
    <w:rsid w:val="00EF7ED1"/>
    <w:rsid w:val="00EF7F9A"/>
    <w:rsid w:val="00EF7FA1"/>
    <w:rsid w:val="00F00079"/>
    <w:rsid w:val="00F0025A"/>
    <w:rsid w:val="00F002BD"/>
    <w:rsid w:val="00F0036B"/>
    <w:rsid w:val="00F0037C"/>
    <w:rsid w:val="00F00484"/>
    <w:rsid w:val="00F0061A"/>
    <w:rsid w:val="00F00661"/>
    <w:rsid w:val="00F0076F"/>
    <w:rsid w:val="00F00868"/>
    <w:rsid w:val="00F0090C"/>
    <w:rsid w:val="00F009BE"/>
    <w:rsid w:val="00F00AFD"/>
    <w:rsid w:val="00F00B01"/>
    <w:rsid w:val="00F00C10"/>
    <w:rsid w:val="00F00C54"/>
    <w:rsid w:val="00F00DCB"/>
    <w:rsid w:val="00F00DE8"/>
    <w:rsid w:val="00F00E31"/>
    <w:rsid w:val="00F012B3"/>
    <w:rsid w:val="00F012E3"/>
    <w:rsid w:val="00F012FA"/>
    <w:rsid w:val="00F01324"/>
    <w:rsid w:val="00F014CF"/>
    <w:rsid w:val="00F014D5"/>
    <w:rsid w:val="00F01722"/>
    <w:rsid w:val="00F01923"/>
    <w:rsid w:val="00F01940"/>
    <w:rsid w:val="00F01A22"/>
    <w:rsid w:val="00F01A84"/>
    <w:rsid w:val="00F01B19"/>
    <w:rsid w:val="00F01B41"/>
    <w:rsid w:val="00F01B45"/>
    <w:rsid w:val="00F01B76"/>
    <w:rsid w:val="00F01BD1"/>
    <w:rsid w:val="00F01D7E"/>
    <w:rsid w:val="00F01DCE"/>
    <w:rsid w:val="00F01E62"/>
    <w:rsid w:val="00F02104"/>
    <w:rsid w:val="00F02160"/>
    <w:rsid w:val="00F02166"/>
    <w:rsid w:val="00F022C7"/>
    <w:rsid w:val="00F022F1"/>
    <w:rsid w:val="00F02367"/>
    <w:rsid w:val="00F023D2"/>
    <w:rsid w:val="00F02474"/>
    <w:rsid w:val="00F025A5"/>
    <w:rsid w:val="00F02781"/>
    <w:rsid w:val="00F027D3"/>
    <w:rsid w:val="00F027EE"/>
    <w:rsid w:val="00F02969"/>
    <w:rsid w:val="00F02991"/>
    <w:rsid w:val="00F029D8"/>
    <w:rsid w:val="00F029EC"/>
    <w:rsid w:val="00F02AB6"/>
    <w:rsid w:val="00F02AC1"/>
    <w:rsid w:val="00F02ACA"/>
    <w:rsid w:val="00F02BE1"/>
    <w:rsid w:val="00F02C3B"/>
    <w:rsid w:val="00F02CD9"/>
    <w:rsid w:val="00F02E5A"/>
    <w:rsid w:val="00F02EA3"/>
    <w:rsid w:val="00F02EB4"/>
    <w:rsid w:val="00F031DC"/>
    <w:rsid w:val="00F0327C"/>
    <w:rsid w:val="00F033C0"/>
    <w:rsid w:val="00F033CE"/>
    <w:rsid w:val="00F0344B"/>
    <w:rsid w:val="00F035D5"/>
    <w:rsid w:val="00F03607"/>
    <w:rsid w:val="00F03673"/>
    <w:rsid w:val="00F036AF"/>
    <w:rsid w:val="00F0379A"/>
    <w:rsid w:val="00F03B10"/>
    <w:rsid w:val="00F03BAF"/>
    <w:rsid w:val="00F03D7F"/>
    <w:rsid w:val="00F03D9E"/>
    <w:rsid w:val="00F03DA3"/>
    <w:rsid w:val="00F03DEE"/>
    <w:rsid w:val="00F03F00"/>
    <w:rsid w:val="00F041CA"/>
    <w:rsid w:val="00F04224"/>
    <w:rsid w:val="00F04279"/>
    <w:rsid w:val="00F04419"/>
    <w:rsid w:val="00F0451A"/>
    <w:rsid w:val="00F04538"/>
    <w:rsid w:val="00F0453B"/>
    <w:rsid w:val="00F0479B"/>
    <w:rsid w:val="00F047F9"/>
    <w:rsid w:val="00F048AE"/>
    <w:rsid w:val="00F048F7"/>
    <w:rsid w:val="00F049F6"/>
    <w:rsid w:val="00F04A37"/>
    <w:rsid w:val="00F04B1C"/>
    <w:rsid w:val="00F04CDD"/>
    <w:rsid w:val="00F04FAC"/>
    <w:rsid w:val="00F0512C"/>
    <w:rsid w:val="00F0520A"/>
    <w:rsid w:val="00F05251"/>
    <w:rsid w:val="00F052F2"/>
    <w:rsid w:val="00F053FD"/>
    <w:rsid w:val="00F054E2"/>
    <w:rsid w:val="00F0552C"/>
    <w:rsid w:val="00F05716"/>
    <w:rsid w:val="00F05863"/>
    <w:rsid w:val="00F0598C"/>
    <w:rsid w:val="00F059BE"/>
    <w:rsid w:val="00F05A01"/>
    <w:rsid w:val="00F05A8B"/>
    <w:rsid w:val="00F05B80"/>
    <w:rsid w:val="00F05CFD"/>
    <w:rsid w:val="00F05D4F"/>
    <w:rsid w:val="00F05D8B"/>
    <w:rsid w:val="00F0606C"/>
    <w:rsid w:val="00F06303"/>
    <w:rsid w:val="00F063E4"/>
    <w:rsid w:val="00F0645C"/>
    <w:rsid w:val="00F06473"/>
    <w:rsid w:val="00F06493"/>
    <w:rsid w:val="00F065C4"/>
    <w:rsid w:val="00F065DD"/>
    <w:rsid w:val="00F0670A"/>
    <w:rsid w:val="00F0672E"/>
    <w:rsid w:val="00F0674E"/>
    <w:rsid w:val="00F0690E"/>
    <w:rsid w:val="00F0696E"/>
    <w:rsid w:val="00F06A85"/>
    <w:rsid w:val="00F06B1F"/>
    <w:rsid w:val="00F06BAF"/>
    <w:rsid w:val="00F06C2D"/>
    <w:rsid w:val="00F06C6D"/>
    <w:rsid w:val="00F06D7A"/>
    <w:rsid w:val="00F06DF9"/>
    <w:rsid w:val="00F06E67"/>
    <w:rsid w:val="00F06ECE"/>
    <w:rsid w:val="00F06EFB"/>
    <w:rsid w:val="00F06F8E"/>
    <w:rsid w:val="00F06FAD"/>
    <w:rsid w:val="00F06FF7"/>
    <w:rsid w:val="00F07138"/>
    <w:rsid w:val="00F0719F"/>
    <w:rsid w:val="00F071DE"/>
    <w:rsid w:val="00F07244"/>
    <w:rsid w:val="00F07249"/>
    <w:rsid w:val="00F0731F"/>
    <w:rsid w:val="00F07329"/>
    <w:rsid w:val="00F073B4"/>
    <w:rsid w:val="00F074BA"/>
    <w:rsid w:val="00F074CD"/>
    <w:rsid w:val="00F074D0"/>
    <w:rsid w:val="00F0755E"/>
    <w:rsid w:val="00F0765E"/>
    <w:rsid w:val="00F07867"/>
    <w:rsid w:val="00F078EE"/>
    <w:rsid w:val="00F0797E"/>
    <w:rsid w:val="00F07995"/>
    <w:rsid w:val="00F07A54"/>
    <w:rsid w:val="00F07AA3"/>
    <w:rsid w:val="00F07CA2"/>
    <w:rsid w:val="00F07DD8"/>
    <w:rsid w:val="00F07DF6"/>
    <w:rsid w:val="00F07ECC"/>
    <w:rsid w:val="00F07F19"/>
    <w:rsid w:val="00F07F8A"/>
    <w:rsid w:val="00F10170"/>
    <w:rsid w:val="00F101DB"/>
    <w:rsid w:val="00F102EC"/>
    <w:rsid w:val="00F103D1"/>
    <w:rsid w:val="00F104D6"/>
    <w:rsid w:val="00F1061F"/>
    <w:rsid w:val="00F10653"/>
    <w:rsid w:val="00F107A4"/>
    <w:rsid w:val="00F107D5"/>
    <w:rsid w:val="00F10801"/>
    <w:rsid w:val="00F1084C"/>
    <w:rsid w:val="00F109CC"/>
    <w:rsid w:val="00F10B0C"/>
    <w:rsid w:val="00F10B57"/>
    <w:rsid w:val="00F10BB5"/>
    <w:rsid w:val="00F10BD7"/>
    <w:rsid w:val="00F10C33"/>
    <w:rsid w:val="00F10C63"/>
    <w:rsid w:val="00F10C85"/>
    <w:rsid w:val="00F10C87"/>
    <w:rsid w:val="00F10C89"/>
    <w:rsid w:val="00F10D43"/>
    <w:rsid w:val="00F10EA8"/>
    <w:rsid w:val="00F10EED"/>
    <w:rsid w:val="00F110BE"/>
    <w:rsid w:val="00F11112"/>
    <w:rsid w:val="00F11122"/>
    <w:rsid w:val="00F11147"/>
    <w:rsid w:val="00F111EF"/>
    <w:rsid w:val="00F112EC"/>
    <w:rsid w:val="00F1146E"/>
    <w:rsid w:val="00F114CC"/>
    <w:rsid w:val="00F11779"/>
    <w:rsid w:val="00F117D3"/>
    <w:rsid w:val="00F11851"/>
    <w:rsid w:val="00F118AF"/>
    <w:rsid w:val="00F1196E"/>
    <w:rsid w:val="00F11AF1"/>
    <w:rsid w:val="00F11C78"/>
    <w:rsid w:val="00F11CBD"/>
    <w:rsid w:val="00F11DB2"/>
    <w:rsid w:val="00F11EB4"/>
    <w:rsid w:val="00F11F83"/>
    <w:rsid w:val="00F120CC"/>
    <w:rsid w:val="00F121B7"/>
    <w:rsid w:val="00F121C7"/>
    <w:rsid w:val="00F1233E"/>
    <w:rsid w:val="00F124BD"/>
    <w:rsid w:val="00F12581"/>
    <w:rsid w:val="00F1278C"/>
    <w:rsid w:val="00F1283E"/>
    <w:rsid w:val="00F12A59"/>
    <w:rsid w:val="00F12B6F"/>
    <w:rsid w:val="00F12D27"/>
    <w:rsid w:val="00F12DB5"/>
    <w:rsid w:val="00F12DB8"/>
    <w:rsid w:val="00F12DFC"/>
    <w:rsid w:val="00F12F48"/>
    <w:rsid w:val="00F12F5E"/>
    <w:rsid w:val="00F12F8E"/>
    <w:rsid w:val="00F12F92"/>
    <w:rsid w:val="00F13029"/>
    <w:rsid w:val="00F131A1"/>
    <w:rsid w:val="00F131D2"/>
    <w:rsid w:val="00F1327A"/>
    <w:rsid w:val="00F133CA"/>
    <w:rsid w:val="00F135AE"/>
    <w:rsid w:val="00F137B5"/>
    <w:rsid w:val="00F138F1"/>
    <w:rsid w:val="00F139C8"/>
    <w:rsid w:val="00F13A12"/>
    <w:rsid w:val="00F13AFB"/>
    <w:rsid w:val="00F13D29"/>
    <w:rsid w:val="00F13D66"/>
    <w:rsid w:val="00F13F6A"/>
    <w:rsid w:val="00F13FA4"/>
    <w:rsid w:val="00F1402E"/>
    <w:rsid w:val="00F14180"/>
    <w:rsid w:val="00F141B3"/>
    <w:rsid w:val="00F143A1"/>
    <w:rsid w:val="00F14410"/>
    <w:rsid w:val="00F14447"/>
    <w:rsid w:val="00F1447E"/>
    <w:rsid w:val="00F1460B"/>
    <w:rsid w:val="00F147E0"/>
    <w:rsid w:val="00F14831"/>
    <w:rsid w:val="00F14841"/>
    <w:rsid w:val="00F148A2"/>
    <w:rsid w:val="00F148BE"/>
    <w:rsid w:val="00F148FC"/>
    <w:rsid w:val="00F1491F"/>
    <w:rsid w:val="00F14A0A"/>
    <w:rsid w:val="00F14A5C"/>
    <w:rsid w:val="00F14AC1"/>
    <w:rsid w:val="00F14B54"/>
    <w:rsid w:val="00F14B88"/>
    <w:rsid w:val="00F14C6A"/>
    <w:rsid w:val="00F14D44"/>
    <w:rsid w:val="00F14DF2"/>
    <w:rsid w:val="00F151F3"/>
    <w:rsid w:val="00F15357"/>
    <w:rsid w:val="00F153D5"/>
    <w:rsid w:val="00F15433"/>
    <w:rsid w:val="00F154A1"/>
    <w:rsid w:val="00F154F2"/>
    <w:rsid w:val="00F15614"/>
    <w:rsid w:val="00F1562D"/>
    <w:rsid w:val="00F156A5"/>
    <w:rsid w:val="00F1574D"/>
    <w:rsid w:val="00F158C2"/>
    <w:rsid w:val="00F158D0"/>
    <w:rsid w:val="00F15903"/>
    <w:rsid w:val="00F15971"/>
    <w:rsid w:val="00F1598F"/>
    <w:rsid w:val="00F15C4A"/>
    <w:rsid w:val="00F15C73"/>
    <w:rsid w:val="00F15CA1"/>
    <w:rsid w:val="00F15CDA"/>
    <w:rsid w:val="00F15DE3"/>
    <w:rsid w:val="00F15E17"/>
    <w:rsid w:val="00F15E57"/>
    <w:rsid w:val="00F16039"/>
    <w:rsid w:val="00F16055"/>
    <w:rsid w:val="00F160D0"/>
    <w:rsid w:val="00F161F8"/>
    <w:rsid w:val="00F1621B"/>
    <w:rsid w:val="00F16321"/>
    <w:rsid w:val="00F164F6"/>
    <w:rsid w:val="00F16510"/>
    <w:rsid w:val="00F1651D"/>
    <w:rsid w:val="00F16573"/>
    <w:rsid w:val="00F165B4"/>
    <w:rsid w:val="00F165C8"/>
    <w:rsid w:val="00F16772"/>
    <w:rsid w:val="00F167D3"/>
    <w:rsid w:val="00F16975"/>
    <w:rsid w:val="00F16A7C"/>
    <w:rsid w:val="00F16B21"/>
    <w:rsid w:val="00F16BA0"/>
    <w:rsid w:val="00F16BAA"/>
    <w:rsid w:val="00F16BDD"/>
    <w:rsid w:val="00F16DCF"/>
    <w:rsid w:val="00F16E7C"/>
    <w:rsid w:val="00F16FBE"/>
    <w:rsid w:val="00F16FD5"/>
    <w:rsid w:val="00F1701F"/>
    <w:rsid w:val="00F1722D"/>
    <w:rsid w:val="00F17349"/>
    <w:rsid w:val="00F17489"/>
    <w:rsid w:val="00F1756D"/>
    <w:rsid w:val="00F176A3"/>
    <w:rsid w:val="00F177C5"/>
    <w:rsid w:val="00F17804"/>
    <w:rsid w:val="00F17836"/>
    <w:rsid w:val="00F17B7A"/>
    <w:rsid w:val="00F17C25"/>
    <w:rsid w:val="00F17CAC"/>
    <w:rsid w:val="00F17D99"/>
    <w:rsid w:val="00F2001F"/>
    <w:rsid w:val="00F2003B"/>
    <w:rsid w:val="00F20086"/>
    <w:rsid w:val="00F200CE"/>
    <w:rsid w:val="00F200FC"/>
    <w:rsid w:val="00F201E1"/>
    <w:rsid w:val="00F201ED"/>
    <w:rsid w:val="00F20369"/>
    <w:rsid w:val="00F20414"/>
    <w:rsid w:val="00F204F4"/>
    <w:rsid w:val="00F2052A"/>
    <w:rsid w:val="00F20530"/>
    <w:rsid w:val="00F206F4"/>
    <w:rsid w:val="00F2091D"/>
    <w:rsid w:val="00F209CE"/>
    <w:rsid w:val="00F209E1"/>
    <w:rsid w:val="00F20A54"/>
    <w:rsid w:val="00F20ACB"/>
    <w:rsid w:val="00F20C6A"/>
    <w:rsid w:val="00F20D4C"/>
    <w:rsid w:val="00F20FC2"/>
    <w:rsid w:val="00F210CB"/>
    <w:rsid w:val="00F21117"/>
    <w:rsid w:val="00F21192"/>
    <w:rsid w:val="00F211CB"/>
    <w:rsid w:val="00F211ED"/>
    <w:rsid w:val="00F212D3"/>
    <w:rsid w:val="00F2144E"/>
    <w:rsid w:val="00F214AD"/>
    <w:rsid w:val="00F21698"/>
    <w:rsid w:val="00F217D6"/>
    <w:rsid w:val="00F217E8"/>
    <w:rsid w:val="00F21A5D"/>
    <w:rsid w:val="00F21C59"/>
    <w:rsid w:val="00F21E68"/>
    <w:rsid w:val="00F22081"/>
    <w:rsid w:val="00F220ED"/>
    <w:rsid w:val="00F220EE"/>
    <w:rsid w:val="00F221B2"/>
    <w:rsid w:val="00F222EA"/>
    <w:rsid w:val="00F22394"/>
    <w:rsid w:val="00F223E2"/>
    <w:rsid w:val="00F22463"/>
    <w:rsid w:val="00F22523"/>
    <w:rsid w:val="00F2267A"/>
    <w:rsid w:val="00F22815"/>
    <w:rsid w:val="00F22A83"/>
    <w:rsid w:val="00F22AE3"/>
    <w:rsid w:val="00F22AFE"/>
    <w:rsid w:val="00F22B98"/>
    <w:rsid w:val="00F22C59"/>
    <w:rsid w:val="00F22E27"/>
    <w:rsid w:val="00F231FE"/>
    <w:rsid w:val="00F2349C"/>
    <w:rsid w:val="00F23641"/>
    <w:rsid w:val="00F23663"/>
    <w:rsid w:val="00F236F0"/>
    <w:rsid w:val="00F23890"/>
    <w:rsid w:val="00F238A5"/>
    <w:rsid w:val="00F2391C"/>
    <w:rsid w:val="00F23935"/>
    <w:rsid w:val="00F239A2"/>
    <w:rsid w:val="00F239B7"/>
    <w:rsid w:val="00F23BC2"/>
    <w:rsid w:val="00F23D1D"/>
    <w:rsid w:val="00F23EAF"/>
    <w:rsid w:val="00F240B2"/>
    <w:rsid w:val="00F240E9"/>
    <w:rsid w:val="00F2412F"/>
    <w:rsid w:val="00F2422F"/>
    <w:rsid w:val="00F242B3"/>
    <w:rsid w:val="00F242E1"/>
    <w:rsid w:val="00F244F8"/>
    <w:rsid w:val="00F24542"/>
    <w:rsid w:val="00F24850"/>
    <w:rsid w:val="00F24A61"/>
    <w:rsid w:val="00F24AB5"/>
    <w:rsid w:val="00F24B2C"/>
    <w:rsid w:val="00F24B68"/>
    <w:rsid w:val="00F24D5B"/>
    <w:rsid w:val="00F24EAF"/>
    <w:rsid w:val="00F24F0E"/>
    <w:rsid w:val="00F24F58"/>
    <w:rsid w:val="00F2507A"/>
    <w:rsid w:val="00F250AE"/>
    <w:rsid w:val="00F250B3"/>
    <w:rsid w:val="00F250DD"/>
    <w:rsid w:val="00F2538D"/>
    <w:rsid w:val="00F255AE"/>
    <w:rsid w:val="00F256E7"/>
    <w:rsid w:val="00F25954"/>
    <w:rsid w:val="00F25A43"/>
    <w:rsid w:val="00F25A64"/>
    <w:rsid w:val="00F25A8D"/>
    <w:rsid w:val="00F25B01"/>
    <w:rsid w:val="00F25B18"/>
    <w:rsid w:val="00F25B54"/>
    <w:rsid w:val="00F25E51"/>
    <w:rsid w:val="00F25E7B"/>
    <w:rsid w:val="00F25F5F"/>
    <w:rsid w:val="00F26016"/>
    <w:rsid w:val="00F260A7"/>
    <w:rsid w:val="00F260E7"/>
    <w:rsid w:val="00F261F8"/>
    <w:rsid w:val="00F262EE"/>
    <w:rsid w:val="00F26360"/>
    <w:rsid w:val="00F2637D"/>
    <w:rsid w:val="00F2639F"/>
    <w:rsid w:val="00F26592"/>
    <w:rsid w:val="00F26710"/>
    <w:rsid w:val="00F2673D"/>
    <w:rsid w:val="00F2678B"/>
    <w:rsid w:val="00F2698A"/>
    <w:rsid w:val="00F26B48"/>
    <w:rsid w:val="00F26C37"/>
    <w:rsid w:val="00F26C5D"/>
    <w:rsid w:val="00F26C5E"/>
    <w:rsid w:val="00F26C92"/>
    <w:rsid w:val="00F26D5C"/>
    <w:rsid w:val="00F26E1C"/>
    <w:rsid w:val="00F26F9A"/>
    <w:rsid w:val="00F2700E"/>
    <w:rsid w:val="00F27096"/>
    <w:rsid w:val="00F270F7"/>
    <w:rsid w:val="00F27104"/>
    <w:rsid w:val="00F27242"/>
    <w:rsid w:val="00F2724D"/>
    <w:rsid w:val="00F272A7"/>
    <w:rsid w:val="00F273B9"/>
    <w:rsid w:val="00F27561"/>
    <w:rsid w:val="00F27775"/>
    <w:rsid w:val="00F277F8"/>
    <w:rsid w:val="00F27812"/>
    <w:rsid w:val="00F27876"/>
    <w:rsid w:val="00F278E5"/>
    <w:rsid w:val="00F27911"/>
    <w:rsid w:val="00F279CC"/>
    <w:rsid w:val="00F27A2F"/>
    <w:rsid w:val="00F27A63"/>
    <w:rsid w:val="00F27AA0"/>
    <w:rsid w:val="00F27B52"/>
    <w:rsid w:val="00F27B80"/>
    <w:rsid w:val="00F27BA6"/>
    <w:rsid w:val="00F27CE0"/>
    <w:rsid w:val="00F27FA1"/>
    <w:rsid w:val="00F27FCE"/>
    <w:rsid w:val="00F301C8"/>
    <w:rsid w:val="00F30248"/>
    <w:rsid w:val="00F30322"/>
    <w:rsid w:val="00F303BA"/>
    <w:rsid w:val="00F303EE"/>
    <w:rsid w:val="00F30590"/>
    <w:rsid w:val="00F305F9"/>
    <w:rsid w:val="00F30624"/>
    <w:rsid w:val="00F30632"/>
    <w:rsid w:val="00F30676"/>
    <w:rsid w:val="00F30728"/>
    <w:rsid w:val="00F30761"/>
    <w:rsid w:val="00F30766"/>
    <w:rsid w:val="00F309C9"/>
    <w:rsid w:val="00F309FF"/>
    <w:rsid w:val="00F30B8D"/>
    <w:rsid w:val="00F30BA7"/>
    <w:rsid w:val="00F30D5B"/>
    <w:rsid w:val="00F30D6E"/>
    <w:rsid w:val="00F30DF7"/>
    <w:rsid w:val="00F30F42"/>
    <w:rsid w:val="00F30FC1"/>
    <w:rsid w:val="00F30FDA"/>
    <w:rsid w:val="00F31004"/>
    <w:rsid w:val="00F31059"/>
    <w:rsid w:val="00F3108C"/>
    <w:rsid w:val="00F31091"/>
    <w:rsid w:val="00F3124B"/>
    <w:rsid w:val="00F31310"/>
    <w:rsid w:val="00F313DD"/>
    <w:rsid w:val="00F31578"/>
    <w:rsid w:val="00F315CD"/>
    <w:rsid w:val="00F31678"/>
    <w:rsid w:val="00F317B0"/>
    <w:rsid w:val="00F31A8E"/>
    <w:rsid w:val="00F31B9E"/>
    <w:rsid w:val="00F31C1F"/>
    <w:rsid w:val="00F31C21"/>
    <w:rsid w:val="00F31D06"/>
    <w:rsid w:val="00F31D40"/>
    <w:rsid w:val="00F31E48"/>
    <w:rsid w:val="00F31E63"/>
    <w:rsid w:val="00F31EB1"/>
    <w:rsid w:val="00F31EF9"/>
    <w:rsid w:val="00F31F0B"/>
    <w:rsid w:val="00F3202F"/>
    <w:rsid w:val="00F3206C"/>
    <w:rsid w:val="00F321E4"/>
    <w:rsid w:val="00F32234"/>
    <w:rsid w:val="00F32247"/>
    <w:rsid w:val="00F3229F"/>
    <w:rsid w:val="00F322B9"/>
    <w:rsid w:val="00F32302"/>
    <w:rsid w:val="00F3255E"/>
    <w:rsid w:val="00F32947"/>
    <w:rsid w:val="00F32A44"/>
    <w:rsid w:val="00F32ABB"/>
    <w:rsid w:val="00F32B02"/>
    <w:rsid w:val="00F32B67"/>
    <w:rsid w:val="00F32BF9"/>
    <w:rsid w:val="00F32C23"/>
    <w:rsid w:val="00F32CAE"/>
    <w:rsid w:val="00F32D5D"/>
    <w:rsid w:val="00F32DD3"/>
    <w:rsid w:val="00F32EE5"/>
    <w:rsid w:val="00F32FA1"/>
    <w:rsid w:val="00F33003"/>
    <w:rsid w:val="00F330C9"/>
    <w:rsid w:val="00F33330"/>
    <w:rsid w:val="00F33502"/>
    <w:rsid w:val="00F3357B"/>
    <w:rsid w:val="00F335F7"/>
    <w:rsid w:val="00F336F8"/>
    <w:rsid w:val="00F337B6"/>
    <w:rsid w:val="00F3381C"/>
    <w:rsid w:val="00F338F8"/>
    <w:rsid w:val="00F33975"/>
    <w:rsid w:val="00F33A96"/>
    <w:rsid w:val="00F33AD8"/>
    <w:rsid w:val="00F33AF1"/>
    <w:rsid w:val="00F33D90"/>
    <w:rsid w:val="00F33E35"/>
    <w:rsid w:val="00F33E70"/>
    <w:rsid w:val="00F33E79"/>
    <w:rsid w:val="00F3407D"/>
    <w:rsid w:val="00F340BD"/>
    <w:rsid w:val="00F3421C"/>
    <w:rsid w:val="00F34370"/>
    <w:rsid w:val="00F343C4"/>
    <w:rsid w:val="00F34424"/>
    <w:rsid w:val="00F34513"/>
    <w:rsid w:val="00F345C6"/>
    <w:rsid w:val="00F345DB"/>
    <w:rsid w:val="00F34612"/>
    <w:rsid w:val="00F346DB"/>
    <w:rsid w:val="00F34858"/>
    <w:rsid w:val="00F34AE2"/>
    <w:rsid w:val="00F34B60"/>
    <w:rsid w:val="00F34F69"/>
    <w:rsid w:val="00F34F6A"/>
    <w:rsid w:val="00F35020"/>
    <w:rsid w:val="00F35073"/>
    <w:rsid w:val="00F351E7"/>
    <w:rsid w:val="00F352A3"/>
    <w:rsid w:val="00F35363"/>
    <w:rsid w:val="00F35420"/>
    <w:rsid w:val="00F35439"/>
    <w:rsid w:val="00F35442"/>
    <w:rsid w:val="00F35517"/>
    <w:rsid w:val="00F3551D"/>
    <w:rsid w:val="00F35541"/>
    <w:rsid w:val="00F3563B"/>
    <w:rsid w:val="00F35664"/>
    <w:rsid w:val="00F3566F"/>
    <w:rsid w:val="00F3570B"/>
    <w:rsid w:val="00F3574C"/>
    <w:rsid w:val="00F35985"/>
    <w:rsid w:val="00F35D41"/>
    <w:rsid w:val="00F35D50"/>
    <w:rsid w:val="00F35DDD"/>
    <w:rsid w:val="00F35DDF"/>
    <w:rsid w:val="00F35E7E"/>
    <w:rsid w:val="00F35EAE"/>
    <w:rsid w:val="00F36034"/>
    <w:rsid w:val="00F36048"/>
    <w:rsid w:val="00F36196"/>
    <w:rsid w:val="00F361FD"/>
    <w:rsid w:val="00F36276"/>
    <w:rsid w:val="00F36290"/>
    <w:rsid w:val="00F36325"/>
    <w:rsid w:val="00F363D0"/>
    <w:rsid w:val="00F363F8"/>
    <w:rsid w:val="00F36529"/>
    <w:rsid w:val="00F3665C"/>
    <w:rsid w:val="00F366D9"/>
    <w:rsid w:val="00F3671F"/>
    <w:rsid w:val="00F368E3"/>
    <w:rsid w:val="00F368F9"/>
    <w:rsid w:val="00F36905"/>
    <w:rsid w:val="00F36948"/>
    <w:rsid w:val="00F36A16"/>
    <w:rsid w:val="00F36BE5"/>
    <w:rsid w:val="00F36C0C"/>
    <w:rsid w:val="00F36D0F"/>
    <w:rsid w:val="00F36D4A"/>
    <w:rsid w:val="00F36D8C"/>
    <w:rsid w:val="00F36D96"/>
    <w:rsid w:val="00F36DAD"/>
    <w:rsid w:val="00F36F0D"/>
    <w:rsid w:val="00F36F5E"/>
    <w:rsid w:val="00F37024"/>
    <w:rsid w:val="00F37186"/>
    <w:rsid w:val="00F37325"/>
    <w:rsid w:val="00F37332"/>
    <w:rsid w:val="00F374FF"/>
    <w:rsid w:val="00F37511"/>
    <w:rsid w:val="00F375CE"/>
    <w:rsid w:val="00F37726"/>
    <w:rsid w:val="00F37746"/>
    <w:rsid w:val="00F3775E"/>
    <w:rsid w:val="00F3777F"/>
    <w:rsid w:val="00F37887"/>
    <w:rsid w:val="00F378AF"/>
    <w:rsid w:val="00F379D3"/>
    <w:rsid w:val="00F37A22"/>
    <w:rsid w:val="00F37AD4"/>
    <w:rsid w:val="00F37CCF"/>
    <w:rsid w:val="00F37D42"/>
    <w:rsid w:val="00F37E46"/>
    <w:rsid w:val="00F37E9F"/>
    <w:rsid w:val="00F4012D"/>
    <w:rsid w:val="00F40151"/>
    <w:rsid w:val="00F4024A"/>
    <w:rsid w:val="00F40376"/>
    <w:rsid w:val="00F40385"/>
    <w:rsid w:val="00F4046F"/>
    <w:rsid w:val="00F40563"/>
    <w:rsid w:val="00F40A25"/>
    <w:rsid w:val="00F40A68"/>
    <w:rsid w:val="00F40C11"/>
    <w:rsid w:val="00F40E6B"/>
    <w:rsid w:val="00F40F35"/>
    <w:rsid w:val="00F410BC"/>
    <w:rsid w:val="00F41118"/>
    <w:rsid w:val="00F4121E"/>
    <w:rsid w:val="00F4132C"/>
    <w:rsid w:val="00F41393"/>
    <w:rsid w:val="00F41398"/>
    <w:rsid w:val="00F413DE"/>
    <w:rsid w:val="00F413F6"/>
    <w:rsid w:val="00F415E3"/>
    <w:rsid w:val="00F4176F"/>
    <w:rsid w:val="00F41803"/>
    <w:rsid w:val="00F41A18"/>
    <w:rsid w:val="00F41B2E"/>
    <w:rsid w:val="00F41BFE"/>
    <w:rsid w:val="00F41CAD"/>
    <w:rsid w:val="00F41CE1"/>
    <w:rsid w:val="00F41D6D"/>
    <w:rsid w:val="00F41D86"/>
    <w:rsid w:val="00F41F4B"/>
    <w:rsid w:val="00F41FB2"/>
    <w:rsid w:val="00F42020"/>
    <w:rsid w:val="00F42055"/>
    <w:rsid w:val="00F420D6"/>
    <w:rsid w:val="00F420D8"/>
    <w:rsid w:val="00F421F5"/>
    <w:rsid w:val="00F422D9"/>
    <w:rsid w:val="00F42337"/>
    <w:rsid w:val="00F424DE"/>
    <w:rsid w:val="00F42651"/>
    <w:rsid w:val="00F42827"/>
    <w:rsid w:val="00F42969"/>
    <w:rsid w:val="00F42A61"/>
    <w:rsid w:val="00F42A8C"/>
    <w:rsid w:val="00F42CD2"/>
    <w:rsid w:val="00F42D4C"/>
    <w:rsid w:val="00F42D52"/>
    <w:rsid w:val="00F42DD7"/>
    <w:rsid w:val="00F42E7F"/>
    <w:rsid w:val="00F43035"/>
    <w:rsid w:val="00F430A8"/>
    <w:rsid w:val="00F4316B"/>
    <w:rsid w:val="00F43188"/>
    <w:rsid w:val="00F432A2"/>
    <w:rsid w:val="00F43313"/>
    <w:rsid w:val="00F4337B"/>
    <w:rsid w:val="00F4350E"/>
    <w:rsid w:val="00F435CE"/>
    <w:rsid w:val="00F436D6"/>
    <w:rsid w:val="00F437DF"/>
    <w:rsid w:val="00F4389B"/>
    <w:rsid w:val="00F438F7"/>
    <w:rsid w:val="00F43999"/>
    <w:rsid w:val="00F439B1"/>
    <w:rsid w:val="00F43A94"/>
    <w:rsid w:val="00F43AD4"/>
    <w:rsid w:val="00F43BB1"/>
    <w:rsid w:val="00F43E08"/>
    <w:rsid w:val="00F44012"/>
    <w:rsid w:val="00F4402D"/>
    <w:rsid w:val="00F4406A"/>
    <w:rsid w:val="00F4411A"/>
    <w:rsid w:val="00F442A4"/>
    <w:rsid w:val="00F44478"/>
    <w:rsid w:val="00F444EE"/>
    <w:rsid w:val="00F44556"/>
    <w:rsid w:val="00F445C0"/>
    <w:rsid w:val="00F44640"/>
    <w:rsid w:val="00F44739"/>
    <w:rsid w:val="00F448C6"/>
    <w:rsid w:val="00F448D1"/>
    <w:rsid w:val="00F44B32"/>
    <w:rsid w:val="00F44B61"/>
    <w:rsid w:val="00F44B69"/>
    <w:rsid w:val="00F44C68"/>
    <w:rsid w:val="00F44E3D"/>
    <w:rsid w:val="00F45441"/>
    <w:rsid w:val="00F455FC"/>
    <w:rsid w:val="00F45789"/>
    <w:rsid w:val="00F4578A"/>
    <w:rsid w:val="00F457CC"/>
    <w:rsid w:val="00F4582C"/>
    <w:rsid w:val="00F45891"/>
    <w:rsid w:val="00F458BF"/>
    <w:rsid w:val="00F45949"/>
    <w:rsid w:val="00F4599F"/>
    <w:rsid w:val="00F459EF"/>
    <w:rsid w:val="00F45A01"/>
    <w:rsid w:val="00F45A25"/>
    <w:rsid w:val="00F45A5B"/>
    <w:rsid w:val="00F45B04"/>
    <w:rsid w:val="00F45B7A"/>
    <w:rsid w:val="00F45C3F"/>
    <w:rsid w:val="00F45E29"/>
    <w:rsid w:val="00F45E56"/>
    <w:rsid w:val="00F45E75"/>
    <w:rsid w:val="00F45E8A"/>
    <w:rsid w:val="00F45FDB"/>
    <w:rsid w:val="00F460C5"/>
    <w:rsid w:val="00F46142"/>
    <w:rsid w:val="00F4619C"/>
    <w:rsid w:val="00F4623C"/>
    <w:rsid w:val="00F463FF"/>
    <w:rsid w:val="00F46423"/>
    <w:rsid w:val="00F46448"/>
    <w:rsid w:val="00F46591"/>
    <w:rsid w:val="00F46657"/>
    <w:rsid w:val="00F466F6"/>
    <w:rsid w:val="00F469D7"/>
    <w:rsid w:val="00F469E0"/>
    <w:rsid w:val="00F46A2E"/>
    <w:rsid w:val="00F46A47"/>
    <w:rsid w:val="00F46B18"/>
    <w:rsid w:val="00F46BA0"/>
    <w:rsid w:val="00F46C03"/>
    <w:rsid w:val="00F46C7C"/>
    <w:rsid w:val="00F46E1D"/>
    <w:rsid w:val="00F46E3B"/>
    <w:rsid w:val="00F46E4F"/>
    <w:rsid w:val="00F46FD9"/>
    <w:rsid w:val="00F47018"/>
    <w:rsid w:val="00F471A8"/>
    <w:rsid w:val="00F47225"/>
    <w:rsid w:val="00F472CB"/>
    <w:rsid w:val="00F473D0"/>
    <w:rsid w:val="00F4749E"/>
    <w:rsid w:val="00F47581"/>
    <w:rsid w:val="00F47676"/>
    <w:rsid w:val="00F476D9"/>
    <w:rsid w:val="00F47771"/>
    <w:rsid w:val="00F477A9"/>
    <w:rsid w:val="00F477E0"/>
    <w:rsid w:val="00F47947"/>
    <w:rsid w:val="00F47ADB"/>
    <w:rsid w:val="00F47B25"/>
    <w:rsid w:val="00F47C24"/>
    <w:rsid w:val="00F47C96"/>
    <w:rsid w:val="00F47CC0"/>
    <w:rsid w:val="00F47D1D"/>
    <w:rsid w:val="00F47F1D"/>
    <w:rsid w:val="00F47FF2"/>
    <w:rsid w:val="00F50088"/>
    <w:rsid w:val="00F50157"/>
    <w:rsid w:val="00F5019F"/>
    <w:rsid w:val="00F501EE"/>
    <w:rsid w:val="00F501F8"/>
    <w:rsid w:val="00F502C1"/>
    <w:rsid w:val="00F503FC"/>
    <w:rsid w:val="00F50464"/>
    <w:rsid w:val="00F504AD"/>
    <w:rsid w:val="00F50551"/>
    <w:rsid w:val="00F50A09"/>
    <w:rsid w:val="00F50BA7"/>
    <w:rsid w:val="00F50BF0"/>
    <w:rsid w:val="00F50C21"/>
    <w:rsid w:val="00F50D79"/>
    <w:rsid w:val="00F50DA4"/>
    <w:rsid w:val="00F50EA3"/>
    <w:rsid w:val="00F50EFA"/>
    <w:rsid w:val="00F50F92"/>
    <w:rsid w:val="00F510A6"/>
    <w:rsid w:val="00F51192"/>
    <w:rsid w:val="00F511BE"/>
    <w:rsid w:val="00F51317"/>
    <w:rsid w:val="00F513FE"/>
    <w:rsid w:val="00F51451"/>
    <w:rsid w:val="00F514B6"/>
    <w:rsid w:val="00F514C4"/>
    <w:rsid w:val="00F514F4"/>
    <w:rsid w:val="00F51504"/>
    <w:rsid w:val="00F51511"/>
    <w:rsid w:val="00F515E2"/>
    <w:rsid w:val="00F51642"/>
    <w:rsid w:val="00F51688"/>
    <w:rsid w:val="00F5175E"/>
    <w:rsid w:val="00F51804"/>
    <w:rsid w:val="00F51806"/>
    <w:rsid w:val="00F5184C"/>
    <w:rsid w:val="00F518F6"/>
    <w:rsid w:val="00F5192F"/>
    <w:rsid w:val="00F519A4"/>
    <w:rsid w:val="00F51B4A"/>
    <w:rsid w:val="00F51C6F"/>
    <w:rsid w:val="00F51D4B"/>
    <w:rsid w:val="00F51E12"/>
    <w:rsid w:val="00F51E9C"/>
    <w:rsid w:val="00F51F73"/>
    <w:rsid w:val="00F520AC"/>
    <w:rsid w:val="00F525FA"/>
    <w:rsid w:val="00F52601"/>
    <w:rsid w:val="00F52694"/>
    <w:rsid w:val="00F527E4"/>
    <w:rsid w:val="00F52A88"/>
    <w:rsid w:val="00F52BD0"/>
    <w:rsid w:val="00F52C00"/>
    <w:rsid w:val="00F52C5C"/>
    <w:rsid w:val="00F52D49"/>
    <w:rsid w:val="00F52D72"/>
    <w:rsid w:val="00F52DD5"/>
    <w:rsid w:val="00F52F2F"/>
    <w:rsid w:val="00F531B9"/>
    <w:rsid w:val="00F53272"/>
    <w:rsid w:val="00F53347"/>
    <w:rsid w:val="00F535FE"/>
    <w:rsid w:val="00F5361B"/>
    <w:rsid w:val="00F5364B"/>
    <w:rsid w:val="00F536D4"/>
    <w:rsid w:val="00F5379E"/>
    <w:rsid w:val="00F538CF"/>
    <w:rsid w:val="00F53934"/>
    <w:rsid w:val="00F53954"/>
    <w:rsid w:val="00F539DE"/>
    <w:rsid w:val="00F53A29"/>
    <w:rsid w:val="00F53A54"/>
    <w:rsid w:val="00F53A69"/>
    <w:rsid w:val="00F53C8C"/>
    <w:rsid w:val="00F53C98"/>
    <w:rsid w:val="00F53DB2"/>
    <w:rsid w:val="00F53E3C"/>
    <w:rsid w:val="00F53E9D"/>
    <w:rsid w:val="00F53EED"/>
    <w:rsid w:val="00F5422F"/>
    <w:rsid w:val="00F54245"/>
    <w:rsid w:val="00F543A4"/>
    <w:rsid w:val="00F543F4"/>
    <w:rsid w:val="00F544EF"/>
    <w:rsid w:val="00F54583"/>
    <w:rsid w:val="00F545F3"/>
    <w:rsid w:val="00F54643"/>
    <w:rsid w:val="00F546B6"/>
    <w:rsid w:val="00F54736"/>
    <w:rsid w:val="00F5474D"/>
    <w:rsid w:val="00F547AE"/>
    <w:rsid w:val="00F54893"/>
    <w:rsid w:val="00F548CB"/>
    <w:rsid w:val="00F548E7"/>
    <w:rsid w:val="00F549D0"/>
    <w:rsid w:val="00F54B52"/>
    <w:rsid w:val="00F54C73"/>
    <w:rsid w:val="00F54D43"/>
    <w:rsid w:val="00F54D9D"/>
    <w:rsid w:val="00F54DE6"/>
    <w:rsid w:val="00F54E00"/>
    <w:rsid w:val="00F54E18"/>
    <w:rsid w:val="00F54E59"/>
    <w:rsid w:val="00F54F94"/>
    <w:rsid w:val="00F55025"/>
    <w:rsid w:val="00F55064"/>
    <w:rsid w:val="00F550DE"/>
    <w:rsid w:val="00F5518D"/>
    <w:rsid w:val="00F551A0"/>
    <w:rsid w:val="00F5527D"/>
    <w:rsid w:val="00F55355"/>
    <w:rsid w:val="00F553BF"/>
    <w:rsid w:val="00F55578"/>
    <w:rsid w:val="00F555C8"/>
    <w:rsid w:val="00F555C9"/>
    <w:rsid w:val="00F55604"/>
    <w:rsid w:val="00F5578D"/>
    <w:rsid w:val="00F558A5"/>
    <w:rsid w:val="00F558B0"/>
    <w:rsid w:val="00F558CE"/>
    <w:rsid w:val="00F558DF"/>
    <w:rsid w:val="00F55A05"/>
    <w:rsid w:val="00F55B26"/>
    <w:rsid w:val="00F55B96"/>
    <w:rsid w:val="00F55BC9"/>
    <w:rsid w:val="00F55D10"/>
    <w:rsid w:val="00F55EA1"/>
    <w:rsid w:val="00F55FEA"/>
    <w:rsid w:val="00F5609A"/>
    <w:rsid w:val="00F56112"/>
    <w:rsid w:val="00F56200"/>
    <w:rsid w:val="00F56211"/>
    <w:rsid w:val="00F562C1"/>
    <w:rsid w:val="00F564C9"/>
    <w:rsid w:val="00F564EA"/>
    <w:rsid w:val="00F564FF"/>
    <w:rsid w:val="00F567AC"/>
    <w:rsid w:val="00F567AD"/>
    <w:rsid w:val="00F56822"/>
    <w:rsid w:val="00F56A65"/>
    <w:rsid w:val="00F56AB0"/>
    <w:rsid w:val="00F56B71"/>
    <w:rsid w:val="00F56BAF"/>
    <w:rsid w:val="00F56BE1"/>
    <w:rsid w:val="00F56C43"/>
    <w:rsid w:val="00F56C86"/>
    <w:rsid w:val="00F56D3C"/>
    <w:rsid w:val="00F56F41"/>
    <w:rsid w:val="00F57016"/>
    <w:rsid w:val="00F57028"/>
    <w:rsid w:val="00F5702B"/>
    <w:rsid w:val="00F5708E"/>
    <w:rsid w:val="00F570E6"/>
    <w:rsid w:val="00F5710A"/>
    <w:rsid w:val="00F57162"/>
    <w:rsid w:val="00F57241"/>
    <w:rsid w:val="00F572B8"/>
    <w:rsid w:val="00F5731B"/>
    <w:rsid w:val="00F5732D"/>
    <w:rsid w:val="00F5739D"/>
    <w:rsid w:val="00F5743A"/>
    <w:rsid w:val="00F576B5"/>
    <w:rsid w:val="00F57790"/>
    <w:rsid w:val="00F579D7"/>
    <w:rsid w:val="00F579EB"/>
    <w:rsid w:val="00F57A76"/>
    <w:rsid w:val="00F57C99"/>
    <w:rsid w:val="00F57E38"/>
    <w:rsid w:val="00F57FA6"/>
    <w:rsid w:val="00F60067"/>
    <w:rsid w:val="00F60168"/>
    <w:rsid w:val="00F603A9"/>
    <w:rsid w:val="00F60459"/>
    <w:rsid w:val="00F604F9"/>
    <w:rsid w:val="00F6057E"/>
    <w:rsid w:val="00F6060D"/>
    <w:rsid w:val="00F60641"/>
    <w:rsid w:val="00F60696"/>
    <w:rsid w:val="00F606D5"/>
    <w:rsid w:val="00F6079C"/>
    <w:rsid w:val="00F60A49"/>
    <w:rsid w:val="00F60B33"/>
    <w:rsid w:val="00F60B44"/>
    <w:rsid w:val="00F60B9E"/>
    <w:rsid w:val="00F60C58"/>
    <w:rsid w:val="00F60CCA"/>
    <w:rsid w:val="00F60FD3"/>
    <w:rsid w:val="00F61125"/>
    <w:rsid w:val="00F6126F"/>
    <w:rsid w:val="00F612C8"/>
    <w:rsid w:val="00F61460"/>
    <w:rsid w:val="00F614E1"/>
    <w:rsid w:val="00F61530"/>
    <w:rsid w:val="00F61618"/>
    <w:rsid w:val="00F6161C"/>
    <w:rsid w:val="00F61626"/>
    <w:rsid w:val="00F61793"/>
    <w:rsid w:val="00F61811"/>
    <w:rsid w:val="00F619A4"/>
    <w:rsid w:val="00F619F9"/>
    <w:rsid w:val="00F619FA"/>
    <w:rsid w:val="00F61A3C"/>
    <w:rsid w:val="00F61A8C"/>
    <w:rsid w:val="00F61C20"/>
    <w:rsid w:val="00F61C26"/>
    <w:rsid w:val="00F61C6A"/>
    <w:rsid w:val="00F61D05"/>
    <w:rsid w:val="00F61D64"/>
    <w:rsid w:val="00F61DD2"/>
    <w:rsid w:val="00F61E2D"/>
    <w:rsid w:val="00F61E77"/>
    <w:rsid w:val="00F61EF6"/>
    <w:rsid w:val="00F61F2D"/>
    <w:rsid w:val="00F61F6D"/>
    <w:rsid w:val="00F621D1"/>
    <w:rsid w:val="00F62317"/>
    <w:rsid w:val="00F623D4"/>
    <w:rsid w:val="00F623F0"/>
    <w:rsid w:val="00F62501"/>
    <w:rsid w:val="00F6257A"/>
    <w:rsid w:val="00F62589"/>
    <w:rsid w:val="00F625AE"/>
    <w:rsid w:val="00F625F9"/>
    <w:rsid w:val="00F6273E"/>
    <w:rsid w:val="00F62750"/>
    <w:rsid w:val="00F627B2"/>
    <w:rsid w:val="00F62863"/>
    <w:rsid w:val="00F62919"/>
    <w:rsid w:val="00F6298C"/>
    <w:rsid w:val="00F62A0A"/>
    <w:rsid w:val="00F62BC9"/>
    <w:rsid w:val="00F62BDF"/>
    <w:rsid w:val="00F62D56"/>
    <w:rsid w:val="00F62EEA"/>
    <w:rsid w:val="00F630FE"/>
    <w:rsid w:val="00F63200"/>
    <w:rsid w:val="00F633CF"/>
    <w:rsid w:val="00F63565"/>
    <w:rsid w:val="00F636D3"/>
    <w:rsid w:val="00F637F1"/>
    <w:rsid w:val="00F63812"/>
    <w:rsid w:val="00F638F9"/>
    <w:rsid w:val="00F63955"/>
    <w:rsid w:val="00F63B07"/>
    <w:rsid w:val="00F63B3E"/>
    <w:rsid w:val="00F63B52"/>
    <w:rsid w:val="00F63CEB"/>
    <w:rsid w:val="00F63DD1"/>
    <w:rsid w:val="00F63EEA"/>
    <w:rsid w:val="00F6410E"/>
    <w:rsid w:val="00F641B9"/>
    <w:rsid w:val="00F641F0"/>
    <w:rsid w:val="00F641F4"/>
    <w:rsid w:val="00F6421A"/>
    <w:rsid w:val="00F64224"/>
    <w:rsid w:val="00F64286"/>
    <w:rsid w:val="00F64308"/>
    <w:rsid w:val="00F64356"/>
    <w:rsid w:val="00F6443E"/>
    <w:rsid w:val="00F644A5"/>
    <w:rsid w:val="00F644AA"/>
    <w:rsid w:val="00F64602"/>
    <w:rsid w:val="00F64620"/>
    <w:rsid w:val="00F64644"/>
    <w:rsid w:val="00F64854"/>
    <w:rsid w:val="00F64934"/>
    <w:rsid w:val="00F649AF"/>
    <w:rsid w:val="00F64A33"/>
    <w:rsid w:val="00F64B58"/>
    <w:rsid w:val="00F64B7A"/>
    <w:rsid w:val="00F64B9A"/>
    <w:rsid w:val="00F64C57"/>
    <w:rsid w:val="00F64C63"/>
    <w:rsid w:val="00F64D0D"/>
    <w:rsid w:val="00F64D3D"/>
    <w:rsid w:val="00F64D96"/>
    <w:rsid w:val="00F64F7B"/>
    <w:rsid w:val="00F6502E"/>
    <w:rsid w:val="00F650DB"/>
    <w:rsid w:val="00F65234"/>
    <w:rsid w:val="00F652D3"/>
    <w:rsid w:val="00F6537C"/>
    <w:rsid w:val="00F6545E"/>
    <w:rsid w:val="00F654EF"/>
    <w:rsid w:val="00F6559F"/>
    <w:rsid w:val="00F655C4"/>
    <w:rsid w:val="00F6569F"/>
    <w:rsid w:val="00F65853"/>
    <w:rsid w:val="00F6586F"/>
    <w:rsid w:val="00F6594E"/>
    <w:rsid w:val="00F6595B"/>
    <w:rsid w:val="00F65981"/>
    <w:rsid w:val="00F659AB"/>
    <w:rsid w:val="00F65AFA"/>
    <w:rsid w:val="00F65B87"/>
    <w:rsid w:val="00F65B9C"/>
    <w:rsid w:val="00F65BAB"/>
    <w:rsid w:val="00F65E64"/>
    <w:rsid w:val="00F65F98"/>
    <w:rsid w:val="00F65FE1"/>
    <w:rsid w:val="00F661AF"/>
    <w:rsid w:val="00F66233"/>
    <w:rsid w:val="00F665CC"/>
    <w:rsid w:val="00F666DB"/>
    <w:rsid w:val="00F6672A"/>
    <w:rsid w:val="00F669B8"/>
    <w:rsid w:val="00F669D5"/>
    <w:rsid w:val="00F669E2"/>
    <w:rsid w:val="00F66D30"/>
    <w:rsid w:val="00F66ECB"/>
    <w:rsid w:val="00F66EDE"/>
    <w:rsid w:val="00F66F0A"/>
    <w:rsid w:val="00F671BC"/>
    <w:rsid w:val="00F6723D"/>
    <w:rsid w:val="00F674D0"/>
    <w:rsid w:val="00F674DC"/>
    <w:rsid w:val="00F6755F"/>
    <w:rsid w:val="00F67591"/>
    <w:rsid w:val="00F67599"/>
    <w:rsid w:val="00F675AA"/>
    <w:rsid w:val="00F67980"/>
    <w:rsid w:val="00F67A49"/>
    <w:rsid w:val="00F67B3C"/>
    <w:rsid w:val="00F67B64"/>
    <w:rsid w:val="00F67B6D"/>
    <w:rsid w:val="00F67BBC"/>
    <w:rsid w:val="00F67C4A"/>
    <w:rsid w:val="00F67CC4"/>
    <w:rsid w:val="00F67D83"/>
    <w:rsid w:val="00F67F04"/>
    <w:rsid w:val="00F70046"/>
    <w:rsid w:val="00F70047"/>
    <w:rsid w:val="00F700C0"/>
    <w:rsid w:val="00F70105"/>
    <w:rsid w:val="00F70110"/>
    <w:rsid w:val="00F70163"/>
    <w:rsid w:val="00F7022A"/>
    <w:rsid w:val="00F703D8"/>
    <w:rsid w:val="00F704AD"/>
    <w:rsid w:val="00F704CA"/>
    <w:rsid w:val="00F704F7"/>
    <w:rsid w:val="00F705D8"/>
    <w:rsid w:val="00F7079F"/>
    <w:rsid w:val="00F70846"/>
    <w:rsid w:val="00F70A54"/>
    <w:rsid w:val="00F70A89"/>
    <w:rsid w:val="00F70A8F"/>
    <w:rsid w:val="00F70B69"/>
    <w:rsid w:val="00F70BE8"/>
    <w:rsid w:val="00F70CB9"/>
    <w:rsid w:val="00F70CF5"/>
    <w:rsid w:val="00F70D19"/>
    <w:rsid w:val="00F70D32"/>
    <w:rsid w:val="00F70D3B"/>
    <w:rsid w:val="00F70D6D"/>
    <w:rsid w:val="00F70FCE"/>
    <w:rsid w:val="00F70FD1"/>
    <w:rsid w:val="00F71061"/>
    <w:rsid w:val="00F71102"/>
    <w:rsid w:val="00F71147"/>
    <w:rsid w:val="00F711A5"/>
    <w:rsid w:val="00F711FE"/>
    <w:rsid w:val="00F712EC"/>
    <w:rsid w:val="00F713F1"/>
    <w:rsid w:val="00F714B7"/>
    <w:rsid w:val="00F71584"/>
    <w:rsid w:val="00F7186D"/>
    <w:rsid w:val="00F718D4"/>
    <w:rsid w:val="00F71989"/>
    <w:rsid w:val="00F71AE4"/>
    <w:rsid w:val="00F71B82"/>
    <w:rsid w:val="00F71CA0"/>
    <w:rsid w:val="00F71D04"/>
    <w:rsid w:val="00F71D57"/>
    <w:rsid w:val="00F71D58"/>
    <w:rsid w:val="00F71DE8"/>
    <w:rsid w:val="00F71E74"/>
    <w:rsid w:val="00F71E8D"/>
    <w:rsid w:val="00F7214E"/>
    <w:rsid w:val="00F72434"/>
    <w:rsid w:val="00F72502"/>
    <w:rsid w:val="00F7252C"/>
    <w:rsid w:val="00F72532"/>
    <w:rsid w:val="00F725DA"/>
    <w:rsid w:val="00F72663"/>
    <w:rsid w:val="00F7268D"/>
    <w:rsid w:val="00F7277F"/>
    <w:rsid w:val="00F72876"/>
    <w:rsid w:val="00F7290E"/>
    <w:rsid w:val="00F72998"/>
    <w:rsid w:val="00F72A01"/>
    <w:rsid w:val="00F72A2F"/>
    <w:rsid w:val="00F72B7C"/>
    <w:rsid w:val="00F72BCF"/>
    <w:rsid w:val="00F72DB2"/>
    <w:rsid w:val="00F72DBE"/>
    <w:rsid w:val="00F72E0E"/>
    <w:rsid w:val="00F72E50"/>
    <w:rsid w:val="00F72EA7"/>
    <w:rsid w:val="00F730A2"/>
    <w:rsid w:val="00F730B7"/>
    <w:rsid w:val="00F730FB"/>
    <w:rsid w:val="00F7312A"/>
    <w:rsid w:val="00F73170"/>
    <w:rsid w:val="00F73443"/>
    <w:rsid w:val="00F734E5"/>
    <w:rsid w:val="00F7354A"/>
    <w:rsid w:val="00F73583"/>
    <w:rsid w:val="00F73743"/>
    <w:rsid w:val="00F738B1"/>
    <w:rsid w:val="00F7395F"/>
    <w:rsid w:val="00F739F5"/>
    <w:rsid w:val="00F73A69"/>
    <w:rsid w:val="00F73A7F"/>
    <w:rsid w:val="00F73AE2"/>
    <w:rsid w:val="00F73B8E"/>
    <w:rsid w:val="00F73BD4"/>
    <w:rsid w:val="00F73C61"/>
    <w:rsid w:val="00F73C7F"/>
    <w:rsid w:val="00F73EC3"/>
    <w:rsid w:val="00F73F78"/>
    <w:rsid w:val="00F74124"/>
    <w:rsid w:val="00F741D6"/>
    <w:rsid w:val="00F7421A"/>
    <w:rsid w:val="00F74474"/>
    <w:rsid w:val="00F74531"/>
    <w:rsid w:val="00F745A7"/>
    <w:rsid w:val="00F745F8"/>
    <w:rsid w:val="00F74632"/>
    <w:rsid w:val="00F74703"/>
    <w:rsid w:val="00F74A0F"/>
    <w:rsid w:val="00F74B0F"/>
    <w:rsid w:val="00F74B3D"/>
    <w:rsid w:val="00F74BE5"/>
    <w:rsid w:val="00F74C68"/>
    <w:rsid w:val="00F74DD5"/>
    <w:rsid w:val="00F74DF1"/>
    <w:rsid w:val="00F74E82"/>
    <w:rsid w:val="00F750A3"/>
    <w:rsid w:val="00F75101"/>
    <w:rsid w:val="00F751DF"/>
    <w:rsid w:val="00F75245"/>
    <w:rsid w:val="00F75369"/>
    <w:rsid w:val="00F753B7"/>
    <w:rsid w:val="00F753D2"/>
    <w:rsid w:val="00F75598"/>
    <w:rsid w:val="00F758A0"/>
    <w:rsid w:val="00F758A6"/>
    <w:rsid w:val="00F75A57"/>
    <w:rsid w:val="00F75A87"/>
    <w:rsid w:val="00F75BCF"/>
    <w:rsid w:val="00F75C79"/>
    <w:rsid w:val="00F75CC3"/>
    <w:rsid w:val="00F75D33"/>
    <w:rsid w:val="00F75D5C"/>
    <w:rsid w:val="00F75E53"/>
    <w:rsid w:val="00F75FE0"/>
    <w:rsid w:val="00F76036"/>
    <w:rsid w:val="00F762BB"/>
    <w:rsid w:val="00F763CC"/>
    <w:rsid w:val="00F764E1"/>
    <w:rsid w:val="00F76533"/>
    <w:rsid w:val="00F7655D"/>
    <w:rsid w:val="00F7670D"/>
    <w:rsid w:val="00F76819"/>
    <w:rsid w:val="00F7688D"/>
    <w:rsid w:val="00F76947"/>
    <w:rsid w:val="00F769AE"/>
    <w:rsid w:val="00F76AA9"/>
    <w:rsid w:val="00F76B0D"/>
    <w:rsid w:val="00F76D81"/>
    <w:rsid w:val="00F76D83"/>
    <w:rsid w:val="00F76D86"/>
    <w:rsid w:val="00F76E92"/>
    <w:rsid w:val="00F7706A"/>
    <w:rsid w:val="00F770A6"/>
    <w:rsid w:val="00F77105"/>
    <w:rsid w:val="00F77114"/>
    <w:rsid w:val="00F7718F"/>
    <w:rsid w:val="00F771EC"/>
    <w:rsid w:val="00F77243"/>
    <w:rsid w:val="00F77245"/>
    <w:rsid w:val="00F77253"/>
    <w:rsid w:val="00F772A5"/>
    <w:rsid w:val="00F772B8"/>
    <w:rsid w:val="00F773D7"/>
    <w:rsid w:val="00F77517"/>
    <w:rsid w:val="00F775BE"/>
    <w:rsid w:val="00F77669"/>
    <w:rsid w:val="00F7773A"/>
    <w:rsid w:val="00F777CF"/>
    <w:rsid w:val="00F7787A"/>
    <w:rsid w:val="00F779D9"/>
    <w:rsid w:val="00F77AF6"/>
    <w:rsid w:val="00F77B5D"/>
    <w:rsid w:val="00F77C4C"/>
    <w:rsid w:val="00F77CEA"/>
    <w:rsid w:val="00F77D8F"/>
    <w:rsid w:val="00F77D91"/>
    <w:rsid w:val="00F77D97"/>
    <w:rsid w:val="00F77DC5"/>
    <w:rsid w:val="00F800AC"/>
    <w:rsid w:val="00F800BC"/>
    <w:rsid w:val="00F804B8"/>
    <w:rsid w:val="00F80532"/>
    <w:rsid w:val="00F80665"/>
    <w:rsid w:val="00F806D3"/>
    <w:rsid w:val="00F807E0"/>
    <w:rsid w:val="00F80832"/>
    <w:rsid w:val="00F8087D"/>
    <w:rsid w:val="00F80A94"/>
    <w:rsid w:val="00F80AC5"/>
    <w:rsid w:val="00F80CA3"/>
    <w:rsid w:val="00F80E42"/>
    <w:rsid w:val="00F80EC2"/>
    <w:rsid w:val="00F80ECC"/>
    <w:rsid w:val="00F80EF3"/>
    <w:rsid w:val="00F80F29"/>
    <w:rsid w:val="00F8121C"/>
    <w:rsid w:val="00F81335"/>
    <w:rsid w:val="00F81485"/>
    <w:rsid w:val="00F814A2"/>
    <w:rsid w:val="00F81546"/>
    <w:rsid w:val="00F815D8"/>
    <w:rsid w:val="00F81609"/>
    <w:rsid w:val="00F8167C"/>
    <w:rsid w:val="00F81706"/>
    <w:rsid w:val="00F817C0"/>
    <w:rsid w:val="00F817E2"/>
    <w:rsid w:val="00F81931"/>
    <w:rsid w:val="00F8196F"/>
    <w:rsid w:val="00F81C0D"/>
    <w:rsid w:val="00F81C34"/>
    <w:rsid w:val="00F81CF8"/>
    <w:rsid w:val="00F81D27"/>
    <w:rsid w:val="00F81D47"/>
    <w:rsid w:val="00F81E59"/>
    <w:rsid w:val="00F81F19"/>
    <w:rsid w:val="00F8213B"/>
    <w:rsid w:val="00F8217D"/>
    <w:rsid w:val="00F82215"/>
    <w:rsid w:val="00F8226E"/>
    <w:rsid w:val="00F823A0"/>
    <w:rsid w:val="00F82502"/>
    <w:rsid w:val="00F82715"/>
    <w:rsid w:val="00F8276E"/>
    <w:rsid w:val="00F827A3"/>
    <w:rsid w:val="00F827E3"/>
    <w:rsid w:val="00F82893"/>
    <w:rsid w:val="00F828D6"/>
    <w:rsid w:val="00F82944"/>
    <w:rsid w:val="00F8294D"/>
    <w:rsid w:val="00F829DB"/>
    <w:rsid w:val="00F82B46"/>
    <w:rsid w:val="00F82F11"/>
    <w:rsid w:val="00F82F9E"/>
    <w:rsid w:val="00F830FC"/>
    <w:rsid w:val="00F8314B"/>
    <w:rsid w:val="00F8316C"/>
    <w:rsid w:val="00F8318D"/>
    <w:rsid w:val="00F8326E"/>
    <w:rsid w:val="00F83335"/>
    <w:rsid w:val="00F833EA"/>
    <w:rsid w:val="00F8341F"/>
    <w:rsid w:val="00F83434"/>
    <w:rsid w:val="00F83437"/>
    <w:rsid w:val="00F834A4"/>
    <w:rsid w:val="00F835D8"/>
    <w:rsid w:val="00F8361E"/>
    <w:rsid w:val="00F8363B"/>
    <w:rsid w:val="00F837DB"/>
    <w:rsid w:val="00F8383A"/>
    <w:rsid w:val="00F83845"/>
    <w:rsid w:val="00F83899"/>
    <w:rsid w:val="00F83975"/>
    <w:rsid w:val="00F839E2"/>
    <w:rsid w:val="00F83ADC"/>
    <w:rsid w:val="00F83C56"/>
    <w:rsid w:val="00F83C72"/>
    <w:rsid w:val="00F83D67"/>
    <w:rsid w:val="00F83E2A"/>
    <w:rsid w:val="00F83ECC"/>
    <w:rsid w:val="00F83FDC"/>
    <w:rsid w:val="00F84017"/>
    <w:rsid w:val="00F8404C"/>
    <w:rsid w:val="00F8411A"/>
    <w:rsid w:val="00F8419C"/>
    <w:rsid w:val="00F84257"/>
    <w:rsid w:val="00F84385"/>
    <w:rsid w:val="00F84418"/>
    <w:rsid w:val="00F84493"/>
    <w:rsid w:val="00F84780"/>
    <w:rsid w:val="00F84800"/>
    <w:rsid w:val="00F848FD"/>
    <w:rsid w:val="00F8498B"/>
    <w:rsid w:val="00F849E5"/>
    <w:rsid w:val="00F84AE1"/>
    <w:rsid w:val="00F84B85"/>
    <w:rsid w:val="00F84CA5"/>
    <w:rsid w:val="00F84CB7"/>
    <w:rsid w:val="00F84DB3"/>
    <w:rsid w:val="00F84EA4"/>
    <w:rsid w:val="00F84F8D"/>
    <w:rsid w:val="00F84FC1"/>
    <w:rsid w:val="00F8504C"/>
    <w:rsid w:val="00F85204"/>
    <w:rsid w:val="00F85291"/>
    <w:rsid w:val="00F852A9"/>
    <w:rsid w:val="00F852DD"/>
    <w:rsid w:val="00F8536F"/>
    <w:rsid w:val="00F85578"/>
    <w:rsid w:val="00F85667"/>
    <w:rsid w:val="00F85712"/>
    <w:rsid w:val="00F8576B"/>
    <w:rsid w:val="00F8589D"/>
    <w:rsid w:val="00F858F9"/>
    <w:rsid w:val="00F85A86"/>
    <w:rsid w:val="00F85AAE"/>
    <w:rsid w:val="00F85CE0"/>
    <w:rsid w:val="00F85DA9"/>
    <w:rsid w:val="00F85E74"/>
    <w:rsid w:val="00F86055"/>
    <w:rsid w:val="00F8609A"/>
    <w:rsid w:val="00F8617E"/>
    <w:rsid w:val="00F861FF"/>
    <w:rsid w:val="00F8645D"/>
    <w:rsid w:val="00F864D8"/>
    <w:rsid w:val="00F86657"/>
    <w:rsid w:val="00F86697"/>
    <w:rsid w:val="00F866EC"/>
    <w:rsid w:val="00F866F3"/>
    <w:rsid w:val="00F867F9"/>
    <w:rsid w:val="00F86899"/>
    <w:rsid w:val="00F868A3"/>
    <w:rsid w:val="00F868A5"/>
    <w:rsid w:val="00F86C11"/>
    <w:rsid w:val="00F86D3F"/>
    <w:rsid w:val="00F86DBC"/>
    <w:rsid w:val="00F86DEE"/>
    <w:rsid w:val="00F86F43"/>
    <w:rsid w:val="00F8707A"/>
    <w:rsid w:val="00F87310"/>
    <w:rsid w:val="00F8734E"/>
    <w:rsid w:val="00F873B4"/>
    <w:rsid w:val="00F873D3"/>
    <w:rsid w:val="00F873F4"/>
    <w:rsid w:val="00F8755B"/>
    <w:rsid w:val="00F87704"/>
    <w:rsid w:val="00F877A7"/>
    <w:rsid w:val="00F877C1"/>
    <w:rsid w:val="00F8793F"/>
    <w:rsid w:val="00F87971"/>
    <w:rsid w:val="00F879F7"/>
    <w:rsid w:val="00F87B57"/>
    <w:rsid w:val="00F87BA2"/>
    <w:rsid w:val="00F87CC6"/>
    <w:rsid w:val="00F87D08"/>
    <w:rsid w:val="00F87DCC"/>
    <w:rsid w:val="00F87DF5"/>
    <w:rsid w:val="00F87EA3"/>
    <w:rsid w:val="00F87EDA"/>
    <w:rsid w:val="00F87F6A"/>
    <w:rsid w:val="00F9018F"/>
    <w:rsid w:val="00F901C0"/>
    <w:rsid w:val="00F9028C"/>
    <w:rsid w:val="00F90291"/>
    <w:rsid w:val="00F902E5"/>
    <w:rsid w:val="00F903DD"/>
    <w:rsid w:val="00F90410"/>
    <w:rsid w:val="00F90490"/>
    <w:rsid w:val="00F905BF"/>
    <w:rsid w:val="00F905C0"/>
    <w:rsid w:val="00F905E7"/>
    <w:rsid w:val="00F906FA"/>
    <w:rsid w:val="00F907BF"/>
    <w:rsid w:val="00F907CF"/>
    <w:rsid w:val="00F907D6"/>
    <w:rsid w:val="00F90899"/>
    <w:rsid w:val="00F90A13"/>
    <w:rsid w:val="00F90AA8"/>
    <w:rsid w:val="00F90AE4"/>
    <w:rsid w:val="00F90BFE"/>
    <w:rsid w:val="00F90CBB"/>
    <w:rsid w:val="00F90D2E"/>
    <w:rsid w:val="00F90E43"/>
    <w:rsid w:val="00F90E5A"/>
    <w:rsid w:val="00F90EC5"/>
    <w:rsid w:val="00F90EE3"/>
    <w:rsid w:val="00F90EF4"/>
    <w:rsid w:val="00F911F8"/>
    <w:rsid w:val="00F91224"/>
    <w:rsid w:val="00F9133F"/>
    <w:rsid w:val="00F91372"/>
    <w:rsid w:val="00F91398"/>
    <w:rsid w:val="00F91461"/>
    <w:rsid w:val="00F91482"/>
    <w:rsid w:val="00F91592"/>
    <w:rsid w:val="00F91738"/>
    <w:rsid w:val="00F918DF"/>
    <w:rsid w:val="00F91978"/>
    <w:rsid w:val="00F91983"/>
    <w:rsid w:val="00F91D2C"/>
    <w:rsid w:val="00F91D3E"/>
    <w:rsid w:val="00F91D47"/>
    <w:rsid w:val="00F91D6F"/>
    <w:rsid w:val="00F91D85"/>
    <w:rsid w:val="00F91EFF"/>
    <w:rsid w:val="00F91F19"/>
    <w:rsid w:val="00F91F8B"/>
    <w:rsid w:val="00F91FBD"/>
    <w:rsid w:val="00F9201A"/>
    <w:rsid w:val="00F9204D"/>
    <w:rsid w:val="00F920F0"/>
    <w:rsid w:val="00F921B9"/>
    <w:rsid w:val="00F922B0"/>
    <w:rsid w:val="00F923BE"/>
    <w:rsid w:val="00F92479"/>
    <w:rsid w:val="00F92492"/>
    <w:rsid w:val="00F9259B"/>
    <w:rsid w:val="00F926BF"/>
    <w:rsid w:val="00F92721"/>
    <w:rsid w:val="00F9291E"/>
    <w:rsid w:val="00F92951"/>
    <w:rsid w:val="00F92B00"/>
    <w:rsid w:val="00F92BCA"/>
    <w:rsid w:val="00F92DD0"/>
    <w:rsid w:val="00F92DEB"/>
    <w:rsid w:val="00F92E75"/>
    <w:rsid w:val="00F92EFE"/>
    <w:rsid w:val="00F92F89"/>
    <w:rsid w:val="00F930D6"/>
    <w:rsid w:val="00F930E4"/>
    <w:rsid w:val="00F934DD"/>
    <w:rsid w:val="00F9350B"/>
    <w:rsid w:val="00F935C2"/>
    <w:rsid w:val="00F935EE"/>
    <w:rsid w:val="00F9361A"/>
    <w:rsid w:val="00F937B1"/>
    <w:rsid w:val="00F9391F"/>
    <w:rsid w:val="00F93A28"/>
    <w:rsid w:val="00F93B49"/>
    <w:rsid w:val="00F93C42"/>
    <w:rsid w:val="00F93C48"/>
    <w:rsid w:val="00F93D07"/>
    <w:rsid w:val="00F93D27"/>
    <w:rsid w:val="00F93D8E"/>
    <w:rsid w:val="00F93DEB"/>
    <w:rsid w:val="00F93E94"/>
    <w:rsid w:val="00F93EBC"/>
    <w:rsid w:val="00F94006"/>
    <w:rsid w:val="00F9412D"/>
    <w:rsid w:val="00F942B8"/>
    <w:rsid w:val="00F94417"/>
    <w:rsid w:val="00F944A3"/>
    <w:rsid w:val="00F944D2"/>
    <w:rsid w:val="00F9451A"/>
    <w:rsid w:val="00F9464E"/>
    <w:rsid w:val="00F94651"/>
    <w:rsid w:val="00F94713"/>
    <w:rsid w:val="00F9489B"/>
    <w:rsid w:val="00F949B8"/>
    <w:rsid w:val="00F94A6D"/>
    <w:rsid w:val="00F94BAB"/>
    <w:rsid w:val="00F94CD3"/>
    <w:rsid w:val="00F94D13"/>
    <w:rsid w:val="00F94D83"/>
    <w:rsid w:val="00F94DED"/>
    <w:rsid w:val="00F94DF3"/>
    <w:rsid w:val="00F94E65"/>
    <w:rsid w:val="00F94E77"/>
    <w:rsid w:val="00F94EE7"/>
    <w:rsid w:val="00F94F17"/>
    <w:rsid w:val="00F94FEF"/>
    <w:rsid w:val="00F95042"/>
    <w:rsid w:val="00F950FA"/>
    <w:rsid w:val="00F95163"/>
    <w:rsid w:val="00F9518C"/>
    <w:rsid w:val="00F951EC"/>
    <w:rsid w:val="00F9529B"/>
    <w:rsid w:val="00F9538F"/>
    <w:rsid w:val="00F95533"/>
    <w:rsid w:val="00F95552"/>
    <w:rsid w:val="00F955DE"/>
    <w:rsid w:val="00F9568C"/>
    <w:rsid w:val="00F956F7"/>
    <w:rsid w:val="00F95704"/>
    <w:rsid w:val="00F957D6"/>
    <w:rsid w:val="00F95815"/>
    <w:rsid w:val="00F959A3"/>
    <w:rsid w:val="00F95BD9"/>
    <w:rsid w:val="00F95BEE"/>
    <w:rsid w:val="00F95BF5"/>
    <w:rsid w:val="00F95C87"/>
    <w:rsid w:val="00F95C9C"/>
    <w:rsid w:val="00F95CFB"/>
    <w:rsid w:val="00F95D0C"/>
    <w:rsid w:val="00F95EB3"/>
    <w:rsid w:val="00F960D3"/>
    <w:rsid w:val="00F96119"/>
    <w:rsid w:val="00F961DE"/>
    <w:rsid w:val="00F9645B"/>
    <w:rsid w:val="00F9655E"/>
    <w:rsid w:val="00F965F7"/>
    <w:rsid w:val="00F966CD"/>
    <w:rsid w:val="00F966D1"/>
    <w:rsid w:val="00F967A4"/>
    <w:rsid w:val="00F967AB"/>
    <w:rsid w:val="00F967C2"/>
    <w:rsid w:val="00F967F1"/>
    <w:rsid w:val="00F9680F"/>
    <w:rsid w:val="00F96BCB"/>
    <w:rsid w:val="00F96C25"/>
    <w:rsid w:val="00F96D33"/>
    <w:rsid w:val="00F96D5B"/>
    <w:rsid w:val="00F96D70"/>
    <w:rsid w:val="00F96DE4"/>
    <w:rsid w:val="00F96FAE"/>
    <w:rsid w:val="00F96FE2"/>
    <w:rsid w:val="00F9720E"/>
    <w:rsid w:val="00F97252"/>
    <w:rsid w:val="00F97362"/>
    <w:rsid w:val="00F97484"/>
    <w:rsid w:val="00F974B0"/>
    <w:rsid w:val="00F9752D"/>
    <w:rsid w:val="00F97622"/>
    <w:rsid w:val="00F976B7"/>
    <w:rsid w:val="00F9771B"/>
    <w:rsid w:val="00F97742"/>
    <w:rsid w:val="00F978E3"/>
    <w:rsid w:val="00F979E9"/>
    <w:rsid w:val="00F97A78"/>
    <w:rsid w:val="00F97A8F"/>
    <w:rsid w:val="00F97AE9"/>
    <w:rsid w:val="00F97BEE"/>
    <w:rsid w:val="00F97C11"/>
    <w:rsid w:val="00F97C97"/>
    <w:rsid w:val="00F97D22"/>
    <w:rsid w:val="00FA0014"/>
    <w:rsid w:val="00FA0072"/>
    <w:rsid w:val="00FA0183"/>
    <w:rsid w:val="00FA01CB"/>
    <w:rsid w:val="00FA036A"/>
    <w:rsid w:val="00FA0443"/>
    <w:rsid w:val="00FA04DC"/>
    <w:rsid w:val="00FA050A"/>
    <w:rsid w:val="00FA083C"/>
    <w:rsid w:val="00FA0907"/>
    <w:rsid w:val="00FA09D1"/>
    <w:rsid w:val="00FA0A41"/>
    <w:rsid w:val="00FA0AEB"/>
    <w:rsid w:val="00FA0AEC"/>
    <w:rsid w:val="00FA0B10"/>
    <w:rsid w:val="00FA0B5C"/>
    <w:rsid w:val="00FA0BC0"/>
    <w:rsid w:val="00FA0C47"/>
    <w:rsid w:val="00FA0DA8"/>
    <w:rsid w:val="00FA1009"/>
    <w:rsid w:val="00FA10AC"/>
    <w:rsid w:val="00FA10F2"/>
    <w:rsid w:val="00FA113C"/>
    <w:rsid w:val="00FA1195"/>
    <w:rsid w:val="00FA12A0"/>
    <w:rsid w:val="00FA133E"/>
    <w:rsid w:val="00FA1464"/>
    <w:rsid w:val="00FA14A5"/>
    <w:rsid w:val="00FA1663"/>
    <w:rsid w:val="00FA17F7"/>
    <w:rsid w:val="00FA1977"/>
    <w:rsid w:val="00FA198B"/>
    <w:rsid w:val="00FA1AD2"/>
    <w:rsid w:val="00FA1BFA"/>
    <w:rsid w:val="00FA1DE2"/>
    <w:rsid w:val="00FA1DF7"/>
    <w:rsid w:val="00FA1E6D"/>
    <w:rsid w:val="00FA1ED3"/>
    <w:rsid w:val="00FA1F7D"/>
    <w:rsid w:val="00FA1FED"/>
    <w:rsid w:val="00FA2075"/>
    <w:rsid w:val="00FA20C6"/>
    <w:rsid w:val="00FA214B"/>
    <w:rsid w:val="00FA220A"/>
    <w:rsid w:val="00FA22DF"/>
    <w:rsid w:val="00FA23EE"/>
    <w:rsid w:val="00FA241B"/>
    <w:rsid w:val="00FA24EF"/>
    <w:rsid w:val="00FA2517"/>
    <w:rsid w:val="00FA2571"/>
    <w:rsid w:val="00FA25ED"/>
    <w:rsid w:val="00FA2750"/>
    <w:rsid w:val="00FA27A7"/>
    <w:rsid w:val="00FA27FD"/>
    <w:rsid w:val="00FA284A"/>
    <w:rsid w:val="00FA284C"/>
    <w:rsid w:val="00FA28BA"/>
    <w:rsid w:val="00FA295D"/>
    <w:rsid w:val="00FA29FD"/>
    <w:rsid w:val="00FA2A5D"/>
    <w:rsid w:val="00FA2B3B"/>
    <w:rsid w:val="00FA2BC5"/>
    <w:rsid w:val="00FA2BEC"/>
    <w:rsid w:val="00FA2F07"/>
    <w:rsid w:val="00FA2F6E"/>
    <w:rsid w:val="00FA317C"/>
    <w:rsid w:val="00FA3213"/>
    <w:rsid w:val="00FA3346"/>
    <w:rsid w:val="00FA342D"/>
    <w:rsid w:val="00FA346F"/>
    <w:rsid w:val="00FA3559"/>
    <w:rsid w:val="00FA3685"/>
    <w:rsid w:val="00FA3686"/>
    <w:rsid w:val="00FA3697"/>
    <w:rsid w:val="00FA37B3"/>
    <w:rsid w:val="00FA3852"/>
    <w:rsid w:val="00FA3961"/>
    <w:rsid w:val="00FA3A5B"/>
    <w:rsid w:val="00FA3B7A"/>
    <w:rsid w:val="00FA3D19"/>
    <w:rsid w:val="00FA3DD7"/>
    <w:rsid w:val="00FA3E5F"/>
    <w:rsid w:val="00FA3E8B"/>
    <w:rsid w:val="00FA40A8"/>
    <w:rsid w:val="00FA41A9"/>
    <w:rsid w:val="00FA41B6"/>
    <w:rsid w:val="00FA421D"/>
    <w:rsid w:val="00FA423D"/>
    <w:rsid w:val="00FA42E8"/>
    <w:rsid w:val="00FA4487"/>
    <w:rsid w:val="00FA44E8"/>
    <w:rsid w:val="00FA457A"/>
    <w:rsid w:val="00FA45A2"/>
    <w:rsid w:val="00FA46F3"/>
    <w:rsid w:val="00FA486C"/>
    <w:rsid w:val="00FA48CC"/>
    <w:rsid w:val="00FA4974"/>
    <w:rsid w:val="00FA4A3D"/>
    <w:rsid w:val="00FA4B96"/>
    <w:rsid w:val="00FA4CBA"/>
    <w:rsid w:val="00FA4CF4"/>
    <w:rsid w:val="00FA4D6C"/>
    <w:rsid w:val="00FA4DEF"/>
    <w:rsid w:val="00FA4E8D"/>
    <w:rsid w:val="00FA4ED2"/>
    <w:rsid w:val="00FA4F93"/>
    <w:rsid w:val="00FA4FC1"/>
    <w:rsid w:val="00FA508A"/>
    <w:rsid w:val="00FA528F"/>
    <w:rsid w:val="00FA5343"/>
    <w:rsid w:val="00FA53E7"/>
    <w:rsid w:val="00FA54B8"/>
    <w:rsid w:val="00FA559F"/>
    <w:rsid w:val="00FA5869"/>
    <w:rsid w:val="00FA5905"/>
    <w:rsid w:val="00FA5976"/>
    <w:rsid w:val="00FA5A0F"/>
    <w:rsid w:val="00FA5B93"/>
    <w:rsid w:val="00FA5C31"/>
    <w:rsid w:val="00FA5C38"/>
    <w:rsid w:val="00FA5D8E"/>
    <w:rsid w:val="00FA5F59"/>
    <w:rsid w:val="00FA6011"/>
    <w:rsid w:val="00FA602D"/>
    <w:rsid w:val="00FA6085"/>
    <w:rsid w:val="00FA6292"/>
    <w:rsid w:val="00FA6362"/>
    <w:rsid w:val="00FA6424"/>
    <w:rsid w:val="00FA64A9"/>
    <w:rsid w:val="00FA666C"/>
    <w:rsid w:val="00FA6722"/>
    <w:rsid w:val="00FA673F"/>
    <w:rsid w:val="00FA67D7"/>
    <w:rsid w:val="00FA67F3"/>
    <w:rsid w:val="00FA693D"/>
    <w:rsid w:val="00FA6952"/>
    <w:rsid w:val="00FA6AC0"/>
    <w:rsid w:val="00FA6B1B"/>
    <w:rsid w:val="00FA6BED"/>
    <w:rsid w:val="00FA6C0A"/>
    <w:rsid w:val="00FA6C25"/>
    <w:rsid w:val="00FA6C97"/>
    <w:rsid w:val="00FA6E50"/>
    <w:rsid w:val="00FA6EA5"/>
    <w:rsid w:val="00FA6F7C"/>
    <w:rsid w:val="00FA6FEA"/>
    <w:rsid w:val="00FA707C"/>
    <w:rsid w:val="00FA710C"/>
    <w:rsid w:val="00FA7339"/>
    <w:rsid w:val="00FA73B3"/>
    <w:rsid w:val="00FA7478"/>
    <w:rsid w:val="00FA75EC"/>
    <w:rsid w:val="00FA76E2"/>
    <w:rsid w:val="00FA77C5"/>
    <w:rsid w:val="00FA79C4"/>
    <w:rsid w:val="00FA7AB4"/>
    <w:rsid w:val="00FA7C8D"/>
    <w:rsid w:val="00FA7CF3"/>
    <w:rsid w:val="00FA7D5A"/>
    <w:rsid w:val="00FA7E2C"/>
    <w:rsid w:val="00FA7E51"/>
    <w:rsid w:val="00FA7E6E"/>
    <w:rsid w:val="00FA7FCF"/>
    <w:rsid w:val="00FB002C"/>
    <w:rsid w:val="00FB0087"/>
    <w:rsid w:val="00FB012E"/>
    <w:rsid w:val="00FB0240"/>
    <w:rsid w:val="00FB02B2"/>
    <w:rsid w:val="00FB037F"/>
    <w:rsid w:val="00FB04DD"/>
    <w:rsid w:val="00FB08A5"/>
    <w:rsid w:val="00FB0B0A"/>
    <w:rsid w:val="00FB0B1F"/>
    <w:rsid w:val="00FB0B45"/>
    <w:rsid w:val="00FB0B56"/>
    <w:rsid w:val="00FB0BE3"/>
    <w:rsid w:val="00FB0C64"/>
    <w:rsid w:val="00FB0D02"/>
    <w:rsid w:val="00FB0DBA"/>
    <w:rsid w:val="00FB0E08"/>
    <w:rsid w:val="00FB0ECB"/>
    <w:rsid w:val="00FB0F26"/>
    <w:rsid w:val="00FB10E0"/>
    <w:rsid w:val="00FB11B5"/>
    <w:rsid w:val="00FB1299"/>
    <w:rsid w:val="00FB13EE"/>
    <w:rsid w:val="00FB14B2"/>
    <w:rsid w:val="00FB14F2"/>
    <w:rsid w:val="00FB1584"/>
    <w:rsid w:val="00FB1638"/>
    <w:rsid w:val="00FB16F9"/>
    <w:rsid w:val="00FB1733"/>
    <w:rsid w:val="00FB19E9"/>
    <w:rsid w:val="00FB1AEA"/>
    <w:rsid w:val="00FB1B92"/>
    <w:rsid w:val="00FB1D4B"/>
    <w:rsid w:val="00FB1E80"/>
    <w:rsid w:val="00FB2018"/>
    <w:rsid w:val="00FB202D"/>
    <w:rsid w:val="00FB207A"/>
    <w:rsid w:val="00FB2094"/>
    <w:rsid w:val="00FB2129"/>
    <w:rsid w:val="00FB22AD"/>
    <w:rsid w:val="00FB22C9"/>
    <w:rsid w:val="00FB232E"/>
    <w:rsid w:val="00FB238E"/>
    <w:rsid w:val="00FB2413"/>
    <w:rsid w:val="00FB24CA"/>
    <w:rsid w:val="00FB24DD"/>
    <w:rsid w:val="00FB2602"/>
    <w:rsid w:val="00FB262E"/>
    <w:rsid w:val="00FB269B"/>
    <w:rsid w:val="00FB26E0"/>
    <w:rsid w:val="00FB26EC"/>
    <w:rsid w:val="00FB2760"/>
    <w:rsid w:val="00FB2843"/>
    <w:rsid w:val="00FB2853"/>
    <w:rsid w:val="00FB2855"/>
    <w:rsid w:val="00FB289C"/>
    <w:rsid w:val="00FB28B3"/>
    <w:rsid w:val="00FB28C2"/>
    <w:rsid w:val="00FB2964"/>
    <w:rsid w:val="00FB2AAF"/>
    <w:rsid w:val="00FB2B03"/>
    <w:rsid w:val="00FB2B0B"/>
    <w:rsid w:val="00FB2B42"/>
    <w:rsid w:val="00FB2BE6"/>
    <w:rsid w:val="00FB2C55"/>
    <w:rsid w:val="00FB2D5A"/>
    <w:rsid w:val="00FB2EB1"/>
    <w:rsid w:val="00FB2FA3"/>
    <w:rsid w:val="00FB302E"/>
    <w:rsid w:val="00FB3080"/>
    <w:rsid w:val="00FB30B6"/>
    <w:rsid w:val="00FB30E6"/>
    <w:rsid w:val="00FB31D2"/>
    <w:rsid w:val="00FB35A5"/>
    <w:rsid w:val="00FB379C"/>
    <w:rsid w:val="00FB3850"/>
    <w:rsid w:val="00FB3871"/>
    <w:rsid w:val="00FB38C9"/>
    <w:rsid w:val="00FB3BE4"/>
    <w:rsid w:val="00FB3C04"/>
    <w:rsid w:val="00FB3C43"/>
    <w:rsid w:val="00FB3C61"/>
    <w:rsid w:val="00FB3CBE"/>
    <w:rsid w:val="00FB3D32"/>
    <w:rsid w:val="00FB3DBD"/>
    <w:rsid w:val="00FB3F78"/>
    <w:rsid w:val="00FB408A"/>
    <w:rsid w:val="00FB40EC"/>
    <w:rsid w:val="00FB41F8"/>
    <w:rsid w:val="00FB426F"/>
    <w:rsid w:val="00FB4448"/>
    <w:rsid w:val="00FB4671"/>
    <w:rsid w:val="00FB46F4"/>
    <w:rsid w:val="00FB4709"/>
    <w:rsid w:val="00FB473E"/>
    <w:rsid w:val="00FB489C"/>
    <w:rsid w:val="00FB48CB"/>
    <w:rsid w:val="00FB4912"/>
    <w:rsid w:val="00FB499F"/>
    <w:rsid w:val="00FB4A8C"/>
    <w:rsid w:val="00FB4B03"/>
    <w:rsid w:val="00FB4B53"/>
    <w:rsid w:val="00FB4C9C"/>
    <w:rsid w:val="00FB4E82"/>
    <w:rsid w:val="00FB4EE9"/>
    <w:rsid w:val="00FB4FF1"/>
    <w:rsid w:val="00FB5216"/>
    <w:rsid w:val="00FB5219"/>
    <w:rsid w:val="00FB5294"/>
    <w:rsid w:val="00FB5363"/>
    <w:rsid w:val="00FB53B6"/>
    <w:rsid w:val="00FB54C2"/>
    <w:rsid w:val="00FB5547"/>
    <w:rsid w:val="00FB5566"/>
    <w:rsid w:val="00FB5580"/>
    <w:rsid w:val="00FB566C"/>
    <w:rsid w:val="00FB5730"/>
    <w:rsid w:val="00FB57A8"/>
    <w:rsid w:val="00FB5984"/>
    <w:rsid w:val="00FB59A9"/>
    <w:rsid w:val="00FB5B17"/>
    <w:rsid w:val="00FB5CBB"/>
    <w:rsid w:val="00FB5D8B"/>
    <w:rsid w:val="00FB5EF5"/>
    <w:rsid w:val="00FB5F17"/>
    <w:rsid w:val="00FB5F4D"/>
    <w:rsid w:val="00FB5F75"/>
    <w:rsid w:val="00FB5F7A"/>
    <w:rsid w:val="00FB6013"/>
    <w:rsid w:val="00FB61DD"/>
    <w:rsid w:val="00FB6267"/>
    <w:rsid w:val="00FB628F"/>
    <w:rsid w:val="00FB62BF"/>
    <w:rsid w:val="00FB6369"/>
    <w:rsid w:val="00FB6386"/>
    <w:rsid w:val="00FB6399"/>
    <w:rsid w:val="00FB63AD"/>
    <w:rsid w:val="00FB65F7"/>
    <w:rsid w:val="00FB6662"/>
    <w:rsid w:val="00FB6766"/>
    <w:rsid w:val="00FB6788"/>
    <w:rsid w:val="00FB67CB"/>
    <w:rsid w:val="00FB681B"/>
    <w:rsid w:val="00FB6A15"/>
    <w:rsid w:val="00FB6AEB"/>
    <w:rsid w:val="00FB6B95"/>
    <w:rsid w:val="00FB6CB2"/>
    <w:rsid w:val="00FB6EDE"/>
    <w:rsid w:val="00FB73C1"/>
    <w:rsid w:val="00FB749D"/>
    <w:rsid w:val="00FB74DC"/>
    <w:rsid w:val="00FB75C9"/>
    <w:rsid w:val="00FB75F0"/>
    <w:rsid w:val="00FB75FC"/>
    <w:rsid w:val="00FB7626"/>
    <w:rsid w:val="00FB769C"/>
    <w:rsid w:val="00FB76B0"/>
    <w:rsid w:val="00FB776D"/>
    <w:rsid w:val="00FB77BB"/>
    <w:rsid w:val="00FB77E9"/>
    <w:rsid w:val="00FB78A8"/>
    <w:rsid w:val="00FB78C9"/>
    <w:rsid w:val="00FB79F4"/>
    <w:rsid w:val="00FB7B28"/>
    <w:rsid w:val="00FB7B86"/>
    <w:rsid w:val="00FB7D51"/>
    <w:rsid w:val="00FB7E1E"/>
    <w:rsid w:val="00FB7E2D"/>
    <w:rsid w:val="00FB7F05"/>
    <w:rsid w:val="00FB7F06"/>
    <w:rsid w:val="00FB7FB0"/>
    <w:rsid w:val="00FC0019"/>
    <w:rsid w:val="00FC0081"/>
    <w:rsid w:val="00FC0138"/>
    <w:rsid w:val="00FC0274"/>
    <w:rsid w:val="00FC02CC"/>
    <w:rsid w:val="00FC0368"/>
    <w:rsid w:val="00FC072F"/>
    <w:rsid w:val="00FC0744"/>
    <w:rsid w:val="00FC07E1"/>
    <w:rsid w:val="00FC095F"/>
    <w:rsid w:val="00FC0A3B"/>
    <w:rsid w:val="00FC0BB9"/>
    <w:rsid w:val="00FC0BCF"/>
    <w:rsid w:val="00FC0CFC"/>
    <w:rsid w:val="00FC0D13"/>
    <w:rsid w:val="00FC0EC9"/>
    <w:rsid w:val="00FC0EDE"/>
    <w:rsid w:val="00FC0F26"/>
    <w:rsid w:val="00FC0FA3"/>
    <w:rsid w:val="00FC0FCE"/>
    <w:rsid w:val="00FC1105"/>
    <w:rsid w:val="00FC1175"/>
    <w:rsid w:val="00FC11AE"/>
    <w:rsid w:val="00FC1298"/>
    <w:rsid w:val="00FC1344"/>
    <w:rsid w:val="00FC1577"/>
    <w:rsid w:val="00FC158E"/>
    <w:rsid w:val="00FC1635"/>
    <w:rsid w:val="00FC1674"/>
    <w:rsid w:val="00FC171E"/>
    <w:rsid w:val="00FC180B"/>
    <w:rsid w:val="00FC185E"/>
    <w:rsid w:val="00FC1885"/>
    <w:rsid w:val="00FC1940"/>
    <w:rsid w:val="00FC1D26"/>
    <w:rsid w:val="00FC1DD0"/>
    <w:rsid w:val="00FC1DF0"/>
    <w:rsid w:val="00FC1E0C"/>
    <w:rsid w:val="00FC1E2A"/>
    <w:rsid w:val="00FC1F50"/>
    <w:rsid w:val="00FC21AB"/>
    <w:rsid w:val="00FC22BE"/>
    <w:rsid w:val="00FC254A"/>
    <w:rsid w:val="00FC254D"/>
    <w:rsid w:val="00FC2578"/>
    <w:rsid w:val="00FC26E9"/>
    <w:rsid w:val="00FC2891"/>
    <w:rsid w:val="00FC2A54"/>
    <w:rsid w:val="00FC2A78"/>
    <w:rsid w:val="00FC2AA8"/>
    <w:rsid w:val="00FC2B2A"/>
    <w:rsid w:val="00FC2BB6"/>
    <w:rsid w:val="00FC2BFF"/>
    <w:rsid w:val="00FC2C97"/>
    <w:rsid w:val="00FC2E1A"/>
    <w:rsid w:val="00FC2E61"/>
    <w:rsid w:val="00FC3028"/>
    <w:rsid w:val="00FC3045"/>
    <w:rsid w:val="00FC3093"/>
    <w:rsid w:val="00FC30BE"/>
    <w:rsid w:val="00FC31C0"/>
    <w:rsid w:val="00FC32B0"/>
    <w:rsid w:val="00FC32EF"/>
    <w:rsid w:val="00FC3356"/>
    <w:rsid w:val="00FC34F9"/>
    <w:rsid w:val="00FC3581"/>
    <w:rsid w:val="00FC35FC"/>
    <w:rsid w:val="00FC36F9"/>
    <w:rsid w:val="00FC370F"/>
    <w:rsid w:val="00FC374B"/>
    <w:rsid w:val="00FC3832"/>
    <w:rsid w:val="00FC383A"/>
    <w:rsid w:val="00FC38F8"/>
    <w:rsid w:val="00FC391C"/>
    <w:rsid w:val="00FC39EB"/>
    <w:rsid w:val="00FC3B5F"/>
    <w:rsid w:val="00FC3BAE"/>
    <w:rsid w:val="00FC3BB7"/>
    <w:rsid w:val="00FC3D2B"/>
    <w:rsid w:val="00FC3EC0"/>
    <w:rsid w:val="00FC3F5B"/>
    <w:rsid w:val="00FC418A"/>
    <w:rsid w:val="00FC4297"/>
    <w:rsid w:val="00FC43A9"/>
    <w:rsid w:val="00FC4423"/>
    <w:rsid w:val="00FC454F"/>
    <w:rsid w:val="00FC4572"/>
    <w:rsid w:val="00FC4652"/>
    <w:rsid w:val="00FC470C"/>
    <w:rsid w:val="00FC472E"/>
    <w:rsid w:val="00FC474C"/>
    <w:rsid w:val="00FC4773"/>
    <w:rsid w:val="00FC4789"/>
    <w:rsid w:val="00FC47D9"/>
    <w:rsid w:val="00FC4846"/>
    <w:rsid w:val="00FC4A34"/>
    <w:rsid w:val="00FC4AC6"/>
    <w:rsid w:val="00FC4BBA"/>
    <w:rsid w:val="00FC4C32"/>
    <w:rsid w:val="00FC4CF3"/>
    <w:rsid w:val="00FC4D2C"/>
    <w:rsid w:val="00FC4D5E"/>
    <w:rsid w:val="00FC4DD1"/>
    <w:rsid w:val="00FC4F2B"/>
    <w:rsid w:val="00FC4FBF"/>
    <w:rsid w:val="00FC4FE6"/>
    <w:rsid w:val="00FC50C3"/>
    <w:rsid w:val="00FC532A"/>
    <w:rsid w:val="00FC537B"/>
    <w:rsid w:val="00FC537F"/>
    <w:rsid w:val="00FC5439"/>
    <w:rsid w:val="00FC5442"/>
    <w:rsid w:val="00FC5792"/>
    <w:rsid w:val="00FC5921"/>
    <w:rsid w:val="00FC5AFC"/>
    <w:rsid w:val="00FC5BE8"/>
    <w:rsid w:val="00FC5C2B"/>
    <w:rsid w:val="00FC5C8F"/>
    <w:rsid w:val="00FC5CBB"/>
    <w:rsid w:val="00FC5CFB"/>
    <w:rsid w:val="00FC5EC3"/>
    <w:rsid w:val="00FC5F79"/>
    <w:rsid w:val="00FC5FA9"/>
    <w:rsid w:val="00FC616F"/>
    <w:rsid w:val="00FC62CB"/>
    <w:rsid w:val="00FC63B3"/>
    <w:rsid w:val="00FC6423"/>
    <w:rsid w:val="00FC658E"/>
    <w:rsid w:val="00FC66B5"/>
    <w:rsid w:val="00FC67DD"/>
    <w:rsid w:val="00FC68B5"/>
    <w:rsid w:val="00FC69F0"/>
    <w:rsid w:val="00FC6B7B"/>
    <w:rsid w:val="00FC6C67"/>
    <w:rsid w:val="00FC6D75"/>
    <w:rsid w:val="00FC6E21"/>
    <w:rsid w:val="00FC6E41"/>
    <w:rsid w:val="00FC6F84"/>
    <w:rsid w:val="00FC71DA"/>
    <w:rsid w:val="00FC721D"/>
    <w:rsid w:val="00FC73E7"/>
    <w:rsid w:val="00FC7414"/>
    <w:rsid w:val="00FC7455"/>
    <w:rsid w:val="00FC7554"/>
    <w:rsid w:val="00FC755A"/>
    <w:rsid w:val="00FC7620"/>
    <w:rsid w:val="00FC764E"/>
    <w:rsid w:val="00FC7757"/>
    <w:rsid w:val="00FC780E"/>
    <w:rsid w:val="00FC78E4"/>
    <w:rsid w:val="00FC7904"/>
    <w:rsid w:val="00FC7915"/>
    <w:rsid w:val="00FC7A6E"/>
    <w:rsid w:val="00FC7AE7"/>
    <w:rsid w:val="00FC7BEF"/>
    <w:rsid w:val="00FC7BF3"/>
    <w:rsid w:val="00FC7C6D"/>
    <w:rsid w:val="00FC7D89"/>
    <w:rsid w:val="00FC7E02"/>
    <w:rsid w:val="00FC7E62"/>
    <w:rsid w:val="00FC7F93"/>
    <w:rsid w:val="00FD000C"/>
    <w:rsid w:val="00FD015C"/>
    <w:rsid w:val="00FD017E"/>
    <w:rsid w:val="00FD04E6"/>
    <w:rsid w:val="00FD0562"/>
    <w:rsid w:val="00FD0563"/>
    <w:rsid w:val="00FD0564"/>
    <w:rsid w:val="00FD0689"/>
    <w:rsid w:val="00FD0693"/>
    <w:rsid w:val="00FD07E7"/>
    <w:rsid w:val="00FD0931"/>
    <w:rsid w:val="00FD093E"/>
    <w:rsid w:val="00FD0A5C"/>
    <w:rsid w:val="00FD0A6B"/>
    <w:rsid w:val="00FD0B83"/>
    <w:rsid w:val="00FD0B90"/>
    <w:rsid w:val="00FD0C82"/>
    <w:rsid w:val="00FD10B2"/>
    <w:rsid w:val="00FD10D7"/>
    <w:rsid w:val="00FD13B7"/>
    <w:rsid w:val="00FD13BF"/>
    <w:rsid w:val="00FD1509"/>
    <w:rsid w:val="00FD1578"/>
    <w:rsid w:val="00FD15D4"/>
    <w:rsid w:val="00FD1633"/>
    <w:rsid w:val="00FD163A"/>
    <w:rsid w:val="00FD174C"/>
    <w:rsid w:val="00FD18E5"/>
    <w:rsid w:val="00FD1982"/>
    <w:rsid w:val="00FD1993"/>
    <w:rsid w:val="00FD1A89"/>
    <w:rsid w:val="00FD1AA7"/>
    <w:rsid w:val="00FD1ACD"/>
    <w:rsid w:val="00FD1BAD"/>
    <w:rsid w:val="00FD1BF6"/>
    <w:rsid w:val="00FD1DF5"/>
    <w:rsid w:val="00FD1E80"/>
    <w:rsid w:val="00FD1E86"/>
    <w:rsid w:val="00FD1EA2"/>
    <w:rsid w:val="00FD1EFB"/>
    <w:rsid w:val="00FD1FB7"/>
    <w:rsid w:val="00FD2053"/>
    <w:rsid w:val="00FD2139"/>
    <w:rsid w:val="00FD22BC"/>
    <w:rsid w:val="00FD2339"/>
    <w:rsid w:val="00FD2389"/>
    <w:rsid w:val="00FD2422"/>
    <w:rsid w:val="00FD243C"/>
    <w:rsid w:val="00FD2472"/>
    <w:rsid w:val="00FD24C8"/>
    <w:rsid w:val="00FD27A5"/>
    <w:rsid w:val="00FD2849"/>
    <w:rsid w:val="00FD2857"/>
    <w:rsid w:val="00FD287C"/>
    <w:rsid w:val="00FD2A40"/>
    <w:rsid w:val="00FD2DF6"/>
    <w:rsid w:val="00FD2F62"/>
    <w:rsid w:val="00FD2FDB"/>
    <w:rsid w:val="00FD3156"/>
    <w:rsid w:val="00FD31AE"/>
    <w:rsid w:val="00FD3396"/>
    <w:rsid w:val="00FD350C"/>
    <w:rsid w:val="00FD3514"/>
    <w:rsid w:val="00FD359E"/>
    <w:rsid w:val="00FD3607"/>
    <w:rsid w:val="00FD365D"/>
    <w:rsid w:val="00FD37AF"/>
    <w:rsid w:val="00FD37C6"/>
    <w:rsid w:val="00FD384F"/>
    <w:rsid w:val="00FD38D5"/>
    <w:rsid w:val="00FD3A14"/>
    <w:rsid w:val="00FD3A57"/>
    <w:rsid w:val="00FD3C2E"/>
    <w:rsid w:val="00FD3C93"/>
    <w:rsid w:val="00FD3C97"/>
    <w:rsid w:val="00FD3D61"/>
    <w:rsid w:val="00FD3DC9"/>
    <w:rsid w:val="00FD3EE2"/>
    <w:rsid w:val="00FD3F59"/>
    <w:rsid w:val="00FD3F95"/>
    <w:rsid w:val="00FD401B"/>
    <w:rsid w:val="00FD40B0"/>
    <w:rsid w:val="00FD4202"/>
    <w:rsid w:val="00FD4215"/>
    <w:rsid w:val="00FD421F"/>
    <w:rsid w:val="00FD42F6"/>
    <w:rsid w:val="00FD4338"/>
    <w:rsid w:val="00FD43A5"/>
    <w:rsid w:val="00FD44BD"/>
    <w:rsid w:val="00FD4542"/>
    <w:rsid w:val="00FD4614"/>
    <w:rsid w:val="00FD4675"/>
    <w:rsid w:val="00FD469C"/>
    <w:rsid w:val="00FD475F"/>
    <w:rsid w:val="00FD47E5"/>
    <w:rsid w:val="00FD4A06"/>
    <w:rsid w:val="00FD4BAA"/>
    <w:rsid w:val="00FD4C62"/>
    <w:rsid w:val="00FD4C81"/>
    <w:rsid w:val="00FD4CF5"/>
    <w:rsid w:val="00FD4DBA"/>
    <w:rsid w:val="00FD4EA8"/>
    <w:rsid w:val="00FD51F6"/>
    <w:rsid w:val="00FD52FA"/>
    <w:rsid w:val="00FD532A"/>
    <w:rsid w:val="00FD53B1"/>
    <w:rsid w:val="00FD5657"/>
    <w:rsid w:val="00FD56D8"/>
    <w:rsid w:val="00FD56F0"/>
    <w:rsid w:val="00FD577A"/>
    <w:rsid w:val="00FD58E4"/>
    <w:rsid w:val="00FD591F"/>
    <w:rsid w:val="00FD5C2D"/>
    <w:rsid w:val="00FD5D39"/>
    <w:rsid w:val="00FD5DB1"/>
    <w:rsid w:val="00FD5E11"/>
    <w:rsid w:val="00FD5E36"/>
    <w:rsid w:val="00FD611F"/>
    <w:rsid w:val="00FD6213"/>
    <w:rsid w:val="00FD636F"/>
    <w:rsid w:val="00FD64DE"/>
    <w:rsid w:val="00FD6559"/>
    <w:rsid w:val="00FD68DA"/>
    <w:rsid w:val="00FD6A0A"/>
    <w:rsid w:val="00FD6B15"/>
    <w:rsid w:val="00FD6B20"/>
    <w:rsid w:val="00FD6BB7"/>
    <w:rsid w:val="00FD6D3F"/>
    <w:rsid w:val="00FD6D79"/>
    <w:rsid w:val="00FD6D87"/>
    <w:rsid w:val="00FD6F5D"/>
    <w:rsid w:val="00FD6F86"/>
    <w:rsid w:val="00FD70AA"/>
    <w:rsid w:val="00FD70CE"/>
    <w:rsid w:val="00FD7124"/>
    <w:rsid w:val="00FD731B"/>
    <w:rsid w:val="00FD74C3"/>
    <w:rsid w:val="00FD7589"/>
    <w:rsid w:val="00FD77D3"/>
    <w:rsid w:val="00FD7897"/>
    <w:rsid w:val="00FD791B"/>
    <w:rsid w:val="00FD79C6"/>
    <w:rsid w:val="00FD79F5"/>
    <w:rsid w:val="00FD7A48"/>
    <w:rsid w:val="00FD7A4E"/>
    <w:rsid w:val="00FD7AF6"/>
    <w:rsid w:val="00FD7BF5"/>
    <w:rsid w:val="00FD7C35"/>
    <w:rsid w:val="00FD7D64"/>
    <w:rsid w:val="00FD7DB5"/>
    <w:rsid w:val="00FD7E02"/>
    <w:rsid w:val="00FD7EFA"/>
    <w:rsid w:val="00FE0006"/>
    <w:rsid w:val="00FE0290"/>
    <w:rsid w:val="00FE0425"/>
    <w:rsid w:val="00FE043C"/>
    <w:rsid w:val="00FE0445"/>
    <w:rsid w:val="00FE04A1"/>
    <w:rsid w:val="00FE04FB"/>
    <w:rsid w:val="00FE052B"/>
    <w:rsid w:val="00FE0879"/>
    <w:rsid w:val="00FE08B5"/>
    <w:rsid w:val="00FE0942"/>
    <w:rsid w:val="00FE0992"/>
    <w:rsid w:val="00FE0AB2"/>
    <w:rsid w:val="00FE0ABD"/>
    <w:rsid w:val="00FE0BB6"/>
    <w:rsid w:val="00FE0BCE"/>
    <w:rsid w:val="00FE0C09"/>
    <w:rsid w:val="00FE0E32"/>
    <w:rsid w:val="00FE0EFC"/>
    <w:rsid w:val="00FE0F0F"/>
    <w:rsid w:val="00FE0F11"/>
    <w:rsid w:val="00FE0F31"/>
    <w:rsid w:val="00FE0FAD"/>
    <w:rsid w:val="00FE11B2"/>
    <w:rsid w:val="00FE11B7"/>
    <w:rsid w:val="00FE127D"/>
    <w:rsid w:val="00FE133D"/>
    <w:rsid w:val="00FE137D"/>
    <w:rsid w:val="00FE13C0"/>
    <w:rsid w:val="00FE1468"/>
    <w:rsid w:val="00FE15F0"/>
    <w:rsid w:val="00FE1601"/>
    <w:rsid w:val="00FE1656"/>
    <w:rsid w:val="00FE1774"/>
    <w:rsid w:val="00FE17A7"/>
    <w:rsid w:val="00FE17ED"/>
    <w:rsid w:val="00FE17F1"/>
    <w:rsid w:val="00FE1830"/>
    <w:rsid w:val="00FE1A4C"/>
    <w:rsid w:val="00FE1BA2"/>
    <w:rsid w:val="00FE1CF1"/>
    <w:rsid w:val="00FE1DEB"/>
    <w:rsid w:val="00FE1E4A"/>
    <w:rsid w:val="00FE2024"/>
    <w:rsid w:val="00FE205B"/>
    <w:rsid w:val="00FE20C9"/>
    <w:rsid w:val="00FE2176"/>
    <w:rsid w:val="00FE21E2"/>
    <w:rsid w:val="00FE2277"/>
    <w:rsid w:val="00FE2292"/>
    <w:rsid w:val="00FE232F"/>
    <w:rsid w:val="00FE2515"/>
    <w:rsid w:val="00FE27BB"/>
    <w:rsid w:val="00FE27DE"/>
    <w:rsid w:val="00FE2876"/>
    <w:rsid w:val="00FE29E7"/>
    <w:rsid w:val="00FE2A20"/>
    <w:rsid w:val="00FE2B8B"/>
    <w:rsid w:val="00FE2C41"/>
    <w:rsid w:val="00FE2D55"/>
    <w:rsid w:val="00FE2DF5"/>
    <w:rsid w:val="00FE2E0D"/>
    <w:rsid w:val="00FE2EE5"/>
    <w:rsid w:val="00FE3074"/>
    <w:rsid w:val="00FE3093"/>
    <w:rsid w:val="00FE31C0"/>
    <w:rsid w:val="00FE328D"/>
    <w:rsid w:val="00FE340E"/>
    <w:rsid w:val="00FE349E"/>
    <w:rsid w:val="00FE34EE"/>
    <w:rsid w:val="00FE35FF"/>
    <w:rsid w:val="00FE3672"/>
    <w:rsid w:val="00FE390B"/>
    <w:rsid w:val="00FE3B4E"/>
    <w:rsid w:val="00FE3B98"/>
    <w:rsid w:val="00FE3BC6"/>
    <w:rsid w:val="00FE3C4C"/>
    <w:rsid w:val="00FE3C67"/>
    <w:rsid w:val="00FE3C95"/>
    <w:rsid w:val="00FE3CD4"/>
    <w:rsid w:val="00FE3CE7"/>
    <w:rsid w:val="00FE3DB3"/>
    <w:rsid w:val="00FE3F84"/>
    <w:rsid w:val="00FE44DE"/>
    <w:rsid w:val="00FE4533"/>
    <w:rsid w:val="00FE454E"/>
    <w:rsid w:val="00FE466E"/>
    <w:rsid w:val="00FE46A2"/>
    <w:rsid w:val="00FE471D"/>
    <w:rsid w:val="00FE4866"/>
    <w:rsid w:val="00FE491C"/>
    <w:rsid w:val="00FE4B7A"/>
    <w:rsid w:val="00FE4B95"/>
    <w:rsid w:val="00FE4CBD"/>
    <w:rsid w:val="00FE4D63"/>
    <w:rsid w:val="00FE4E8F"/>
    <w:rsid w:val="00FE502D"/>
    <w:rsid w:val="00FE5098"/>
    <w:rsid w:val="00FE5107"/>
    <w:rsid w:val="00FE518E"/>
    <w:rsid w:val="00FE5323"/>
    <w:rsid w:val="00FE5340"/>
    <w:rsid w:val="00FE540A"/>
    <w:rsid w:val="00FE5458"/>
    <w:rsid w:val="00FE5701"/>
    <w:rsid w:val="00FE5787"/>
    <w:rsid w:val="00FE5798"/>
    <w:rsid w:val="00FE57C0"/>
    <w:rsid w:val="00FE5804"/>
    <w:rsid w:val="00FE580E"/>
    <w:rsid w:val="00FE5853"/>
    <w:rsid w:val="00FE58FE"/>
    <w:rsid w:val="00FE5A40"/>
    <w:rsid w:val="00FE5B54"/>
    <w:rsid w:val="00FE5B68"/>
    <w:rsid w:val="00FE5C32"/>
    <w:rsid w:val="00FE5C50"/>
    <w:rsid w:val="00FE5C57"/>
    <w:rsid w:val="00FE5CFC"/>
    <w:rsid w:val="00FE5D1A"/>
    <w:rsid w:val="00FE5FB0"/>
    <w:rsid w:val="00FE6107"/>
    <w:rsid w:val="00FE620E"/>
    <w:rsid w:val="00FE628B"/>
    <w:rsid w:val="00FE62CD"/>
    <w:rsid w:val="00FE63D3"/>
    <w:rsid w:val="00FE6501"/>
    <w:rsid w:val="00FE6572"/>
    <w:rsid w:val="00FE6665"/>
    <w:rsid w:val="00FE66F3"/>
    <w:rsid w:val="00FE6756"/>
    <w:rsid w:val="00FE679C"/>
    <w:rsid w:val="00FE67DB"/>
    <w:rsid w:val="00FE69A6"/>
    <w:rsid w:val="00FE6B62"/>
    <w:rsid w:val="00FE6B94"/>
    <w:rsid w:val="00FE6D01"/>
    <w:rsid w:val="00FE6D07"/>
    <w:rsid w:val="00FE6E3C"/>
    <w:rsid w:val="00FE6E8D"/>
    <w:rsid w:val="00FE6E9F"/>
    <w:rsid w:val="00FE6F32"/>
    <w:rsid w:val="00FE6F7E"/>
    <w:rsid w:val="00FE70FC"/>
    <w:rsid w:val="00FE71C5"/>
    <w:rsid w:val="00FE722C"/>
    <w:rsid w:val="00FE7320"/>
    <w:rsid w:val="00FE735C"/>
    <w:rsid w:val="00FE74E5"/>
    <w:rsid w:val="00FE7573"/>
    <w:rsid w:val="00FE76A7"/>
    <w:rsid w:val="00FE7900"/>
    <w:rsid w:val="00FE7941"/>
    <w:rsid w:val="00FE7980"/>
    <w:rsid w:val="00FE7A44"/>
    <w:rsid w:val="00FE7AAF"/>
    <w:rsid w:val="00FE7B09"/>
    <w:rsid w:val="00FE7CA1"/>
    <w:rsid w:val="00FE7CF5"/>
    <w:rsid w:val="00FE7D2C"/>
    <w:rsid w:val="00FE7DE1"/>
    <w:rsid w:val="00FE7FAD"/>
    <w:rsid w:val="00FF021E"/>
    <w:rsid w:val="00FF0511"/>
    <w:rsid w:val="00FF0544"/>
    <w:rsid w:val="00FF066A"/>
    <w:rsid w:val="00FF06AF"/>
    <w:rsid w:val="00FF06C6"/>
    <w:rsid w:val="00FF0874"/>
    <w:rsid w:val="00FF08D8"/>
    <w:rsid w:val="00FF0961"/>
    <w:rsid w:val="00FF0B4A"/>
    <w:rsid w:val="00FF0B8E"/>
    <w:rsid w:val="00FF0CAC"/>
    <w:rsid w:val="00FF0CC8"/>
    <w:rsid w:val="00FF0CDE"/>
    <w:rsid w:val="00FF0CE6"/>
    <w:rsid w:val="00FF0D34"/>
    <w:rsid w:val="00FF103E"/>
    <w:rsid w:val="00FF10DC"/>
    <w:rsid w:val="00FF11AE"/>
    <w:rsid w:val="00FF128E"/>
    <w:rsid w:val="00FF151C"/>
    <w:rsid w:val="00FF1692"/>
    <w:rsid w:val="00FF1719"/>
    <w:rsid w:val="00FF1A7E"/>
    <w:rsid w:val="00FF1B13"/>
    <w:rsid w:val="00FF1C90"/>
    <w:rsid w:val="00FF1DE7"/>
    <w:rsid w:val="00FF1E81"/>
    <w:rsid w:val="00FF1E85"/>
    <w:rsid w:val="00FF1E89"/>
    <w:rsid w:val="00FF1EBD"/>
    <w:rsid w:val="00FF1F9E"/>
    <w:rsid w:val="00FF22AC"/>
    <w:rsid w:val="00FF230C"/>
    <w:rsid w:val="00FF2349"/>
    <w:rsid w:val="00FF2358"/>
    <w:rsid w:val="00FF260D"/>
    <w:rsid w:val="00FF264E"/>
    <w:rsid w:val="00FF27DD"/>
    <w:rsid w:val="00FF2819"/>
    <w:rsid w:val="00FF289A"/>
    <w:rsid w:val="00FF28BF"/>
    <w:rsid w:val="00FF2AE2"/>
    <w:rsid w:val="00FF2BC5"/>
    <w:rsid w:val="00FF2BCC"/>
    <w:rsid w:val="00FF2C14"/>
    <w:rsid w:val="00FF2C8E"/>
    <w:rsid w:val="00FF2C9B"/>
    <w:rsid w:val="00FF2D89"/>
    <w:rsid w:val="00FF2DC4"/>
    <w:rsid w:val="00FF2E6E"/>
    <w:rsid w:val="00FF2EBB"/>
    <w:rsid w:val="00FF2EEB"/>
    <w:rsid w:val="00FF3040"/>
    <w:rsid w:val="00FF3049"/>
    <w:rsid w:val="00FF30AA"/>
    <w:rsid w:val="00FF3147"/>
    <w:rsid w:val="00FF314B"/>
    <w:rsid w:val="00FF3203"/>
    <w:rsid w:val="00FF330F"/>
    <w:rsid w:val="00FF3554"/>
    <w:rsid w:val="00FF35AD"/>
    <w:rsid w:val="00FF35DF"/>
    <w:rsid w:val="00FF367C"/>
    <w:rsid w:val="00FF37BF"/>
    <w:rsid w:val="00FF3853"/>
    <w:rsid w:val="00FF3855"/>
    <w:rsid w:val="00FF3B35"/>
    <w:rsid w:val="00FF3BD1"/>
    <w:rsid w:val="00FF3C71"/>
    <w:rsid w:val="00FF3CE4"/>
    <w:rsid w:val="00FF3D3B"/>
    <w:rsid w:val="00FF3DF6"/>
    <w:rsid w:val="00FF3EA1"/>
    <w:rsid w:val="00FF3F60"/>
    <w:rsid w:val="00FF411D"/>
    <w:rsid w:val="00FF4141"/>
    <w:rsid w:val="00FF41FF"/>
    <w:rsid w:val="00FF44FE"/>
    <w:rsid w:val="00FF4823"/>
    <w:rsid w:val="00FF4A25"/>
    <w:rsid w:val="00FF4AFC"/>
    <w:rsid w:val="00FF4BEE"/>
    <w:rsid w:val="00FF4BF0"/>
    <w:rsid w:val="00FF4C0E"/>
    <w:rsid w:val="00FF4C2F"/>
    <w:rsid w:val="00FF4E15"/>
    <w:rsid w:val="00FF4E5A"/>
    <w:rsid w:val="00FF4F09"/>
    <w:rsid w:val="00FF52F8"/>
    <w:rsid w:val="00FF549A"/>
    <w:rsid w:val="00FF565D"/>
    <w:rsid w:val="00FF569D"/>
    <w:rsid w:val="00FF58AF"/>
    <w:rsid w:val="00FF590A"/>
    <w:rsid w:val="00FF5999"/>
    <w:rsid w:val="00FF59A7"/>
    <w:rsid w:val="00FF59B2"/>
    <w:rsid w:val="00FF59E9"/>
    <w:rsid w:val="00FF5A4D"/>
    <w:rsid w:val="00FF5A55"/>
    <w:rsid w:val="00FF5A69"/>
    <w:rsid w:val="00FF5A6A"/>
    <w:rsid w:val="00FF5ABC"/>
    <w:rsid w:val="00FF5B02"/>
    <w:rsid w:val="00FF5BF7"/>
    <w:rsid w:val="00FF5D8E"/>
    <w:rsid w:val="00FF5F31"/>
    <w:rsid w:val="00FF5F4D"/>
    <w:rsid w:val="00FF6017"/>
    <w:rsid w:val="00FF60F9"/>
    <w:rsid w:val="00FF61B3"/>
    <w:rsid w:val="00FF6335"/>
    <w:rsid w:val="00FF6444"/>
    <w:rsid w:val="00FF6463"/>
    <w:rsid w:val="00FF6468"/>
    <w:rsid w:val="00FF649A"/>
    <w:rsid w:val="00FF65AE"/>
    <w:rsid w:val="00FF6658"/>
    <w:rsid w:val="00FF672B"/>
    <w:rsid w:val="00FF68CD"/>
    <w:rsid w:val="00FF6932"/>
    <w:rsid w:val="00FF697E"/>
    <w:rsid w:val="00FF6BB9"/>
    <w:rsid w:val="00FF6BF5"/>
    <w:rsid w:val="00FF6CCD"/>
    <w:rsid w:val="00FF6E32"/>
    <w:rsid w:val="00FF6FB5"/>
    <w:rsid w:val="00FF7117"/>
    <w:rsid w:val="00FF7160"/>
    <w:rsid w:val="00FF7223"/>
    <w:rsid w:val="00FF728B"/>
    <w:rsid w:val="00FF72B2"/>
    <w:rsid w:val="00FF733E"/>
    <w:rsid w:val="00FF7377"/>
    <w:rsid w:val="00FF760E"/>
    <w:rsid w:val="00FF7661"/>
    <w:rsid w:val="00FF7669"/>
    <w:rsid w:val="00FF7686"/>
    <w:rsid w:val="00FF7736"/>
    <w:rsid w:val="00FF777E"/>
    <w:rsid w:val="00FF77B7"/>
    <w:rsid w:val="00FF77C2"/>
    <w:rsid w:val="00FF7843"/>
    <w:rsid w:val="00FF784D"/>
    <w:rsid w:val="00FF78B8"/>
    <w:rsid w:val="00FF7A4F"/>
    <w:rsid w:val="00FF7C20"/>
    <w:rsid w:val="00FF7C61"/>
    <w:rsid w:val="00FF7E69"/>
    <w:rsid w:val="00FF7FD7"/>
    <w:rsid w:val="010C2D63"/>
    <w:rsid w:val="01194BEA"/>
    <w:rsid w:val="01199CDA"/>
    <w:rsid w:val="01655509"/>
    <w:rsid w:val="016A71CC"/>
    <w:rsid w:val="017147C8"/>
    <w:rsid w:val="01A1160B"/>
    <w:rsid w:val="01B78395"/>
    <w:rsid w:val="01B97443"/>
    <w:rsid w:val="01CBA032"/>
    <w:rsid w:val="01E125FA"/>
    <w:rsid w:val="01E92270"/>
    <w:rsid w:val="01FE792C"/>
    <w:rsid w:val="023528D2"/>
    <w:rsid w:val="02737B0E"/>
    <w:rsid w:val="02A5D83F"/>
    <w:rsid w:val="02E235FD"/>
    <w:rsid w:val="02EBC3AF"/>
    <w:rsid w:val="02FE55ED"/>
    <w:rsid w:val="0365A086"/>
    <w:rsid w:val="037C2DAD"/>
    <w:rsid w:val="0387D81F"/>
    <w:rsid w:val="039C1954"/>
    <w:rsid w:val="03F09C57"/>
    <w:rsid w:val="03F5D721"/>
    <w:rsid w:val="042C4E7A"/>
    <w:rsid w:val="043C4DE6"/>
    <w:rsid w:val="0444A0A1"/>
    <w:rsid w:val="04466359"/>
    <w:rsid w:val="046EB253"/>
    <w:rsid w:val="047F853A"/>
    <w:rsid w:val="0490022B"/>
    <w:rsid w:val="049A09A3"/>
    <w:rsid w:val="04A0EF55"/>
    <w:rsid w:val="04A3EA3A"/>
    <w:rsid w:val="04B1D6A0"/>
    <w:rsid w:val="04E30CFA"/>
    <w:rsid w:val="05058F8E"/>
    <w:rsid w:val="0518E265"/>
    <w:rsid w:val="0561C399"/>
    <w:rsid w:val="056559DB"/>
    <w:rsid w:val="056E055A"/>
    <w:rsid w:val="057BBC26"/>
    <w:rsid w:val="0580A498"/>
    <w:rsid w:val="05AF3B14"/>
    <w:rsid w:val="05B61391"/>
    <w:rsid w:val="05BFEA3C"/>
    <w:rsid w:val="05C75E48"/>
    <w:rsid w:val="05DF8FB0"/>
    <w:rsid w:val="05F4A8F2"/>
    <w:rsid w:val="06046F8D"/>
    <w:rsid w:val="06097F7B"/>
    <w:rsid w:val="061A6BF4"/>
    <w:rsid w:val="06411DDB"/>
    <w:rsid w:val="065A9345"/>
    <w:rsid w:val="065DBAEF"/>
    <w:rsid w:val="065F3298"/>
    <w:rsid w:val="06D971B0"/>
    <w:rsid w:val="070D7F34"/>
    <w:rsid w:val="071087C0"/>
    <w:rsid w:val="0717E4C7"/>
    <w:rsid w:val="071EEEC0"/>
    <w:rsid w:val="07953FE9"/>
    <w:rsid w:val="07CBFA06"/>
    <w:rsid w:val="07EF37B6"/>
    <w:rsid w:val="08080A3C"/>
    <w:rsid w:val="082CF259"/>
    <w:rsid w:val="08C4E6CC"/>
    <w:rsid w:val="08C9F561"/>
    <w:rsid w:val="08D987E8"/>
    <w:rsid w:val="0912DD77"/>
    <w:rsid w:val="09205458"/>
    <w:rsid w:val="0964B82F"/>
    <w:rsid w:val="09816355"/>
    <w:rsid w:val="09E2E3EA"/>
    <w:rsid w:val="09E88F30"/>
    <w:rsid w:val="09ED200D"/>
    <w:rsid w:val="0A2FD66F"/>
    <w:rsid w:val="0A48E680"/>
    <w:rsid w:val="0A4B69A8"/>
    <w:rsid w:val="0A5CC21D"/>
    <w:rsid w:val="0A615CE3"/>
    <w:rsid w:val="0A61B66A"/>
    <w:rsid w:val="0A644899"/>
    <w:rsid w:val="0A6A6C66"/>
    <w:rsid w:val="0AD14BCF"/>
    <w:rsid w:val="0AD5B4A2"/>
    <w:rsid w:val="0AE35105"/>
    <w:rsid w:val="0AF2C99A"/>
    <w:rsid w:val="0AFB1CEC"/>
    <w:rsid w:val="0B3110EA"/>
    <w:rsid w:val="0B320E93"/>
    <w:rsid w:val="0B45A9FA"/>
    <w:rsid w:val="0B4ECA4D"/>
    <w:rsid w:val="0B544F74"/>
    <w:rsid w:val="0B5D4592"/>
    <w:rsid w:val="0B676F8F"/>
    <w:rsid w:val="0B83A22F"/>
    <w:rsid w:val="0BA2530E"/>
    <w:rsid w:val="0BBB9B62"/>
    <w:rsid w:val="0BC89B64"/>
    <w:rsid w:val="0BE1E097"/>
    <w:rsid w:val="0BFD1D1A"/>
    <w:rsid w:val="0C625D31"/>
    <w:rsid w:val="0C9671DB"/>
    <w:rsid w:val="0CA0EE7D"/>
    <w:rsid w:val="0CAB0819"/>
    <w:rsid w:val="0CC1024A"/>
    <w:rsid w:val="0CD0B844"/>
    <w:rsid w:val="0CD25F9C"/>
    <w:rsid w:val="0CED1A17"/>
    <w:rsid w:val="0D030F34"/>
    <w:rsid w:val="0D19D363"/>
    <w:rsid w:val="0D26EE1F"/>
    <w:rsid w:val="0D2C6C32"/>
    <w:rsid w:val="0D63B413"/>
    <w:rsid w:val="0DAF5D64"/>
    <w:rsid w:val="0DB7D6B2"/>
    <w:rsid w:val="0DC7457B"/>
    <w:rsid w:val="0DEA8517"/>
    <w:rsid w:val="0E021C24"/>
    <w:rsid w:val="0E5CD8CC"/>
    <w:rsid w:val="0E78A205"/>
    <w:rsid w:val="0EAE80D4"/>
    <w:rsid w:val="0EDE56A1"/>
    <w:rsid w:val="0EE500FE"/>
    <w:rsid w:val="0EE5F9B5"/>
    <w:rsid w:val="0F43C0D5"/>
    <w:rsid w:val="0F65CDA3"/>
    <w:rsid w:val="0F8A76C0"/>
    <w:rsid w:val="0FA1E71C"/>
    <w:rsid w:val="0FBEB8FC"/>
    <w:rsid w:val="0FC19415"/>
    <w:rsid w:val="0FD39CA5"/>
    <w:rsid w:val="0FDF0EBE"/>
    <w:rsid w:val="0FF92D69"/>
    <w:rsid w:val="10041007"/>
    <w:rsid w:val="1010EA58"/>
    <w:rsid w:val="101755AB"/>
    <w:rsid w:val="101CEEE8"/>
    <w:rsid w:val="103A7D46"/>
    <w:rsid w:val="104BBD4B"/>
    <w:rsid w:val="104FF0A6"/>
    <w:rsid w:val="105D4A52"/>
    <w:rsid w:val="1060EC7A"/>
    <w:rsid w:val="10A04E3D"/>
    <w:rsid w:val="10A4B14A"/>
    <w:rsid w:val="10C21474"/>
    <w:rsid w:val="10C6E713"/>
    <w:rsid w:val="10E8FF16"/>
    <w:rsid w:val="10F28520"/>
    <w:rsid w:val="110270F1"/>
    <w:rsid w:val="1104AB8E"/>
    <w:rsid w:val="1112855A"/>
    <w:rsid w:val="111452B6"/>
    <w:rsid w:val="1120002C"/>
    <w:rsid w:val="112AB5D6"/>
    <w:rsid w:val="1130BAC1"/>
    <w:rsid w:val="113FFB00"/>
    <w:rsid w:val="118961C2"/>
    <w:rsid w:val="119029A0"/>
    <w:rsid w:val="11A71864"/>
    <w:rsid w:val="11B6CA50"/>
    <w:rsid w:val="11C29410"/>
    <w:rsid w:val="11DC0567"/>
    <w:rsid w:val="11EC4614"/>
    <w:rsid w:val="11FF7509"/>
    <w:rsid w:val="123D1555"/>
    <w:rsid w:val="12457C66"/>
    <w:rsid w:val="129C1C9C"/>
    <w:rsid w:val="12ADD906"/>
    <w:rsid w:val="12F3FFD5"/>
    <w:rsid w:val="133CCDB8"/>
    <w:rsid w:val="13575F5F"/>
    <w:rsid w:val="139957C9"/>
    <w:rsid w:val="13AA8C02"/>
    <w:rsid w:val="13BD978E"/>
    <w:rsid w:val="13C38A20"/>
    <w:rsid w:val="13C51D3F"/>
    <w:rsid w:val="146816BD"/>
    <w:rsid w:val="146E8AB4"/>
    <w:rsid w:val="148FD2BE"/>
    <w:rsid w:val="14B0B77A"/>
    <w:rsid w:val="14EED143"/>
    <w:rsid w:val="14EEE592"/>
    <w:rsid w:val="1531E134"/>
    <w:rsid w:val="1583BCD9"/>
    <w:rsid w:val="158D84F8"/>
    <w:rsid w:val="15C47B64"/>
    <w:rsid w:val="15E5BD95"/>
    <w:rsid w:val="161FD9B8"/>
    <w:rsid w:val="163B3FFA"/>
    <w:rsid w:val="16482D1E"/>
    <w:rsid w:val="1648E3A8"/>
    <w:rsid w:val="1661DFD8"/>
    <w:rsid w:val="16756B6D"/>
    <w:rsid w:val="1686DF96"/>
    <w:rsid w:val="16E00FB6"/>
    <w:rsid w:val="17539A03"/>
    <w:rsid w:val="1759D552"/>
    <w:rsid w:val="1786249B"/>
    <w:rsid w:val="178DA005"/>
    <w:rsid w:val="17994C93"/>
    <w:rsid w:val="181251F3"/>
    <w:rsid w:val="181673E4"/>
    <w:rsid w:val="18476495"/>
    <w:rsid w:val="18496837"/>
    <w:rsid w:val="18643A5C"/>
    <w:rsid w:val="186B0400"/>
    <w:rsid w:val="18852154"/>
    <w:rsid w:val="18AD71F8"/>
    <w:rsid w:val="18BD8964"/>
    <w:rsid w:val="18E38238"/>
    <w:rsid w:val="18E541E1"/>
    <w:rsid w:val="191E0760"/>
    <w:rsid w:val="19288A25"/>
    <w:rsid w:val="19514B60"/>
    <w:rsid w:val="19959470"/>
    <w:rsid w:val="199671EC"/>
    <w:rsid w:val="19A0F6CB"/>
    <w:rsid w:val="19A6A1C7"/>
    <w:rsid w:val="19A7F07A"/>
    <w:rsid w:val="19BD833E"/>
    <w:rsid w:val="19FBB36C"/>
    <w:rsid w:val="1A0D1B41"/>
    <w:rsid w:val="1A0D6AD3"/>
    <w:rsid w:val="1A1EDE53"/>
    <w:rsid w:val="1A460853"/>
    <w:rsid w:val="1A53134D"/>
    <w:rsid w:val="1A5936C9"/>
    <w:rsid w:val="1A68AFE7"/>
    <w:rsid w:val="1A80C7AB"/>
    <w:rsid w:val="1A913C63"/>
    <w:rsid w:val="1A9EC77C"/>
    <w:rsid w:val="1AA0C744"/>
    <w:rsid w:val="1AC31485"/>
    <w:rsid w:val="1AD842EB"/>
    <w:rsid w:val="1ADCB967"/>
    <w:rsid w:val="1AE9B1A3"/>
    <w:rsid w:val="1AF54D6C"/>
    <w:rsid w:val="1B0C58A1"/>
    <w:rsid w:val="1B1E49EA"/>
    <w:rsid w:val="1B523184"/>
    <w:rsid w:val="1B82D534"/>
    <w:rsid w:val="1BA2993B"/>
    <w:rsid w:val="1BB36046"/>
    <w:rsid w:val="1BB5F612"/>
    <w:rsid w:val="1BB615CE"/>
    <w:rsid w:val="1BDDCC4C"/>
    <w:rsid w:val="1BDF9250"/>
    <w:rsid w:val="1C03C4BF"/>
    <w:rsid w:val="1C2A4D25"/>
    <w:rsid w:val="1C761D85"/>
    <w:rsid w:val="1C800FC9"/>
    <w:rsid w:val="1CA03D84"/>
    <w:rsid w:val="1CAA54E0"/>
    <w:rsid w:val="1D2B658F"/>
    <w:rsid w:val="1D2C2E99"/>
    <w:rsid w:val="1D334806"/>
    <w:rsid w:val="1D3DAA4F"/>
    <w:rsid w:val="1D5BD8C0"/>
    <w:rsid w:val="1D6ECE12"/>
    <w:rsid w:val="1D71A1DE"/>
    <w:rsid w:val="1D81324B"/>
    <w:rsid w:val="1D8EDA27"/>
    <w:rsid w:val="1DC87A89"/>
    <w:rsid w:val="1DDA809E"/>
    <w:rsid w:val="1DE11FD1"/>
    <w:rsid w:val="1DE8E869"/>
    <w:rsid w:val="1E03CAFA"/>
    <w:rsid w:val="1E0993E8"/>
    <w:rsid w:val="1E2A503E"/>
    <w:rsid w:val="1E342675"/>
    <w:rsid w:val="1E35ED0B"/>
    <w:rsid w:val="1E3D418D"/>
    <w:rsid w:val="1E4D0332"/>
    <w:rsid w:val="1E63F43E"/>
    <w:rsid w:val="1E9A7660"/>
    <w:rsid w:val="1E9C3F93"/>
    <w:rsid w:val="1EC148CE"/>
    <w:rsid w:val="1F164C90"/>
    <w:rsid w:val="1F1EABE7"/>
    <w:rsid w:val="1F1F95AA"/>
    <w:rsid w:val="1F2D201D"/>
    <w:rsid w:val="1F45F195"/>
    <w:rsid w:val="1F465405"/>
    <w:rsid w:val="1F65AB6D"/>
    <w:rsid w:val="1F6BEF1A"/>
    <w:rsid w:val="1F6C73FF"/>
    <w:rsid w:val="1F994F60"/>
    <w:rsid w:val="1FB61DC8"/>
    <w:rsid w:val="1FC44BAB"/>
    <w:rsid w:val="1FCD96A6"/>
    <w:rsid w:val="200216AD"/>
    <w:rsid w:val="200E93B4"/>
    <w:rsid w:val="202CEC98"/>
    <w:rsid w:val="207BB068"/>
    <w:rsid w:val="208992CE"/>
    <w:rsid w:val="209DA12B"/>
    <w:rsid w:val="20B7E63A"/>
    <w:rsid w:val="20BA0508"/>
    <w:rsid w:val="20DEBA99"/>
    <w:rsid w:val="20EA13EC"/>
    <w:rsid w:val="2105165C"/>
    <w:rsid w:val="212812E0"/>
    <w:rsid w:val="21595AA4"/>
    <w:rsid w:val="21A8F5A6"/>
    <w:rsid w:val="21DDBB1A"/>
    <w:rsid w:val="21DE62ED"/>
    <w:rsid w:val="21F46B54"/>
    <w:rsid w:val="21F7D162"/>
    <w:rsid w:val="2208DF3C"/>
    <w:rsid w:val="222FBC8B"/>
    <w:rsid w:val="2253E0BE"/>
    <w:rsid w:val="2277C879"/>
    <w:rsid w:val="22898E98"/>
    <w:rsid w:val="22B1FF7D"/>
    <w:rsid w:val="22B46FAA"/>
    <w:rsid w:val="22B72536"/>
    <w:rsid w:val="22D0FDF3"/>
    <w:rsid w:val="230DE6BD"/>
    <w:rsid w:val="23313E06"/>
    <w:rsid w:val="23456DA2"/>
    <w:rsid w:val="238035FA"/>
    <w:rsid w:val="2392A558"/>
    <w:rsid w:val="23981ACA"/>
    <w:rsid w:val="23B41CE8"/>
    <w:rsid w:val="23BAB8CC"/>
    <w:rsid w:val="23CB07A6"/>
    <w:rsid w:val="23FB8389"/>
    <w:rsid w:val="23FBFAA8"/>
    <w:rsid w:val="24051A50"/>
    <w:rsid w:val="2422318E"/>
    <w:rsid w:val="2459D542"/>
    <w:rsid w:val="2473A192"/>
    <w:rsid w:val="248CA30A"/>
    <w:rsid w:val="24BEFCC4"/>
    <w:rsid w:val="24DC22BA"/>
    <w:rsid w:val="250913AE"/>
    <w:rsid w:val="2521A4C3"/>
    <w:rsid w:val="253F6B6F"/>
    <w:rsid w:val="25657E2E"/>
    <w:rsid w:val="25958A2C"/>
    <w:rsid w:val="25B98356"/>
    <w:rsid w:val="25C609B0"/>
    <w:rsid w:val="25D42D79"/>
    <w:rsid w:val="25F57A1F"/>
    <w:rsid w:val="25FD4348"/>
    <w:rsid w:val="25FFA20F"/>
    <w:rsid w:val="2602D61D"/>
    <w:rsid w:val="2697B91D"/>
    <w:rsid w:val="269FE5E2"/>
    <w:rsid w:val="26A550F7"/>
    <w:rsid w:val="26AD5E5F"/>
    <w:rsid w:val="26B15D66"/>
    <w:rsid w:val="26C85F75"/>
    <w:rsid w:val="26D01E30"/>
    <w:rsid w:val="2712C61A"/>
    <w:rsid w:val="2713AA02"/>
    <w:rsid w:val="2721E6B3"/>
    <w:rsid w:val="274D5DC7"/>
    <w:rsid w:val="2755A1A2"/>
    <w:rsid w:val="275F9B41"/>
    <w:rsid w:val="276727F5"/>
    <w:rsid w:val="27755D56"/>
    <w:rsid w:val="2777BFFD"/>
    <w:rsid w:val="277C6ECF"/>
    <w:rsid w:val="277F6067"/>
    <w:rsid w:val="279E5469"/>
    <w:rsid w:val="27A667C4"/>
    <w:rsid w:val="27CCF225"/>
    <w:rsid w:val="27DD21C1"/>
    <w:rsid w:val="27E66261"/>
    <w:rsid w:val="27FC2534"/>
    <w:rsid w:val="28143B33"/>
    <w:rsid w:val="2823252D"/>
    <w:rsid w:val="284C0962"/>
    <w:rsid w:val="2858E82E"/>
    <w:rsid w:val="28D9158D"/>
    <w:rsid w:val="29007D93"/>
    <w:rsid w:val="290264AB"/>
    <w:rsid w:val="29288B92"/>
    <w:rsid w:val="292F2286"/>
    <w:rsid w:val="297CBD21"/>
    <w:rsid w:val="2983A11B"/>
    <w:rsid w:val="2985F41B"/>
    <w:rsid w:val="29C25156"/>
    <w:rsid w:val="29C46D34"/>
    <w:rsid w:val="29D8C1AE"/>
    <w:rsid w:val="29D924F0"/>
    <w:rsid w:val="29EC6168"/>
    <w:rsid w:val="2A0107FC"/>
    <w:rsid w:val="2A260272"/>
    <w:rsid w:val="2A3985DF"/>
    <w:rsid w:val="2A3FD0AD"/>
    <w:rsid w:val="2A6B5F37"/>
    <w:rsid w:val="2AB686BD"/>
    <w:rsid w:val="2ACBA4A8"/>
    <w:rsid w:val="2B3934AA"/>
    <w:rsid w:val="2B5319D8"/>
    <w:rsid w:val="2B76B8EF"/>
    <w:rsid w:val="2BA994D0"/>
    <w:rsid w:val="2BAC5B5C"/>
    <w:rsid w:val="2BCBBEBA"/>
    <w:rsid w:val="2BF9CD8A"/>
    <w:rsid w:val="2C863D57"/>
    <w:rsid w:val="2C99CB2D"/>
    <w:rsid w:val="2CAAC8AB"/>
    <w:rsid w:val="2CBE2D48"/>
    <w:rsid w:val="2CCF9797"/>
    <w:rsid w:val="2D100371"/>
    <w:rsid w:val="2D23DB3E"/>
    <w:rsid w:val="2D42853D"/>
    <w:rsid w:val="2D505070"/>
    <w:rsid w:val="2D85A356"/>
    <w:rsid w:val="2D9BC0D7"/>
    <w:rsid w:val="2DBB8745"/>
    <w:rsid w:val="2DBC9BEE"/>
    <w:rsid w:val="2DD9FD98"/>
    <w:rsid w:val="2E1A6B66"/>
    <w:rsid w:val="2E25489C"/>
    <w:rsid w:val="2E517797"/>
    <w:rsid w:val="2E6118F3"/>
    <w:rsid w:val="2E75A65A"/>
    <w:rsid w:val="2E77F1BF"/>
    <w:rsid w:val="2E951E6C"/>
    <w:rsid w:val="2ED48A85"/>
    <w:rsid w:val="2EF81040"/>
    <w:rsid w:val="2F0067FD"/>
    <w:rsid w:val="2F084731"/>
    <w:rsid w:val="2F0BA771"/>
    <w:rsid w:val="2F1423E5"/>
    <w:rsid w:val="2F289A49"/>
    <w:rsid w:val="2F83E240"/>
    <w:rsid w:val="2F883EF4"/>
    <w:rsid w:val="2F8DA5F6"/>
    <w:rsid w:val="2FA2FB68"/>
    <w:rsid w:val="2FA3D3FB"/>
    <w:rsid w:val="2FEE69A1"/>
    <w:rsid w:val="30101D0A"/>
    <w:rsid w:val="30588D91"/>
    <w:rsid w:val="30906147"/>
    <w:rsid w:val="3093809E"/>
    <w:rsid w:val="30BAC1A1"/>
    <w:rsid w:val="30D2162D"/>
    <w:rsid w:val="30D3F7DA"/>
    <w:rsid w:val="30E9E27E"/>
    <w:rsid w:val="3106E4ED"/>
    <w:rsid w:val="31161E29"/>
    <w:rsid w:val="312EF85D"/>
    <w:rsid w:val="31392CF6"/>
    <w:rsid w:val="31472611"/>
    <w:rsid w:val="3168E8C6"/>
    <w:rsid w:val="31716E33"/>
    <w:rsid w:val="31928FC3"/>
    <w:rsid w:val="31A34740"/>
    <w:rsid w:val="31AA6A38"/>
    <w:rsid w:val="31ABE157"/>
    <w:rsid w:val="31B8B09D"/>
    <w:rsid w:val="31C89070"/>
    <w:rsid w:val="31D97169"/>
    <w:rsid w:val="31F40DB8"/>
    <w:rsid w:val="327F6EC6"/>
    <w:rsid w:val="329072BA"/>
    <w:rsid w:val="329C49DC"/>
    <w:rsid w:val="32A785C7"/>
    <w:rsid w:val="32B5973F"/>
    <w:rsid w:val="331821CB"/>
    <w:rsid w:val="332CC929"/>
    <w:rsid w:val="336F4319"/>
    <w:rsid w:val="339A1B0C"/>
    <w:rsid w:val="33A028D8"/>
    <w:rsid w:val="33A1DC7C"/>
    <w:rsid w:val="33B3A727"/>
    <w:rsid w:val="33BBFF94"/>
    <w:rsid w:val="33C685D0"/>
    <w:rsid w:val="33D537B8"/>
    <w:rsid w:val="33D60864"/>
    <w:rsid w:val="33D9CAA3"/>
    <w:rsid w:val="342BAED7"/>
    <w:rsid w:val="3463E3B7"/>
    <w:rsid w:val="34AE16E6"/>
    <w:rsid w:val="34DDF4A6"/>
    <w:rsid w:val="34E277B6"/>
    <w:rsid w:val="34EF981F"/>
    <w:rsid w:val="34FF3F0B"/>
    <w:rsid w:val="35203942"/>
    <w:rsid w:val="35297A23"/>
    <w:rsid w:val="3529CD95"/>
    <w:rsid w:val="35363ECD"/>
    <w:rsid w:val="353C7967"/>
    <w:rsid w:val="358D3021"/>
    <w:rsid w:val="358D9B09"/>
    <w:rsid w:val="35ABB368"/>
    <w:rsid w:val="35DE5C9D"/>
    <w:rsid w:val="362F9D42"/>
    <w:rsid w:val="3635A9E1"/>
    <w:rsid w:val="364E1FF0"/>
    <w:rsid w:val="3687351F"/>
    <w:rsid w:val="36882610"/>
    <w:rsid w:val="368C25B4"/>
    <w:rsid w:val="36952659"/>
    <w:rsid w:val="36BC0A13"/>
    <w:rsid w:val="36BCE5DC"/>
    <w:rsid w:val="372E8DAA"/>
    <w:rsid w:val="373431B2"/>
    <w:rsid w:val="375CB90D"/>
    <w:rsid w:val="376CB6E4"/>
    <w:rsid w:val="377CF8F2"/>
    <w:rsid w:val="3803ED2E"/>
    <w:rsid w:val="38275E46"/>
    <w:rsid w:val="382BE2F6"/>
    <w:rsid w:val="3847CC54"/>
    <w:rsid w:val="3866562C"/>
    <w:rsid w:val="3879BB61"/>
    <w:rsid w:val="38825770"/>
    <w:rsid w:val="38844395"/>
    <w:rsid w:val="38955231"/>
    <w:rsid w:val="38B7748C"/>
    <w:rsid w:val="38CE0806"/>
    <w:rsid w:val="38DFBDD3"/>
    <w:rsid w:val="38F1A375"/>
    <w:rsid w:val="390CCB0F"/>
    <w:rsid w:val="391243E4"/>
    <w:rsid w:val="391330DE"/>
    <w:rsid w:val="3914E04F"/>
    <w:rsid w:val="391B5C31"/>
    <w:rsid w:val="3923A4AF"/>
    <w:rsid w:val="393BB3F6"/>
    <w:rsid w:val="394300FB"/>
    <w:rsid w:val="396A958E"/>
    <w:rsid w:val="396B6E75"/>
    <w:rsid w:val="39821E14"/>
    <w:rsid w:val="399A0ED8"/>
    <w:rsid w:val="39D7801F"/>
    <w:rsid w:val="39E2EAE9"/>
    <w:rsid w:val="3A13CBAF"/>
    <w:rsid w:val="3A1C203A"/>
    <w:rsid w:val="3A37391F"/>
    <w:rsid w:val="3A4680EC"/>
    <w:rsid w:val="3A59FD63"/>
    <w:rsid w:val="3A7EAEB6"/>
    <w:rsid w:val="3A822ED5"/>
    <w:rsid w:val="3A9A7991"/>
    <w:rsid w:val="3A9E552C"/>
    <w:rsid w:val="3AA0DA0C"/>
    <w:rsid w:val="3AB04132"/>
    <w:rsid w:val="3AB8A30E"/>
    <w:rsid w:val="3ABFB745"/>
    <w:rsid w:val="3ADCE0FB"/>
    <w:rsid w:val="3AECB94E"/>
    <w:rsid w:val="3AF1B525"/>
    <w:rsid w:val="3AF81C94"/>
    <w:rsid w:val="3AFD9DEF"/>
    <w:rsid w:val="3B039619"/>
    <w:rsid w:val="3B4A6C85"/>
    <w:rsid w:val="3B5BBC0E"/>
    <w:rsid w:val="3B8E5985"/>
    <w:rsid w:val="3BB37C7A"/>
    <w:rsid w:val="3BBDBDEC"/>
    <w:rsid w:val="3BC83A1C"/>
    <w:rsid w:val="3BE53D34"/>
    <w:rsid w:val="3BE842D2"/>
    <w:rsid w:val="3C10A8BA"/>
    <w:rsid w:val="3C469C93"/>
    <w:rsid w:val="3C4BE216"/>
    <w:rsid w:val="3C92103A"/>
    <w:rsid w:val="3CCB9A03"/>
    <w:rsid w:val="3CD311FA"/>
    <w:rsid w:val="3CF4F4F1"/>
    <w:rsid w:val="3D294AD9"/>
    <w:rsid w:val="3D61BF09"/>
    <w:rsid w:val="3D62A0C6"/>
    <w:rsid w:val="3D7A4EB4"/>
    <w:rsid w:val="3D88AD27"/>
    <w:rsid w:val="3DBE2E59"/>
    <w:rsid w:val="3DE526D1"/>
    <w:rsid w:val="3DF3AB4A"/>
    <w:rsid w:val="3E06D91B"/>
    <w:rsid w:val="3E11E639"/>
    <w:rsid w:val="3E3C684A"/>
    <w:rsid w:val="3E5CFE67"/>
    <w:rsid w:val="3E6DED7C"/>
    <w:rsid w:val="3E8B26F2"/>
    <w:rsid w:val="3E9BD129"/>
    <w:rsid w:val="3EAA805F"/>
    <w:rsid w:val="3EACB51F"/>
    <w:rsid w:val="3EBC0B03"/>
    <w:rsid w:val="3ED93914"/>
    <w:rsid w:val="3EE05235"/>
    <w:rsid w:val="3F07FC69"/>
    <w:rsid w:val="3F1B049D"/>
    <w:rsid w:val="3F21BCF6"/>
    <w:rsid w:val="3F425D71"/>
    <w:rsid w:val="3F7E2959"/>
    <w:rsid w:val="3F8F733F"/>
    <w:rsid w:val="3F9ABAFA"/>
    <w:rsid w:val="3FA6B44D"/>
    <w:rsid w:val="3FB84C40"/>
    <w:rsid w:val="3FBAB45F"/>
    <w:rsid w:val="3FC113DE"/>
    <w:rsid w:val="3FF137A1"/>
    <w:rsid w:val="400D9D8B"/>
    <w:rsid w:val="40275DE0"/>
    <w:rsid w:val="402899FE"/>
    <w:rsid w:val="4039F543"/>
    <w:rsid w:val="4039F836"/>
    <w:rsid w:val="40982BD4"/>
    <w:rsid w:val="40B136B8"/>
    <w:rsid w:val="40B704BF"/>
    <w:rsid w:val="40E06FC1"/>
    <w:rsid w:val="4105B148"/>
    <w:rsid w:val="410A26C2"/>
    <w:rsid w:val="414099C1"/>
    <w:rsid w:val="414341D0"/>
    <w:rsid w:val="415356A9"/>
    <w:rsid w:val="417EE1D2"/>
    <w:rsid w:val="41A4AC6F"/>
    <w:rsid w:val="41B227DE"/>
    <w:rsid w:val="41F4DA77"/>
    <w:rsid w:val="4201048B"/>
    <w:rsid w:val="425324B2"/>
    <w:rsid w:val="42623A8A"/>
    <w:rsid w:val="427FD730"/>
    <w:rsid w:val="4282F829"/>
    <w:rsid w:val="42C70DAD"/>
    <w:rsid w:val="42C885B6"/>
    <w:rsid w:val="42DE8530"/>
    <w:rsid w:val="42FAA342"/>
    <w:rsid w:val="430371A0"/>
    <w:rsid w:val="43058923"/>
    <w:rsid w:val="430C3BC5"/>
    <w:rsid w:val="432CCA97"/>
    <w:rsid w:val="4337F7DD"/>
    <w:rsid w:val="4359FE1B"/>
    <w:rsid w:val="4379847C"/>
    <w:rsid w:val="4397A583"/>
    <w:rsid w:val="43D5F3BB"/>
    <w:rsid w:val="43F897EC"/>
    <w:rsid w:val="44017CBF"/>
    <w:rsid w:val="4412A80C"/>
    <w:rsid w:val="443DCE72"/>
    <w:rsid w:val="44660096"/>
    <w:rsid w:val="4478F620"/>
    <w:rsid w:val="448586E0"/>
    <w:rsid w:val="448BFBDA"/>
    <w:rsid w:val="44BF7169"/>
    <w:rsid w:val="44F58372"/>
    <w:rsid w:val="451BA77C"/>
    <w:rsid w:val="45294CB0"/>
    <w:rsid w:val="45A56331"/>
    <w:rsid w:val="45E6AE1E"/>
    <w:rsid w:val="45E8B80C"/>
    <w:rsid w:val="45E9ECEA"/>
    <w:rsid w:val="45F0F937"/>
    <w:rsid w:val="45F35F04"/>
    <w:rsid w:val="4623079C"/>
    <w:rsid w:val="462C4FAA"/>
    <w:rsid w:val="462E67D3"/>
    <w:rsid w:val="4636B12A"/>
    <w:rsid w:val="4639EEF8"/>
    <w:rsid w:val="46570BF6"/>
    <w:rsid w:val="465B0E8D"/>
    <w:rsid w:val="4678DA5A"/>
    <w:rsid w:val="46816CAD"/>
    <w:rsid w:val="4684348C"/>
    <w:rsid w:val="4694F0CD"/>
    <w:rsid w:val="46C6150A"/>
    <w:rsid w:val="47449D54"/>
    <w:rsid w:val="476A748F"/>
    <w:rsid w:val="478C7F78"/>
    <w:rsid w:val="4798F677"/>
    <w:rsid w:val="479BCB64"/>
    <w:rsid w:val="47B5C2C1"/>
    <w:rsid w:val="47BDD07E"/>
    <w:rsid w:val="47C6D1C5"/>
    <w:rsid w:val="47D97E71"/>
    <w:rsid w:val="48480471"/>
    <w:rsid w:val="4859E0A5"/>
    <w:rsid w:val="485BFE4C"/>
    <w:rsid w:val="4860E809"/>
    <w:rsid w:val="48638AE3"/>
    <w:rsid w:val="486B9A45"/>
    <w:rsid w:val="4890CB6F"/>
    <w:rsid w:val="4895DC7C"/>
    <w:rsid w:val="489C4CA9"/>
    <w:rsid w:val="489F7B60"/>
    <w:rsid w:val="48A87227"/>
    <w:rsid w:val="48B5D719"/>
    <w:rsid w:val="48D4AF43"/>
    <w:rsid w:val="48E64F1C"/>
    <w:rsid w:val="48EFC0B1"/>
    <w:rsid w:val="491B6AC6"/>
    <w:rsid w:val="491EF6F9"/>
    <w:rsid w:val="492FBC15"/>
    <w:rsid w:val="497B2A71"/>
    <w:rsid w:val="4998BE2A"/>
    <w:rsid w:val="49A26E94"/>
    <w:rsid w:val="49C1C489"/>
    <w:rsid w:val="49D09D27"/>
    <w:rsid w:val="49D358E0"/>
    <w:rsid w:val="49E7C6D3"/>
    <w:rsid w:val="49F4F8E2"/>
    <w:rsid w:val="49FFBBA5"/>
    <w:rsid w:val="4A79342B"/>
    <w:rsid w:val="4A82D8E9"/>
    <w:rsid w:val="4A91C2A5"/>
    <w:rsid w:val="4ABACDCC"/>
    <w:rsid w:val="4AD0AC9F"/>
    <w:rsid w:val="4ADD40C1"/>
    <w:rsid w:val="4AE0690A"/>
    <w:rsid w:val="4AE68DCC"/>
    <w:rsid w:val="4AFDDEB4"/>
    <w:rsid w:val="4B09DC5C"/>
    <w:rsid w:val="4B10F79F"/>
    <w:rsid w:val="4BC33123"/>
    <w:rsid w:val="4C1B9FA5"/>
    <w:rsid w:val="4C356A3F"/>
    <w:rsid w:val="4C6CA819"/>
    <w:rsid w:val="4C767610"/>
    <w:rsid w:val="4C838F07"/>
    <w:rsid w:val="4C913B8E"/>
    <w:rsid w:val="4CBBE56E"/>
    <w:rsid w:val="4CC0A121"/>
    <w:rsid w:val="4CD5604F"/>
    <w:rsid w:val="4CF46A9C"/>
    <w:rsid w:val="4D1FF6BB"/>
    <w:rsid w:val="4D274317"/>
    <w:rsid w:val="4D724F08"/>
    <w:rsid w:val="4DA699CE"/>
    <w:rsid w:val="4DD9526B"/>
    <w:rsid w:val="4DED46C3"/>
    <w:rsid w:val="4DFC6CD8"/>
    <w:rsid w:val="4E2727DB"/>
    <w:rsid w:val="4E35DB59"/>
    <w:rsid w:val="4E367EE2"/>
    <w:rsid w:val="4E3DB018"/>
    <w:rsid w:val="4E43E73D"/>
    <w:rsid w:val="4E44ED90"/>
    <w:rsid w:val="4E4E8098"/>
    <w:rsid w:val="4E5873C1"/>
    <w:rsid w:val="4E6AEA0C"/>
    <w:rsid w:val="4E6B3DF8"/>
    <w:rsid w:val="4E801DE1"/>
    <w:rsid w:val="4EB94559"/>
    <w:rsid w:val="4EC521F5"/>
    <w:rsid w:val="4EC5D00D"/>
    <w:rsid w:val="4EC85ACC"/>
    <w:rsid w:val="4F211822"/>
    <w:rsid w:val="4F2A93B6"/>
    <w:rsid w:val="4F4EA272"/>
    <w:rsid w:val="4F759C02"/>
    <w:rsid w:val="4F92EFF3"/>
    <w:rsid w:val="4F9998D7"/>
    <w:rsid w:val="4FA611EF"/>
    <w:rsid w:val="4FA90B3E"/>
    <w:rsid w:val="4FBB5D3B"/>
    <w:rsid w:val="4FF4B5F3"/>
    <w:rsid w:val="502438D2"/>
    <w:rsid w:val="502CF194"/>
    <w:rsid w:val="50505142"/>
    <w:rsid w:val="505D7F1B"/>
    <w:rsid w:val="5061C395"/>
    <w:rsid w:val="5062DC23"/>
    <w:rsid w:val="507C1D3D"/>
    <w:rsid w:val="50849D19"/>
    <w:rsid w:val="508AD76F"/>
    <w:rsid w:val="50A1299C"/>
    <w:rsid w:val="50AD7333"/>
    <w:rsid w:val="50B65159"/>
    <w:rsid w:val="50BA8CE9"/>
    <w:rsid w:val="50C9EB65"/>
    <w:rsid w:val="50CA3D96"/>
    <w:rsid w:val="50E4E271"/>
    <w:rsid w:val="50FA6855"/>
    <w:rsid w:val="510DCA27"/>
    <w:rsid w:val="51245B70"/>
    <w:rsid w:val="51275186"/>
    <w:rsid w:val="5148D324"/>
    <w:rsid w:val="51F4573E"/>
    <w:rsid w:val="5203F2F5"/>
    <w:rsid w:val="522B89EC"/>
    <w:rsid w:val="524FF0A7"/>
    <w:rsid w:val="52585127"/>
    <w:rsid w:val="527C65BB"/>
    <w:rsid w:val="52ABC663"/>
    <w:rsid w:val="52B0FE68"/>
    <w:rsid w:val="52B3C473"/>
    <w:rsid w:val="52C3A97D"/>
    <w:rsid w:val="52DBB569"/>
    <w:rsid w:val="52E882B1"/>
    <w:rsid w:val="530777A2"/>
    <w:rsid w:val="5339C7CF"/>
    <w:rsid w:val="5377E260"/>
    <w:rsid w:val="537C8957"/>
    <w:rsid w:val="539857BC"/>
    <w:rsid w:val="53CC1B41"/>
    <w:rsid w:val="53D51D62"/>
    <w:rsid w:val="53EADCCF"/>
    <w:rsid w:val="53EF152B"/>
    <w:rsid w:val="542966DE"/>
    <w:rsid w:val="5448DE9C"/>
    <w:rsid w:val="5457D5C8"/>
    <w:rsid w:val="54DA448A"/>
    <w:rsid w:val="54F9479C"/>
    <w:rsid w:val="55232B1D"/>
    <w:rsid w:val="5535A94C"/>
    <w:rsid w:val="55686ABE"/>
    <w:rsid w:val="55AF1AF6"/>
    <w:rsid w:val="55E47110"/>
    <w:rsid w:val="5607841D"/>
    <w:rsid w:val="5613CBA8"/>
    <w:rsid w:val="563B39CD"/>
    <w:rsid w:val="564232BD"/>
    <w:rsid w:val="564BE324"/>
    <w:rsid w:val="564E71EE"/>
    <w:rsid w:val="56E30D7B"/>
    <w:rsid w:val="56E3AD35"/>
    <w:rsid w:val="57211EBB"/>
    <w:rsid w:val="57249879"/>
    <w:rsid w:val="574B0851"/>
    <w:rsid w:val="575F225F"/>
    <w:rsid w:val="5766B130"/>
    <w:rsid w:val="576B9EEF"/>
    <w:rsid w:val="57970BA2"/>
    <w:rsid w:val="57973FD0"/>
    <w:rsid w:val="57C8548D"/>
    <w:rsid w:val="57F9055B"/>
    <w:rsid w:val="5804740E"/>
    <w:rsid w:val="580DF2AE"/>
    <w:rsid w:val="58257D18"/>
    <w:rsid w:val="584ABD5C"/>
    <w:rsid w:val="5855B4C2"/>
    <w:rsid w:val="5869EDDD"/>
    <w:rsid w:val="587A3925"/>
    <w:rsid w:val="589E49F5"/>
    <w:rsid w:val="58A1CBDD"/>
    <w:rsid w:val="58A35F69"/>
    <w:rsid w:val="58EC77B2"/>
    <w:rsid w:val="58F4ECE0"/>
    <w:rsid w:val="58FC6F02"/>
    <w:rsid w:val="5913795F"/>
    <w:rsid w:val="5931A7BF"/>
    <w:rsid w:val="594AF2C5"/>
    <w:rsid w:val="59610710"/>
    <w:rsid w:val="59679A6F"/>
    <w:rsid w:val="597CA2EF"/>
    <w:rsid w:val="598CE59D"/>
    <w:rsid w:val="5992ACDE"/>
    <w:rsid w:val="5998F545"/>
    <w:rsid w:val="59D977A1"/>
    <w:rsid w:val="59EF9905"/>
    <w:rsid w:val="5A11493F"/>
    <w:rsid w:val="5A12DE8F"/>
    <w:rsid w:val="5A16E9A5"/>
    <w:rsid w:val="5A6EF570"/>
    <w:rsid w:val="5AA431D7"/>
    <w:rsid w:val="5AD459E4"/>
    <w:rsid w:val="5ADA7AC8"/>
    <w:rsid w:val="5ADB9E64"/>
    <w:rsid w:val="5B0B5362"/>
    <w:rsid w:val="5B10F8B3"/>
    <w:rsid w:val="5B45C438"/>
    <w:rsid w:val="5B5C4FA1"/>
    <w:rsid w:val="5B6CA358"/>
    <w:rsid w:val="5BD2A67C"/>
    <w:rsid w:val="5BFADB6F"/>
    <w:rsid w:val="5C032236"/>
    <w:rsid w:val="5C03E262"/>
    <w:rsid w:val="5C0DCDA9"/>
    <w:rsid w:val="5C2ABB74"/>
    <w:rsid w:val="5C2DC2CA"/>
    <w:rsid w:val="5C49A47D"/>
    <w:rsid w:val="5C5184AF"/>
    <w:rsid w:val="5C715BF1"/>
    <w:rsid w:val="5C92BF6B"/>
    <w:rsid w:val="5C9BF476"/>
    <w:rsid w:val="5D3F3212"/>
    <w:rsid w:val="5D4AB7BF"/>
    <w:rsid w:val="5D98BBC9"/>
    <w:rsid w:val="5DB91C66"/>
    <w:rsid w:val="5DB96D58"/>
    <w:rsid w:val="5E05B02A"/>
    <w:rsid w:val="5EA1CFA7"/>
    <w:rsid w:val="5EAEF445"/>
    <w:rsid w:val="5EC1D62E"/>
    <w:rsid w:val="5ECA2C4A"/>
    <w:rsid w:val="5ECD815B"/>
    <w:rsid w:val="5EDE29B1"/>
    <w:rsid w:val="5EE0CB0B"/>
    <w:rsid w:val="5EE3F00F"/>
    <w:rsid w:val="5EED5D31"/>
    <w:rsid w:val="5EEDBD25"/>
    <w:rsid w:val="5EF3E7C4"/>
    <w:rsid w:val="5EF424C5"/>
    <w:rsid w:val="5F23C5C3"/>
    <w:rsid w:val="5F3D878E"/>
    <w:rsid w:val="5F4267C5"/>
    <w:rsid w:val="5F457BFF"/>
    <w:rsid w:val="5F5F6936"/>
    <w:rsid w:val="5F625261"/>
    <w:rsid w:val="5F834D96"/>
    <w:rsid w:val="5FB23AB0"/>
    <w:rsid w:val="5FC996CC"/>
    <w:rsid w:val="5FED0A18"/>
    <w:rsid w:val="600A6F76"/>
    <w:rsid w:val="6040DA1F"/>
    <w:rsid w:val="604B608B"/>
    <w:rsid w:val="605AAC66"/>
    <w:rsid w:val="605EBBDD"/>
    <w:rsid w:val="6061319B"/>
    <w:rsid w:val="6075BED1"/>
    <w:rsid w:val="6077D629"/>
    <w:rsid w:val="607AC394"/>
    <w:rsid w:val="60850903"/>
    <w:rsid w:val="60959864"/>
    <w:rsid w:val="60BC510C"/>
    <w:rsid w:val="60CCF92B"/>
    <w:rsid w:val="60E93DD8"/>
    <w:rsid w:val="60ED3993"/>
    <w:rsid w:val="60F0EFB4"/>
    <w:rsid w:val="60F82312"/>
    <w:rsid w:val="61055E95"/>
    <w:rsid w:val="61417459"/>
    <w:rsid w:val="6146CC75"/>
    <w:rsid w:val="6175938E"/>
    <w:rsid w:val="6189FC02"/>
    <w:rsid w:val="619FBC4C"/>
    <w:rsid w:val="61C44C22"/>
    <w:rsid w:val="61EC17A2"/>
    <w:rsid w:val="61F1D5E0"/>
    <w:rsid w:val="6208A5BB"/>
    <w:rsid w:val="620C36BF"/>
    <w:rsid w:val="623FF51A"/>
    <w:rsid w:val="625A7C94"/>
    <w:rsid w:val="6272E62C"/>
    <w:rsid w:val="627FF6DF"/>
    <w:rsid w:val="629B6A93"/>
    <w:rsid w:val="62ACCEA2"/>
    <w:rsid w:val="62B521DF"/>
    <w:rsid w:val="62BEE7A4"/>
    <w:rsid w:val="62C18F60"/>
    <w:rsid w:val="62C92B0D"/>
    <w:rsid w:val="62C94193"/>
    <w:rsid w:val="62DAC4BD"/>
    <w:rsid w:val="62E27E95"/>
    <w:rsid w:val="630EB4EF"/>
    <w:rsid w:val="634A965E"/>
    <w:rsid w:val="6354E951"/>
    <w:rsid w:val="635752AE"/>
    <w:rsid w:val="636875F7"/>
    <w:rsid w:val="636BB4F0"/>
    <w:rsid w:val="63AA300F"/>
    <w:rsid w:val="63AC821D"/>
    <w:rsid w:val="63C49D0B"/>
    <w:rsid w:val="63C7874D"/>
    <w:rsid w:val="63E810AC"/>
    <w:rsid w:val="63EAE92A"/>
    <w:rsid w:val="63ED61B2"/>
    <w:rsid w:val="643F57B1"/>
    <w:rsid w:val="645B2A44"/>
    <w:rsid w:val="648B8E62"/>
    <w:rsid w:val="648F2F43"/>
    <w:rsid w:val="64913D52"/>
    <w:rsid w:val="649ABB48"/>
    <w:rsid w:val="64C2967A"/>
    <w:rsid w:val="64CE5D85"/>
    <w:rsid w:val="64DB06C0"/>
    <w:rsid w:val="64F1582A"/>
    <w:rsid w:val="650AC658"/>
    <w:rsid w:val="650EAA38"/>
    <w:rsid w:val="6514B770"/>
    <w:rsid w:val="651A95BD"/>
    <w:rsid w:val="65305887"/>
    <w:rsid w:val="653C4ACB"/>
    <w:rsid w:val="65698FA8"/>
    <w:rsid w:val="656A70EE"/>
    <w:rsid w:val="659264A7"/>
    <w:rsid w:val="659E4706"/>
    <w:rsid w:val="659FE5F7"/>
    <w:rsid w:val="65A5221E"/>
    <w:rsid w:val="65A85BB1"/>
    <w:rsid w:val="65B701F4"/>
    <w:rsid w:val="65CB6338"/>
    <w:rsid w:val="65E0C69D"/>
    <w:rsid w:val="65EDE8D0"/>
    <w:rsid w:val="66224AC1"/>
    <w:rsid w:val="6647D345"/>
    <w:rsid w:val="6668C349"/>
    <w:rsid w:val="6675F9EE"/>
    <w:rsid w:val="667D1E67"/>
    <w:rsid w:val="66AFD805"/>
    <w:rsid w:val="66CF898F"/>
    <w:rsid w:val="66EAF5BA"/>
    <w:rsid w:val="67039571"/>
    <w:rsid w:val="670891DC"/>
    <w:rsid w:val="67197AFD"/>
    <w:rsid w:val="6741DD0D"/>
    <w:rsid w:val="6782D0BB"/>
    <w:rsid w:val="6795588D"/>
    <w:rsid w:val="67999733"/>
    <w:rsid w:val="67C62E9B"/>
    <w:rsid w:val="680DB7D7"/>
    <w:rsid w:val="68434950"/>
    <w:rsid w:val="68C5B223"/>
    <w:rsid w:val="68C82B87"/>
    <w:rsid w:val="69061EC3"/>
    <w:rsid w:val="690D7DF5"/>
    <w:rsid w:val="69154FD0"/>
    <w:rsid w:val="69190B87"/>
    <w:rsid w:val="692D535D"/>
    <w:rsid w:val="69391003"/>
    <w:rsid w:val="694C2F69"/>
    <w:rsid w:val="695E7081"/>
    <w:rsid w:val="69898190"/>
    <w:rsid w:val="699FF2B2"/>
    <w:rsid w:val="69AD9DC6"/>
    <w:rsid w:val="69BECEF3"/>
    <w:rsid w:val="6A03D71B"/>
    <w:rsid w:val="6A04CAC7"/>
    <w:rsid w:val="6A13D206"/>
    <w:rsid w:val="6A21DE31"/>
    <w:rsid w:val="6A26F787"/>
    <w:rsid w:val="6A40D21A"/>
    <w:rsid w:val="6A4495E3"/>
    <w:rsid w:val="6A44E439"/>
    <w:rsid w:val="6A54D47E"/>
    <w:rsid w:val="6A70B721"/>
    <w:rsid w:val="6A95E691"/>
    <w:rsid w:val="6A9BEC6C"/>
    <w:rsid w:val="6AA1DC88"/>
    <w:rsid w:val="6AC76EF7"/>
    <w:rsid w:val="6AF3D9AC"/>
    <w:rsid w:val="6AFB4AC9"/>
    <w:rsid w:val="6B0B0481"/>
    <w:rsid w:val="6B3DA09E"/>
    <w:rsid w:val="6C098095"/>
    <w:rsid w:val="6C4900CC"/>
    <w:rsid w:val="6C51E58A"/>
    <w:rsid w:val="6C83990A"/>
    <w:rsid w:val="6C899C66"/>
    <w:rsid w:val="6CA146C5"/>
    <w:rsid w:val="6CA47893"/>
    <w:rsid w:val="6CB1D951"/>
    <w:rsid w:val="6CDA33BC"/>
    <w:rsid w:val="6CEB8039"/>
    <w:rsid w:val="6CF00319"/>
    <w:rsid w:val="6CFA8563"/>
    <w:rsid w:val="6D1BD1D5"/>
    <w:rsid w:val="6D308DAC"/>
    <w:rsid w:val="6D4A2003"/>
    <w:rsid w:val="6D7C0532"/>
    <w:rsid w:val="6DB702AF"/>
    <w:rsid w:val="6DBFDFA5"/>
    <w:rsid w:val="6E1655A0"/>
    <w:rsid w:val="6E1B5E7B"/>
    <w:rsid w:val="6E50A264"/>
    <w:rsid w:val="6E5F6C00"/>
    <w:rsid w:val="6E5FA52F"/>
    <w:rsid w:val="6E7A0806"/>
    <w:rsid w:val="6EDB3F00"/>
    <w:rsid w:val="6EE311C5"/>
    <w:rsid w:val="6EE79523"/>
    <w:rsid w:val="6EEFD3D3"/>
    <w:rsid w:val="6EF5BE75"/>
    <w:rsid w:val="6EFFB794"/>
    <w:rsid w:val="6F1AFFDC"/>
    <w:rsid w:val="6F237B20"/>
    <w:rsid w:val="6F346872"/>
    <w:rsid w:val="6F3C7C85"/>
    <w:rsid w:val="6F6379B8"/>
    <w:rsid w:val="6F895FF9"/>
    <w:rsid w:val="6F99BDF3"/>
    <w:rsid w:val="6FB89272"/>
    <w:rsid w:val="6FD2C963"/>
    <w:rsid w:val="6FD2EA5D"/>
    <w:rsid w:val="6FE81A1F"/>
    <w:rsid w:val="6FEAAD0E"/>
    <w:rsid w:val="6FF23D42"/>
    <w:rsid w:val="7007D890"/>
    <w:rsid w:val="702F4802"/>
    <w:rsid w:val="70401851"/>
    <w:rsid w:val="704BEE2D"/>
    <w:rsid w:val="706929FE"/>
    <w:rsid w:val="709F007B"/>
    <w:rsid w:val="70A41257"/>
    <w:rsid w:val="70CF45B0"/>
    <w:rsid w:val="70D45108"/>
    <w:rsid w:val="710C27AC"/>
    <w:rsid w:val="71311734"/>
    <w:rsid w:val="71401301"/>
    <w:rsid w:val="71715EDC"/>
    <w:rsid w:val="7188588C"/>
    <w:rsid w:val="71C19221"/>
    <w:rsid w:val="71DB9EC7"/>
    <w:rsid w:val="7207E37A"/>
    <w:rsid w:val="72159F03"/>
    <w:rsid w:val="721D2552"/>
    <w:rsid w:val="7273396A"/>
    <w:rsid w:val="7273BD83"/>
    <w:rsid w:val="727F0132"/>
    <w:rsid w:val="729C9CC9"/>
    <w:rsid w:val="72DB8A85"/>
    <w:rsid w:val="72FFE1DF"/>
    <w:rsid w:val="73042566"/>
    <w:rsid w:val="7310BFD4"/>
    <w:rsid w:val="73201D40"/>
    <w:rsid w:val="7343FA37"/>
    <w:rsid w:val="7370A8D9"/>
    <w:rsid w:val="73B63C03"/>
    <w:rsid w:val="73D3E8E2"/>
    <w:rsid w:val="73ED7B90"/>
    <w:rsid w:val="743B8DB7"/>
    <w:rsid w:val="7464E7BC"/>
    <w:rsid w:val="74733038"/>
    <w:rsid w:val="74C62218"/>
    <w:rsid w:val="74E64AE0"/>
    <w:rsid w:val="74FF8B5B"/>
    <w:rsid w:val="7507DD72"/>
    <w:rsid w:val="75B6573A"/>
    <w:rsid w:val="75B7577C"/>
    <w:rsid w:val="75CC8101"/>
    <w:rsid w:val="75CF3B4C"/>
    <w:rsid w:val="75D6B471"/>
    <w:rsid w:val="75E23EE9"/>
    <w:rsid w:val="7635C284"/>
    <w:rsid w:val="764A23C9"/>
    <w:rsid w:val="766CEAC4"/>
    <w:rsid w:val="76736E99"/>
    <w:rsid w:val="76838EA5"/>
    <w:rsid w:val="769D05A7"/>
    <w:rsid w:val="769D2881"/>
    <w:rsid w:val="76A49EF1"/>
    <w:rsid w:val="76AD2C23"/>
    <w:rsid w:val="76D97E4D"/>
    <w:rsid w:val="76FA87FE"/>
    <w:rsid w:val="770094AC"/>
    <w:rsid w:val="7701BC30"/>
    <w:rsid w:val="770EEAAB"/>
    <w:rsid w:val="77B805F1"/>
    <w:rsid w:val="77C6B0E4"/>
    <w:rsid w:val="77CC46C0"/>
    <w:rsid w:val="77E2AB20"/>
    <w:rsid w:val="7806A82B"/>
    <w:rsid w:val="7825849B"/>
    <w:rsid w:val="783994BF"/>
    <w:rsid w:val="78735851"/>
    <w:rsid w:val="78954CB5"/>
    <w:rsid w:val="78A2DA18"/>
    <w:rsid w:val="78E32457"/>
    <w:rsid w:val="790814E5"/>
    <w:rsid w:val="792F57E4"/>
    <w:rsid w:val="7959ECBA"/>
    <w:rsid w:val="79852454"/>
    <w:rsid w:val="799755A4"/>
    <w:rsid w:val="7999887B"/>
    <w:rsid w:val="79A3AE32"/>
    <w:rsid w:val="79BF616F"/>
    <w:rsid w:val="79E95C1F"/>
    <w:rsid w:val="79ED8BB2"/>
    <w:rsid w:val="79EE7A76"/>
    <w:rsid w:val="7A50B86B"/>
    <w:rsid w:val="7A6F772B"/>
    <w:rsid w:val="7A76CC77"/>
    <w:rsid w:val="7A8BA72F"/>
    <w:rsid w:val="7A98EC4D"/>
    <w:rsid w:val="7AC72BFA"/>
    <w:rsid w:val="7ACE6BD2"/>
    <w:rsid w:val="7ACF7639"/>
    <w:rsid w:val="7ADE1EEC"/>
    <w:rsid w:val="7B271813"/>
    <w:rsid w:val="7B3D044A"/>
    <w:rsid w:val="7B4AF812"/>
    <w:rsid w:val="7BA59E7A"/>
    <w:rsid w:val="7BE3516A"/>
    <w:rsid w:val="7BEAD291"/>
    <w:rsid w:val="7BF45C22"/>
    <w:rsid w:val="7C08381B"/>
    <w:rsid w:val="7C086F78"/>
    <w:rsid w:val="7C4B7EBE"/>
    <w:rsid w:val="7C4C1DD2"/>
    <w:rsid w:val="7C587DBB"/>
    <w:rsid w:val="7C890C94"/>
    <w:rsid w:val="7C894624"/>
    <w:rsid w:val="7C8B1FA2"/>
    <w:rsid w:val="7CF4F7C8"/>
    <w:rsid w:val="7D155149"/>
    <w:rsid w:val="7D16D113"/>
    <w:rsid w:val="7D1DF2EF"/>
    <w:rsid w:val="7D3683AE"/>
    <w:rsid w:val="7D41A20F"/>
    <w:rsid w:val="7D75CC79"/>
    <w:rsid w:val="7D7A8553"/>
    <w:rsid w:val="7D8AE6BE"/>
    <w:rsid w:val="7D98A136"/>
    <w:rsid w:val="7D9BA4A2"/>
    <w:rsid w:val="7DAA8E6B"/>
    <w:rsid w:val="7DAE2D8F"/>
    <w:rsid w:val="7DB7F3BA"/>
    <w:rsid w:val="7DB929BE"/>
    <w:rsid w:val="7DE3CD82"/>
    <w:rsid w:val="7DE57775"/>
    <w:rsid w:val="7DF186EE"/>
    <w:rsid w:val="7E11BA30"/>
    <w:rsid w:val="7E2ACB65"/>
    <w:rsid w:val="7E2D2405"/>
    <w:rsid w:val="7E39F995"/>
    <w:rsid w:val="7E3FE3BF"/>
    <w:rsid w:val="7E6C8FC7"/>
    <w:rsid w:val="7E925EC6"/>
    <w:rsid w:val="7E9963FF"/>
    <w:rsid w:val="7E9D4A38"/>
    <w:rsid w:val="7EC749A7"/>
    <w:rsid w:val="7F35F834"/>
    <w:rsid w:val="7F4509D8"/>
    <w:rsid w:val="7F8974C8"/>
    <w:rsid w:val="7FAE8237"/>
    <w:rsid w:val="7FD83204"/>
    <w:rsid w:val="7FE0E2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DD5FB7"/>
  <w15:docId w15:val="{07E42F1F-C012-4322-B9E2-36CDE720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40501D"/>
    <w:pPr>
      <w:numPr>
        <w:numId w:val="2"/>
      </w:numPr>
      <w:tabs>
        <w:tab w:val="num" w:pos="360"/>
      </w:tabs>
      <w:ind w:left="0" w:firstLine="0"/>
    </w:pPr>
    <w:rPr>
      <w:rFonts w:eastAsia="Times New Roman"/>
      <w:lang w:eastAsia="de-DE"/>
    </w:rPr>
  </w:style>
  <w:style w:type="paragraph" w:styleId="ListNumber">
    <w:name w:val="List Number"/>
    <w:basedOn w:val="Normal"/>
    <w:rsid w:val="0040501D"/>
    <w:pPr>
      <w:numPr>
        <w:numId w:val="6"/>
      </w:numPr>
    </w:pPr>
    <w:rPr>
      <w:rFonts w:eastAsia="Times New Roman"/>
      <w:lang w:eastAsia="de-DE"/>
    </w:rPr>
  </w:style>
  <w:style w:type="paragraph" w:customStyle="1" w:styleId="ListBullet1">
    <w:name w:val="List Bullet 1"/>
    <w:basedOn w:val="Normal"/>
    <w:rsid w:val="0040501D"/>
    <w:pPr>
      <w:numPr>
        <w:numId w:val="1"/>
      </w:numPr>
    </w:pPr>
    <w:rPr>
      <w:rFonts w:eastAsia="Times New Roman"/>
      <w:lang w:eastAsia="de-DE"/>
    </w:rPr>
  </w:style>
  <w:style w:type="paragraph" w:customStyle="1" w:styleId="ListDash">
    <w:name w:val="List Dash"/>
    <w:basedOn w:val="Normal"/>
    <w:rsid w:val="0040501D"/>
    <w:pPr>
      <w:numPr>
        <w:numId w:val="3"/>
      </w:numPr>
    </w:pPr>
    <w:rPr>
      <w:rFonts w:eastAsia="Times New Roman"/>
      <w:lang w:eastAsia="de-DE"/>
    </w:rPr>
  </w:style>
  <w:style w:type="paragraph" w:customStyle="1" w:styleId="ListDash1">
    <w:name w:val="List Dash 1"/>
    <w:basedOn w:val="Normal"/>
    <w:rsid w:val="0040501D"/>
    <w:pPr>
      <w:numPr>
        <w:numId w:val="4"/>
      </w:numPr>
    </w:pPr>
    <w:rPr>
      <w:rFonts w:eastAsia="Times New Roman"/>
      <w:lang w:eastAsia="de-DE"/>
    </w:rPr>
  </w:style>
  <w:style w:type="paragraph" w:customStyle="1" w:styleId="ListDash2">
    <w:name w:val="List Dash 2"/>
    <w:basedOn w:val="Normal"/>
    <w:rsid w:val="0040501D"/>
    <w:pPr>
      <w:numPr>
        <w:numId w:val="5"/>
      </w:numPr>
    </w:pPr>
    <w:rPr>
      <w:rFonts w:eastAsia="Times New Roman"/>
      <w:lang w:eastAsia="de-DE"/>
    </w:rPr>
  </w:style>
  <w:style w:type="paragraph" w:customStyle="1" w:styleId="ListNumberLevel2">
    <w:name w:val="List Number (Level 2)"/>
    <w:basedOn w:val="Normal"/>
    <w:rsid w:val="0040501D"/>
    <w:pPr>
      <w:numPr>
        <w:ilvl w:val="1"/>
        <w:numId w:val="6"/>
      </w:numPr>
    </w:pPr>
    <w:rPr>
      <w:rFonts w:eastAsia="Times New Roman"/>
      <w:lang w:eastAsia="de-DE"/>
    </w:rPr>
  </w:style>
  <w:style w:type="paragraph" w:customStyle="1" w:styleId="ListNumberLevel3">
    <w:name w:val="List Number (Level 3)"/>
    <w:basedOn w:val="Normal"/>
    <w:rsid w:val="0040501D"/>
    <w:pPr>
      <w:numPr>
        <w:ilvl w:val="2"/>
        <w:numId w:val="6"/>
      </w:numPr>
    </w:pPr>
    <w:rPr>
      <w:rFonts w:eastAsia="Times New Roman"/>
      <w:lang w:eastAsia="de-DE"/>
    </w:rPr>
  </w:style>
  <w:style w:type="paragraph" w:customStyle="1" w:styleId="ListNumberLevel4">
    <w:name w:val="List Number (Level 4)"/>
    <w:basedOn w:val="Normal"/>
    <w:rsid w:val="0040501D"/>
    <w:pPr>
      <w:numPr>
        <w:ilvl w:val="3"/>
        <w:numId w:val="6"/>
      </w:numPr>
    </w:pPr>
    <w:rPr>
      <w:rFonts w:eastAsia="Times New Roman"/>
      <w:lang w:eastAsia="de-DE"/>
    </w:rPr>
  </w:style>
  <w:style w:type="table" w:styleId="TableGrid">
    <w:name w:val="Table Grid"/>
    <w:basedOn w:val="TableNormal"/>
    <w:rsid w:val="0040501D"/>
    <w:pPr>
      <w:spacing w:before="120" w:after="120" w:line="240" w:lineRule="auto"/>
      <w:jc w:val="both"/>
    </w:pPr>
    <w:rPr>
      <w:rFonts w:ascii="Times New Roman" w:eastAsia="Times New Roman" w:hAnsi="Times New Roman" w:cs="Times New Roman"/>
      <w:sz w:val="20"/>
      <w:szCs w:val="20"/>
      <w:lang w:eastAsia="en-IE"/>
    </w:rPr>
    <w:tblPr/>
  </w:style>
  <w:style w:type="character" w:styleId="Hyperlink">
    <w:name w:val="Hyperlink"/>
    <w:uiPriority w:val="99"/>
    <w:rsid w:val="0040501D"/>
    <w:rPr>
      <w:color w:val="0000FF"/>
      <w:u w:val="single"/>
    </w:rPr>
  </w:style>
  <w:style w:type="paragraph" w:styleId="ListBullet">
    <w:name w:val="List Bullet"/>
    <w:basedOn w:val="Normal"/>
    <w:rsid w:val="0040501D"/>
    <w:pPr>
      <w:numPr>
        <w:numId w:val="7"/>
      </w:numPr>
    </w:pPr>
    <w:rPr>
      <w:rFonts w:eastAsia="Times New Roman"/>
      <w:lang w:eastAsia="en-GB"/>
    </w:rPr>
  </w:style>
  <w:style w:type="paragraph" w:styleId="ListBullet2">
    <w:name w:val="List Bullet 2"/>
    <w:basedOn w:val="Normal"/>
    <w:rsid w:val="0040501D"/>
    <w:pPr>
      <w:numPr>
        <w:numId w:val="8"/>
      </w:numPr>
    </w:pPr>
    <w:rPr>
      <w:rFonts w:eastAsia="Times New Roman"/>
      <w:lang w:eastAsia="en-GB"/>
    </w:rPr>
  </w:style>
  <w:style w:type="paragraph" w:styleId="ListBullet3">
    <w:name w:val="List Bullet 3"/>
    <w:basedOn w:val="Normal"/>
    <w:rsid w:val="0040501D"/>
    <w:pPr>
      <w:numPr>
        <w:numId w:val="9"/>
      </w:numPr>
    </w:pPr>
    <w:rPr>
      <w:rFonts w:eastAsia="Times New Roman"/>
      <w:lang w:eastAsia="en-GB"/>
    </w:rPr>
  </w:style>
  <w:style w:type="paragraph" w:styleId="ListNumber2">
    <w:name w:val="List Number 2"/>
    <w:basedOn w:val="Normal"/>
    <w:rsid w:val="0040501D"/>
    <w:pPr>
      <w:numPr>
        <w:numId w:val="13"/>
      </w:numPr>
    </w:pPr>
    <w:rPr>
      <w:rFonts w:eastAsia="Times New Roman"/>
      <w:lang w:eastAsia="en-GB"/>
    </w:rPr>
  </w:style>
  <w:style w:type="paragraph" w:styleId="ListNumber3">
    <w:name w:val="List Number 3"/>
    <w:basedOn w:val="Normal"/>
    <w:rsid w:val="0040501D"/>
    <w:pPr>
      <w:numPr>
        <w:numId w:val="14"/>
      </w:numPr>
    </w:pPr>
    <w:rPr>
      <w:rFonts w:eastAsia="Times New Roman"/>
      <w:lang w:eastAsia="en-GB"/>
    </w:rPr>
  </w:style>
  <w:style w:type="paragraph" w:styleId="ListNumber4">
    <w:name w:val="List Number 4"/>
    <w:basedOn w:val="Normal"/>
    <w:rsid w:val="0040501D"/>
    <w:pPr>
      <w:numPr>
        <w:numId w:val="15"/>
      </w:numPr>
    </w:pPr>
    <w:rPr>
      <w:rFonts w:eastAsia="Times New Roman"/>
      <w:lang w:eastAsia="en-GB"/>
    </w:rPr>
  </w:style>
  <w:style w:type="paragraph" w:customStyle="1" w:styleId="ListDash3">
    <w:name w:val="List Dash 3"/>
    <w:basedOn w:val="Normal"/>
    <w:rsid w:val="0040501D"/>
    <w:pPr>
      <w:numPr>
        <w:numId w:val="10"/>
      </w:numPr>
    </w:pPr>
    <w:rPr>
      <w:rFonts w:eastAsia="Times New Roman"/>
      <w:lang w:eastAsia="en-GB"/>
    </w:rPr>
  </w:style>
  <w:style w:type="paragraph" w:customStyle="1" w:styleId="ListDash4">
    <w:name w:val="List Dash 4"/>
    <w:basedOn w:val="Normal"/>
    <w:rsid w:val="0040501D"/>
    <w:pPr>
      <w:numPr>
        <w:numId w:val="11"/>
      </w:numPr>
    </w:pPr>
    <w:rPr>
      <w:rFonts w:eastAsia="Times New Roman"/>
      <w:lang w:eastAsia="en-GB"/>
    </w:rPr>
  </w:style>
  <w:style w:type="paragraph" w:customStyle="1" w:styleId="ListNumber1">
    <w:name w:val="List Number 1"/>
    <w:basedOn w:val="Text1"/>
    <w:rsid w:val="0040501D"/>
    <w:pPr>
      <w:numPr>
        <w:numId w:val="12"/>
      </w:numPr>
    </w:pPr>
    <w:rPr>
      <w:rFonts w:eastAsia="Times New Roman"/>
      <w:lang w:eastAsia="en-GB"/>
    </w:rPr>
  </w:style>
  <w:style w:type="paragraph" w:customStyle="1" w:styleId="ListNumber1Level2">
    <w:name w:val="List Number 1 (Level 2)"/>
    <w:basedOn w:val="Text1"/>
    <w:rsid w:val="0040501D"/>
    <w:pPr>
      <w:numPr>
        <w:ilvl w:val="1"/>
        <w:numId w:val="12"/>
      </w:numPr>
    </w:pPr>
    <w:rPr>
      <w:rFonts w:eastAsia="Times New Roman"/>
      <w:lang w:eastAsia="en-GB"/>
    </w:rPr>
  </w:style>
  <w:style w:type="paragraph" w:customStyle="1" w:styleId="ListNumber2Level2">
    <w:name w:val="List Number 2 (Level 2)"/>
    <w:basedOn w:val="Text2"/>
    <w:rsid w:val="0040501D"/>
    <w:pPr>
      <w:numPr>
        <w:ilvl w:val="1"/>
        <w:numId w:val="13"/>
      </w:numPr>
    </w:pPr>
    <w:rPr>
      <w:rFonts w:eastAsia="Times New Roman"/>
      <w:lang w:eastAsia="en-GB"/>
    </w:rPr>
  </w:style>
  <w:style w:type="paragraph" w:customStyle="1" w:styleId="ListNumber3Level2">
    <w:name w:val="List Number 3 (Level 2)"/>
    <w:basedOn w:val="Text3"/>
    <w:rsid w:val="0040501D"/>
    <w:pPr>
      <w:numPr>
        <w:ilvl w:val="1"/>
        <w:numId w:val="14"/>
      </w:numPr>
    </w:pPr>
    <w:rPr>
      <w:rFonts w:eastAsia="Times New Roman"/>
      <w:lang w:eastAsia="en-GB"/>
    </w:rPr>
  </w:style>
  <w:style w:type="paragraph" w:customStyle="1" w:styleId="ListNumber4Level2">
    <w:name w:val="List Number 4 (Level 2)"/>
    <w:basedOn w:val="Text4"/>
    <w:rsid w:val="0040501D"/>
    <w:pPr>
      <w:numPr>
        <w:ilvl w:val="1"/>
        <w:numId w:val="15"/>
      </w:numPr>
    </w:pPr>
    <w:rPr>
      <w:rFonts w:eastAsia="Times New Roman"/>
      <w:lang w:eastAsia="en-GB"/>
    </w:rPr>
  </w:style>
  <w:style w:type="paragraph" w:customStyle="1" w:styleId="ListNumber1Level3">
    <w:name w:val="List Number 1 (Level 3)"/>
    <w:basedOn w:val="Text1"/>
    <w:rsid w:val="0040501D"/>
    <w:pPr>
      <w:numPr>
        <w:ilvl w:val="2"/>
        <w:numId w:val="12"/>
      </w:numPr>
    </w:pPr>
    <w:rPr>
      <w:rFonts w:eastAsia="Times New Roman"/>
      <w:lang w:eastAsia="en-GB"/>
    </w:rPr>
  </w:style>
  <w:style w:type="paragraph" w:customStyle="1" w:styleId="ListNumber2Level3">
    <w:name w:val="List Number 2 (Level 3)"/>
    <w:basedOn w:val="Text2"/>
    <w:rsid w:val="0040501D"/>
    <w:pPr>
      <w:numPr>
        <w:ilvl w:val="2"/>
        <w:numId w:val="13"/>
      </w:numPr>
    </w:pPr>
    <w:rPr>
      <w:rFonts w:eastAsia="Times New Roman"/>
      <w:lang w:eastAsia="en-GB"/>
    </w:rPr>
  </w:style>
  <w:style w:type="paragraph" w:customStyle="1" w:styleId="ListNumber3Level3">
    <w:name w:val="List Number 3 (Level 3)"/>
    <w:basedOn w:val="Text3"/>
    <w:rsid w:val="0040501D"/>
    <w:pPr>
      <w:numPr>
        <w:ilvl w:val="2"/>
        <w:numId w:val="14"/>
      </w:numPr>
    </w:pPr>
    <w:rPr>
      <w:rFonts w:eastAsia="Times New Roman"/>
      <w:lang w:eastAsia="en-GB"/>
    </w:rPr>
  </w:style>
  <w:style w:type="paragraph" w:customStyle="1" w:styleId="ListNumber4Level3">
    <w:name w:val="List Number 4 (Level 3)"/>
    <w:basedOn w:val="Text4"/>
    <w:rsid w:val="0040501D"/>
    <w:pPr>
      <w:numPr>
        <w:ilvl w:val="2"/>
        <w:numId w:val="15"/>
      </w:numPr>
    </w:pPr>
    <w:rPr>
      <w:rFonts w:eastAsia="Times New Roman"/>
      <w:lang w:eastAsia="en-GB"/>
    </w:rPr>
  </w:style>
  <w:style w:type="paragraph" w:customStyle="1" w:styleId="ListNumber1Level4">
    <w:name w:val="List Number 1 (Level 4)"/>
    <w:basedOn w:val="Text1"/>
    <w:rsid w:val="0040501D"/>
    <w:pPr>
      <w:numPr>
        <w:ilvl w:val="3"/>
        <w:numId w:val="12"/>
      </w:numPr>
    </w:pPr>
    <w:rPr>
      <w:rFonts w:eastAsia="Times New Roman"/>
      <w:lang w:eastAsia="en-GB"/>
    </w:rPr>
  </w:style>
  <w:style w:type="paragraph" w:customStyle="1" w:styleId="ListNumber2Level4">
    <w:name w:val="List Number 2 (Level 4)"/>
    <w:basedOn w:val="Text2"/>
    <w:rsid w:val="0040501D"/>
    <w:pPr>
      <w:numPr>
        <w:ilvl w:val="3"/>
        <w:numId w:val="13"/>
      </w:numPr>
    </w:pPr>
    <w:rPr>
      <w:rFonts w:eastAsia="Times New Roman"/>
      <w:lang w:eastAsia="en-GB"/>
    </w:rPr>
  </w:style>
  <w:style w:type="paragraph" w:customStyle="1" w:styleId="ListNumber3Level4">
    <w:name w:val="List Number 3 (Level 4)"/>
    <w:basedOn w:val="Text3"/>
    <w:rsid w:val="0040501D"/>
    <w:pPr>
      <w:numPr>
        <w:ilvl w:val="3"/>
        <w:numId w:val="14"/>
      </w:numPr>
    </w:pPr>
    <w:rPr>
      <w:rFonts w:eastAsia="Times New Roman"/>
      <w:lang w:eastAsia="en-GB"/>
    </w:rPr>
  </w:style>
  <w:style w:type="paragraph" w:customStyle="1" w:styleId="ListNumber4Level4">
    <w:name w:val="List Number 4 (Level 4)"/>
    <w:basedOn w:val="Text4"/>
    <w:rsid w:val="0040501D"/>
    <w:pPr>
      <w:numPr>
        <w:ilvl w:val="3"/>
        <w:numId w:val="15"/>
      </w:numPr>
    </w:pPr>
    <w:rPr>
      <w:rFonts w:eastAsia="Times New Roman"/>
      <w:lang w:eastAsia="en-GB"/>
    </w:rPr>
  </w:style>
  <w:style w:type="paragraph" w:customStyle="1" w:styleId="Annexetitreacte">
    <w:name w:val="Annexe titre (acte)"/>
    <w:basedOn w:val="Normal"/>
    <w:next w:val="Normal"/>
    <w:rsid w:val="0040501D"/>
    <w:pPr>
      <w:jc w:val="center"/>
    </w:pPr>
    <w:rPr>
      <w:rFonts w:eastAsia="Times New Roman"/>
      <w:b/>
      <w:u w:val="single"/>
      <w:lang w:eastAsia="en-GB"/>
    </w:rPr>
  </w:style>
  <w:style w:type="paragraph" w:customStyle="1" w:styleId="Annexetitreexposglobal">
    <w:name w:val="Annexe titre (exposé global)"/>
    <w:basedOn w:val="Normal"/>
    <w:next w:val="Normal"/>
    <w:rsid w:val="0040501D"/>
    <w:pPr>
      <w:jc w:val="center"/>
    </w:pPr>
    <w:rPr>
      <w:rFonts w:eastAsia="Times New Roman"/>
      <w:b/>
      <w:u w:val="single"/>
      <w:lang w:eastAsia="en-GB"/>
    </w:rPr>
  </w:style>
  <w:style w:type="paragraph" w:customStyle="1" w:styleId="Annexetitrefichefinacte">
    <w:name w:val="Annexe titre (fiche fin. acte)"/>
    <w:basedOn w:val="Normal"/>
    <w:next w:val="Normal"/>
    <w:rsid w:val="0040501D"/>
    <w:pPr>
      <w:jc w:val="center"/>
    </w:pPr>
    <w:rPr>
      <w:rFonts w:eastAsia="Times New Roman"/>
      <w:b/>
      <w:u w:val="single"/>
      <w:lang w:eastAsia="en-GB"/>
    </w:rPr>
  </w:style>
  <w:style w:type="paragraph" w:customStyle="1" w:styleId="Annexetitrefichefinglobale">
    <w:name w:val="Annexe titre (fiche fin. globale)"/>
    <w:basedOn w:val="Normal"/>
    <w:next w:val="Normal"/>
    <w:rsid w:val="0040501D"/>
    <w:pPr>
      <w:jc w:val="center"/>
    </w:pPr>
    <w:rPr>
      <w:rFonts w:eastAsia="Times New Roman"/>
      <w:b/>
      <w:u w:val="single"/>
      <w:lang w:eastAsia="en-GB"/>
    </w:rPr>
  </w:style>
  <w:style w:type="paragraph" w:customStyle="1" w:styleId="Annexetitreglobale">
    <w:name w:val="Annexe titre (globale)"/>
    <w:basedOn w:val="Normal"/>
    <w:next w:val="Normal"/>
    <w:rsid w:val="0040501D"/>
    <w:pPr>
      <w:jc w:val="center"/>
    </w:pPr>
    <w:rPr>
      <w:rFonts w:eastAsia="Times New Roman"/>
      <w:b/>
      <w:u w:val="single"/>
      <w:lang w:eastAsia="en-GB"/>
    </w:rPr>
  </w:style>
  <w:style w:type="paragraph" w:customStyle="1" w:styleId="Exposdesmotifstitreglobal">
    <w:name w:val="Exposé des motifs titre (global)"/>
    <w:basedOn w:val="Normal"/>
    <w:next w:val="Normal"/>
    <w:rsid w:val="0040501D"/>
    <w:pPr>
      <w:jc w:val="center"/>
    </w:pPr>
    <w:rPr>
      <w:rFonts w:eastAsia="Times New Roman"/>
      <w:b/>
      <w:u w:val="single"/>
      <w:lang w:eastAsia="en-GB"/>
    </w:rPr>
  </w:style>
  <w:style w:type="paragraph" w:customStyle="1" w:styleId="Langueoriginale">
    <w:name w:val="Langue originale"/>
    <w:basedOn w:val="Normal"/>
    <w:rsid w:val="0040501D"/>
    <w:pPr>
      <w:spacing w:before="360"/>
      <w:jc w:val="center"/>
    </w:pPr>
    <w:rPr>
      <w:rFonts w:eastAsia="Times New Roman"/>
      <w:caps/>
      <w:lang w:eastAsia="en-GB"/>
    </w:rPr>
  </w:style>
  <w:style w:type="paragraph" w:customStyle="1" w:styleId="Phrasefinale">
    <w:name w:val="Phrase finale"/>
    <w:basedOn w:val="Normal"/>
    <w:next w:val="Normal"/>
    <w:rsid w:val="0040501D"/>
    <w:pPr>
      <w:spacing w:before="360" w:after="0"/>
      <w:jc w:val="center"/>
    </w:pPr>
    <w:rPr>
      <w:rFonts w:eastAsia="Times New Roman"/>
      <w:lang w:eastAsia="en-GB"/>
    </w:rPr>
  </w:style>
  <w:style w:type="paragraph" w:customStyle="1" w:styleId="Prliminairetitre">
    <w:name w:val="Préliminaire titre"/>
    <w:basedOn w:val="Normal"/>
    <w:next w:val="Normal"/>
    <w:rsid w:val="0040501D"/>
    <w:pPr>
      <w:spacing w:before="360" w:after="360"/>
      <w:jc w:val="center"/>
    </w:pPr>
    <w:rPr>
      <w:rFonts w:eastAsia="Times New Roman"/>
      <w:b/>
      <w:lang w:eastAsia="en-GB"/>
    </w:rPr>
  </w:style>
  <w:style w:type="paragraph" w:customStyle="1" w:styleId="Prliminairetype">
    <w:name w:val="Préliminaire type"/>
    <w:basedOn w:val="Normal"/>
    <w:next w:val="Normal"/>
    <w:rsid w:val="0040501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40501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40501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40501D"/>
    <w:pPr>
      <w:spacing w:before="0" w:after="0"/>
      <w:ind w:left="5103"/>
      <w:jc w:val="left"/>
    </w:pPr>
    <w:rPr>
      <w:rFonts w:eastAsia="Times New Roman"/>
      <w:lang w:eastAsia="en-GB"/>
    </w:rPr>
  </w:style>
  <w:style w:type="paragraph" w:customStyle="1" w:styleId="Sous-titreobjetprliminaire">
    <w:name w:val="Sous-titre objet (préliminaire)"/>
    <w:basedOn w:val="Normal"/>
    <w:rsid w:val="0040501D"/>
    <w:pPr>
      <w:spacing w:before="0" w:after="0"/>
      <w:jc w:val="center"/>
    </w:pPr>
    <w:rPr>
      <w:rFonts w:eastAsia="Times New Roman"/>
      <w:b/>
      <w:lang w:eastAsia="en-GB"/>
    </w:rPr>
  </w:style>
  <w:style w:type="paragraph" w:customStyle="1" w:styleId="Statutprliminaire">
    <w:name w:val="Statut (préliminaire)"/>
    <w:basedOn w:val="Normal"/>
    <w:next w:val="Normal"/>
    <w:rsid w:val="0040501D"/>
    <w:pPr>
      <w:spacing w:before="360" w:after="0"/>
      <w:jc w:val="center"/>
    </w:pPr>
    <w:rPr>
      <w:rFonts w:eastAsia="Times New Roman"/>
      <w:lang w:eastAsia="en-GB"/>
    </w:rPr>
  </w:style>
  <w:style w:type="paragraph" w:customStyle="1" w:styleId="Titreobjetprliminaire">
    <w:name w:val="Titre objet (préliminaire)"/>
    <w:basedOn w:val="Normal"/>
    <w:next w:val="Normal"/>
    <w:rsid w:val="0040501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40501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40501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40501D"/>
    <w:pPr>
      <w:jc w:val="center"/>
    </w:pPr>
    <w:rPr>
      <w:rFonts w:eastAsia="Times New Roman"/>
      <w:b/>
      <w:u w:val="single"/>
      <w:lang w:eastAsia="en-GB"/>
    </w:rPr>
  </w:style>
  <w:style w:type="paragraph" w:customStyle="1" w:styleId="Fichefinanciretravailtitre">
    <w:name w:val="Fiche financière (travail) titre"/>
    <w:basedOn w:val="Normal"/>
    <w:next w:val="Normal"/>
    <w:rsid w:val="0040501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40501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40501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40501D"/>
    <w:pPr>
      <w:jc w:val="center"/>
    </w:pPr>
    <w:rPr>
      <w:rFonts w:eastAsia="Times New Roman"/>
      <w:b/>
      <w:u w:val="single"/>
      <w:lang w:eastAsia="en-GB"/>
    </w:rPr>
  </w:style>
  <w:style w:type="character" w:styleId="CommentReference">
    <w:name w:val="annotation reference"/>
    <w:rsid w:val="0040501D"/>
    <w:rPr>
      <w:rFonts w:cs="Times New Roman"/>
      <w:sz w:val="16"/>
      <w:szCs w:val="16"/>
    </w:rPr>
  </w:style>
  <w:style w:type="paragraph" w:styleId="CommentText">
    <w:name w:val="annotation text"/>
    <w:basedOn w:val="Normal"/>
    <w:link w:val="CommentTextChar"/>
    <w:rsid w:val="0040501D"/>
    <w:rPr>
      <w:rFonts w:eastAsia="Times New Roman"/>
      <w:sz w:val="20"/>
      <w:szCs w:val="20"/>
      <w:lang w:eastAsia="en-GB"/>
    </w:rPr>
  </w:style>
  <w:style w:type="character" w:customStyle="1" w:styleId="CommentTextChar">
    <w:name w:val="Comment Text Char"/>
    <w:basedOn w:val="DefaultParagraphFont"/>
    <w:link w:val="CommentText"/>
    <w:rsid w:val="0040501D"/>
    <w:rPr>
      <w:rFonts w:ascii="Times New Roman" w:eastAsia="Times New Roman" w:hAnsi="Times New Roman" w:cs="Times New Roman"/>
      <w:sz w:val="20"/>
      <w:szCs w:val="20"/>
      <w:lang w:val="sv-SE" w:eastAsia="en-GB"/>
    </w:rPr>
  </w:style>
  <w:style w:type="paragraph" w:styleId="CommentSubject">
    <w:name w:val="annotation subject"/>
    <w:basedOn w:val="CommentText"/>
    <w:next w:val="CommentText"/>
    <w:link w:val="CommentSubjectChar"/>
    <w:rsid w:val="0040501D"/>
    <w:rPr>
      <w:b/>
      <w:bCs/>
    </w:rPr>
  </w:style>
  <w:style w:type="character" w:customStyle="1" w:styleId="CommentSubjectChar">
    <w:name w:val="Comment Subject Char"/>
    <w:basedOn w:val="CommentTextChar"/>
    <w:link w:val="CommentSubject"/>
    <w:rsid w:val="0040501D"/>
    <w:rPr>
      <w:rFonts w:ascii="Times New Roman" w:eastAsia="Times New Roman" w:hAnsi="Times New Roman" w:cs="Times New Roman"/>
      <w:b/>
      <w:bCs/>
      <w:sz w:val="20"/>
      <w:szCs w:val="20"/>
      <w:lang w:val="sv-SE" w:eastAsia="en-GB"/>
    </w:rPr>
  </w:style>
  <w:style w:type="paragraph" w:styleId="BalloonText">
    <w:name w:val="Balloon Text"/>
    <w:basedOn w:val="Normal"/>
    <w:link w:val="BalloonTextChar"/>
    <w:rsid w:val="0040501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40501D"/>
    <w:rPr>
      <w:rFonts w:ascii="Tahoma" w:eastAsia="Times New Roman" w:hAnsi="Tahoma" w:cs="Tahoma"/>
      <w:sz w:val="16"/>
      <w:szCs w:val="16"/>
      <w:lang w:val="sv-SE" w:eastAsia="en-GB"/>
    </w:rPr>
  </w:style>
  <w:style w:type="paragraph" w:styleId="Caption">
    <w:name w:val="caption"/>
    <w:basedOn w:val="Normal"/>
    <w:next w:val="Normal"/>
    <w:qFormat/>
    <w:rsid w:val="0040501D"/>
    <w:rPr>
      <w:rFonts w:eastAsia="Times New Roman"/>
      <w:b/>
      <w:bCs/>
      <w:sz w:val="20"/>
      <w:szCs w:val="20"/>
      <w:lang w:eastAsia="en-GB"/>
    </w:rPr>
  </w:style>
  <w:style w:type="paragraph" w:styleId="TableofFigures">
    <w:name w:val="table of figures"/>
    <w:basedOn w:val="Normal"/>
    <w:next w:val="Normal"/>
    <w:rsid w:val="0040501D"/>
    <w:rPr>
      <w:rFonts w:eastAsia="Times New Roman"/>
      <w:lang w:eastAsia="en-GB"/>
    </w:rPr>
  </w:style>
  <w:style w:type="character" w:styleId="PageNumber">
    <w:name w:val="page number"/>
    <w:rsid w:val="0040501D"/>
  </w:style>
  <w:style w:type="character" w:customStyle="1" w:styleId="tw4winMark">
    <w:name w:val="tw4winMark"/>
    <w:rsid w:val="0040501D"/>
    <w:rPr>
      <w:vanish/>
      <w:color w:val="800080"/>
      <w:vertAlign w:val="subscript"/>
    </w:rPr>
  </w:style>
  <w:style w:type="character" w:styleId="FollowedHyperlink">
    <w:name w:val="FollowedHyperlink"/>
    <w:rsid w:val="0040501D"/>
    <w:rPr>
      <w:color w:val="800080"/>
      <w:u w:val="single"/>
    </w:rPr>
  </w:style>
  <w:style w:type="paragraph" w:customStyle="1" w:styleId="Sous-titreobjet">
    <w:name w:val="Sous-titre objet"/>
    <w:basedOn w:val="Normal"/>
    <w:rsid w:val="0040501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0501D"/>
  </w:style>
  <w:style w:type="paragraph" w:styleId="Revision">
    <w:name w:val="Revision"/>
    <w:hidden/>
    <w:uiPriority w:val="99"/>
    <w:semiHidden/>
    <w:rsid w:val="0040501D"/>
    <w:rPr>
      <w:rFonts w:ascii="Calibri" w:eastAsia="Calibri" w:hAnsi="Calibri" w:cs="Times New Roman"/>
      <w:sz w:val="24"/>
      <w:lang w:eastAsia="en-GB"/>
    </w:rPr>
  </w:style>
  <w:style w:type="paragraph" w:customStyle="1" w:styleId="FooterCoverPage">
    <w:name w:val="Footer Cover Page"/>
    <w:basedOn w:val="Normal"/>
    <w:link w:val="FooterCoverPageChar"/>
    <w:rsid w:val="0040501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40501D"/>
    <w:rPr>
      <w:rFonts w:ascii="Times New Roman" w:hAnsi="Times New Roman" w:cs="Times New Roman"/>
      <w:b/>
      <w:sz w:val="28"/>
      <w:lang w:val="sv-SE"/>
    </w:rPr>
  </w:style>
  <w:style w:type="character" w:customStyle="1" w:styleId="FooterCoverPageChar">
    <w:name w:val="Footer Cover Page Char"/>
    <w:link w:val="FooterCoverPage"/>
    <w:rsid w:val="0040501D"/>
    <w:rPr>
      <w:rFonts w:ascii="Times New Roman" w:eastAsia="Calibri" w:hAnsi="Times New Roman" w:cs="Times New Roman"/>
      <w:sz w:val="24"/>
      <w:lang w:val="sv-SE" w:eastAsia="en-GB"/>
    </w:rPr>
  </w:style>
  <w:style w:type="paragraph" w:customStyle="1" w:styleId="HeaderCoverPage">
    <w:name w:val="Header Cover Page"/>
    <w:basedOn w:val="Normal"/>
    <w:link w:val="HeaderCoverPageChar"/>
    <w:rsid w:val="0040501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40501D"/>
    <w:rPr>
      <w:rFonts w:ascii="Times New Roman" w:eastAsia="Calibri" w:hAnsi="Times New Roman" w:cs="Times New Roman"/>
      <w:sz w:val="24"/>
      <w:lang w:val="sv-SE" w:eastAsia="en-GB"/>
    </w:rPr>
  </w:style>
  <w:style w:type="character" w:customStyle="1" w:styleId="FooterSensitivityChar">
    <w:name w:val="Footer Sensitivity Char"/>
    <w:rsid w:val="0040501D"/>
    <w:rPr>
      <w:rFonts w:ascii="Times New Roman" w:hAnsi="Times New Roman" w:cs="Times New Roman"/>
      <w:b/>
      <w:sz w:val="32"/>
      <w:lang w:val="sv-SE"/>
    </w:rPr>
  </w:style>
  <w:style w:type="character" w:customStyle="1" w:styleId="HeaderSensitivityChar">
    <w:name w:val="Header Sensitivity Char"/>
    <w:rsid w:val="0040501D"/>
    <w:rPr>
      <w:rFonts w:ascii="Times New Roman" w:hAnsi="Times New Roman" w:cs="Times New Roman"/>
      <w:b/>
      <w:sz w:val="32"/>
      <w:lang w:val="sv-SE"/>
    </w:rPr>
  </w:style>
  <w:style w:type="character" w:customStyle="1" w:styleId="HeaderSensitivityRightChar">
    <w:name w:val="Header Sensitivity Right Char"/>
    <w:rsid w:val="0040501D"/>
    <w:rPr>
      <w:rFonts w:ascii="Times New Roman" w:hAnsi="Times New Roman" w:cs="Times New Roman"/>
      <w:sz w:val="28"/>
      <w:lang w:val="sv-SE"/>
    </w:rPr>
  </w:style>
  <w:style w:type="paragraph" w:customStyle="1" w:styleId="LegalNumPar">
    <w:name w:val="LegalNumPar"/>
    <w:basedOn w:val="Normal"/>
    <w:rsid w:val="0040501D"/>
    <w:pPr>
      <w:numPr>
        <w:numId w:val="16"/>
      </w:numPr>
      <w:spacing w:line="360" w:lineRule="auto"/>
    </w:pPr>
    <w:rPr>
      <w:rFonts w:eastAsia="Times New Roman"/>
      <w:lang w:eastAsia="en-GB"/>
    </w:rPr>
  </w:style>
  <w:style w:type="paragraph" w:customStyle="1" w:styleId="LegalNumPar2">
    <w:name w:val="LegalNumPar2"/>
    <w:basedOn w:val="Normal"/>
    <w:rsid w:val="0040501D"/>
    <w:pPr>
      <w:numPr>
        <w:ilvl w:val="1"/>
        <w:numId w:val="16"/>
      </w:numPr>
      <w:spacing w:line="360" w:lineRule="auto"/>
    </w:pPr>
    <w:rPr>
      <w:rFonts w:eastAsia="Times New Roman"/>
      <w:lang w:eastAsia="en-GB"/>
    </w:rPr>
  </w:style>
  <w:style w:type="paragraph" w:customStyle="1" w:styleId="LegalNumPar3">
    <w:name w:val="LegalNumPar3"/>
    <w:basedOn w:val="Normal"/>
    <w:rsid w:val="0040501D"/>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40501D"/>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40501D"/>
    <w:rPr>
      <w:color w:val="605E5C"/>
      <w:shd w:val="clear" w:color="auto" w:fill="E1DFDD"/>
    </w:rPr>
  </w:style>
  <w:style w:type="character" w:styleId="Strong">
    <w:name w:val="Strong"/>
    <w:basedOn w:val="DefaultParagraphFont"/>
    <w:qFormat/>
    <w:rsid w:val="0040501D"/>
    <w:rPr>
      <w:b/>
      <w:bCs/>
    </w:rPr>
  </w:style>
  <w:style w:type="character" w:styleId="Emphasis">
    <w:name w:val="Emphasis"/>
    <w:basedOn w:val="DefaultParagraphFont"/>
    <w:qFormat/>
    <w:rsid w:val="0040501D"/>
    <w:rPr>
      <w:i/>
      <w:iCs/>
    </w:rPr>
  </w:style>
  <w:style w:type="character" w:customStyle="1" w:styleId="Mention1">
    <w:name w:val="Mention1"/>
    <w:basedOn w:val="DefaultParagraphFont"/>
    <w:uiPriority w:val="99"/>
    <w:unhideWhenUsed/>
    <w:rsid w:val="0040501D"/>
    <w:rPr>
      <w:color w:val="2B579A"/>
      <w:shd w:val="clear" w:color="auto" w:fill="E1DFDD"/>
    </w:rPr>
  </w:style>
  <w:style w:type="character" w:customStyle="1" w:styleId="normaltextrun">
    <w:name w:val="normaltextrun"/>
    <w:basedOn w:val="DefaultParagraphFont"/>
    <w:rsid w:val="0040501D"/>
  </w:style>
  <w:style w:type="character" w:customStyle="1" w:styleId="eop">
    <w:name w:val="eop"/>
    <w:basedOn w:val="DefaultParagraphFont"/>
    <w:rsid w:val="0040501D"/>
  </w:style>
  <w:style w:type="paragraph" w:styleId="NormalWeb">
    <w:name w:val="Normal (Web)"/>
    <w:basedOn w:val="Normal"/>
    <w:uiPriority w:val="99"/>
    <w:semiHidden/>
    <w:unhideWhenUsed/>
    <w:rsid w:val="00A3424F"/>
    <w:pPr>
      <w:spacing w:before="100" w:beforeAutospacing="1" w:after="100" w:afterAutospacing="1"/>
      <w:jc w:val="left"/>
    </w:pPr>
    <w:rPr>
      <w:rFonts w:eastAsia="Times New Roman"/>
      <w:szCs w:val="24"/>
      <w:lang w:eastAsia="en-IE"/>
    </w:rPr>
  </w:style>
  <w:style w:type="paragraph" w:customStyle="1" w:styleId="oj-normal">
    <w:name w:val="oj-normal"/>
    <w:basedOn w:val="Normal"/>
    <w:rsid w:val="00A17CC2"/>
    <w:pPr>
      <w:spacing w:before="100" w:beforeAutospacing="1" w:after="100" w:afterAutospacing="1"/>
      <w:jc w:val="left"/>
    </w:pPr>
    <w:rPr>
      <w:rFonts w:eastAsia="Times New Roman"/>
      <w:szCs w:val="24"/>
      <w:lang w:eastAsia="en-IE"/>
    </w:rPr>
  </w:style>
  <w:style w:type="paragraph" w:customStyle="1" w:styleId="Oint1">
    <w:name w:val="Oint 1"/>
    <w:basedOn w:val="Text1"/>
    <w:rsid w:val="00A17CC2"/>
  </w:style>
  <w:style w:type="paragraph" w:customStyle="1" w:styleId="norm">
    <w:name w:val="norm"/>
    <w:basedOn w:val="Normal"/>
    <w:rsid w:val="006B2BC6"/>
    <w:pPr>
      <w:spacing w:before="100" w:beforeAutospacing="1" w:after="100" w:afterAutospacing="1"/>
      <w:jc w:val="left"/>
    </w:pPr>
    <w:rPr>
      <w:rFonts w:eastAsia="Times New Roman"/>
      <w:szCs w:val="24"/>
      <w:lang w:eastAsia="en-IE"/>
    </w:rPr>
  </w:style>
  <w:style w:type="paragraph" w:customStyle="1" w:styleId="Ext1">
    <w:name w:val="Ext 1"/>
    <w:basedOn w:val="Point1letter"/>
    <w:rsid w:val="006B2BC6"/>
    <w:pPr>
      <w:numPr>
        <w:ilvl w:val="0"/>
        <w:numId w:val="0"/>
      </w:numPr>
      <w:tabs>
        <w:tab w:val="left" w:pos="2910"/>
      </w:tabs>
      <w:ind w:left="1559"/>
    </w:pPr>
  </w:style>
  <w:style w:type="paragraph" w:customStyle="1" w:styleId="Titreti">
    <w:name w:val="Titre ti"/>
    <w:basedOn w:val="ChapterTitle"/>
    <w:rsid w:val="00E548D3"/>
    <w:rPr>
      <w:b w:val="0"/>
      <w:bCs/>
    </w:rPr>
  </w:style>
  <w:style w:type="paragraph" w:customStyle="1" w:styleId="Point1l">
    <w:name w:val="Point 1 l"/>
    <w:basedOn w:val="Point2letter"/>
    <w:rsid w:val="00A27CF2"/>
    <w:pPr>
      <w:numPr>
        <w:ilvl w:val="0"/>
        <w:numId w:val="0"/>
      </w:numPr>
      <w:tabs>
        <w:tab w:val="num" w:pos="1417"/>
      </w:tabs>
      <w:ind w:left="1417" w:hanging="567"/>
    </w:pPr>
  </w:style>
  <w:style w:type="paragraph" w:customStyle="1" w:styleId="Article9">
    <w:name w:val="Article 9"/>
    <w:basedOn w:val="Point0number"/>
    <w:rsid w:val="00813426"/>
    <w:pPr>
      <w:numPr>
        <w:numId w:val="0"/>
      </w:numPr>
      <w:tabs>
        <w:tab w:val="num" w:pos="1417"/>
      </w:tabs>
      <w:ind w:left="1417" w:hanging="567"/>
    </w:pPr>
  </w:style>
  <w:style w:type="paragraph" w:customStyle="1" w:styleId="Poinr2">
    <w:name w:val="Poinr 2"/>
    <w:basedOn w:val="Point2"/>
    <w:rsid w:val="00E548D3"/>
    <w:pPr>
      <w:ind w:hanging="544"/>
    </w:pPr>
  </w:style>
  <w:style w:type="paragraph" w:customStyle="1" w:styleId="Point10">
    <w:name w:val="Point 10"/>
    <w:basedOn w:val="Normal"/>
    <w:rsid w:val="00E548D3"/>
    <w:pPr>
      <w:ind w:left="1417" w:hanging="567"/>
    </w:pPr>
  </w:style>
  <w:style w:type="paragraph" w:customStyle="1" w:styleId="Titre1">
    <w:name w:val="Titre1"/>
    <w:basedOn w:val="Point0number"/>
    <w:rsid w:val="00813426"/>
    <w:pPr>
      <w:numPr>
        <w:numId w:val="0"/>
      </w:numPr>
      <w:ind w:left="850"/>
    </w:pPr>
  </w:style>
  <w:style w:type="table" w:customStyle="1" w:styleId="TableGrid1">
    <w:name w:val="Table Grid1"/>
    <w:basedOn w:val="TableNormal"/>
    <w:next w:val="TableGrid"/>
    <w:uiPriority w:val="39"/>
    <w:rsid w:val="00EE6A78"/>
    <w:pPr>
      <w:spacing w:after="0" w:line="240" w:lineRule="auto"/>
    </w:pPr>
    <w:rPr>
      <w:kern w:val="2"/>
      <w14:ligatures w14:val="standardContextual"/>
    </w:rPr>
    <w:tblPr/>
  </w:style>
  <w:style w:type="paragraph" w:customStyle="1" w:styleId="ListBullet0">
    <w:name w:val="List Bullet 0"/>
    <w:basedOn w:val="ListBullet1"/>
    <w:rsid w:val="00E82F36"/>
    <w:rPr>
      <w:rFonts w:eastAsia="Arial Unicode MS"/>
    </w:rPr>
  </w:style>
  <w:style w:type="paragraph" w:customStyle="1" w:styleId="Titre11">
    <w:name w:val="Titre 11"/>
    <w:basedOn w:val="Point0number"/>
    <w:rsid w:val="00E82F36"/>
    <w:pPr>
      <w:numPr>
        <w:numId w:val="0"/>
      </w:numPr>
      <w:tabs>
        <w:tab w:val="num" w:pos="850"/>
      </w:tabs>
      <w:ind w:left="850" w:hanging="850"/>
    </w:pPr>
  </w:style>
  <w:style w:type="paragraph" w:customStyle="1" w:styleId="Text0">
    <w:name w:val="Text 0"/>
    <w:basedOn w:val="Text1"/>
    <w:rsid w:val="00E82F36"/>
    <w:rPr>
      <w:kern w:val="2"/>
      <w14:ligatures w14:val="standardContextual"/>
    </w:rPr>
  </w:style>
  <w:style w:type="character" w:customStyle="1" w:styleId="UnresolvedMention">
    <w:name w:val="Unresolved Mention"/>
    <w:basedOn w:val="DefaultParagraphFont"/>
    <w:uiPriority w:val="99"/>
    <w:semiHidden/>
    <w:unhideWhenUsed/>
    <w:rsid w:val="00FC3045"/>
    <w:rPr>
      <w:color w:val="605E5C"/>
      <w:shd w:val="clear" w:color="auto" w:fill="E1DFDD"/>
    </w:rPr>
  </w:style>
  <w:style w:type="character" w:customStyle="1" w:styleId="HeaderChar">
    <w:name w:val="Header Char"/>
    <w:basedOn w:val="DefaultParagraphFont"/>
    <w:link w:val="Header"/>
    <w:uiPriority w:val="99"/>
    <w:rsid w:val="003E44E5"/>
    <w:rPr>
      <w:rFonts w:ascii="Times New Roman" w:hAnsi="Times New Roman" w:cs="Times New Roman"/>
      <w:sz w:val="24"/>
      <w:lang w:val="sv-SE"/>
    </w:rPr>
  </w:style>
  <w:style w:type="character" w:customStyle="1" w:styleId="FooterChar">
    <w:name w:val="Footer Char"/>
    <w:basedOn w:val="DefaultParagraphFont"/>
    <w:link w:val="Footer"/>
    <w:uiPriority w:val="99"/>
    <w:rsid w:val="003E44E5"/>
    <w:rPr>
      <w:rFonts w:ascii="Times New Roman" w:hAnsi="Times New Roman" w:cs="Times New Roman"/>
      <w:sz w:val="24"/>
      <w:lang w:val="sv-S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v-SE"/>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v-SE"/>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v-SE"/>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v-SE"/>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v-SE"/>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v-SE"/>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v-S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3E44E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3E44E5"/>
    <w:pPr>
      <w:spacing w:before="0"/>
      <w:jc w:val="right"/>
    </w:pPr>
    <w:rPr>
      <w:sz w:val="28"/>
    </w:rPr>
  </w:style>
  <w:style w:type="paragraph" w:customStyle="1" w:styleId="FooterSensitivity">
    <w:name w:val="Footer Sensitivity"/>
    <w:basedOn w:val="Normal"/>
    <w:rsid w:val="003E44E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3E44E5"/>
    <w:pPr>
      <w:tabs>
        <w:tab w:val="center" w:pos="4535"/>
        <w:tab w:val="right" w:pos="9071"/>
      </w:tabs>
      <w:spacing w:before="0"/>
    </w:pPr>
  </w:style>
  <w:style w:type="paragraph" w:customStyle="1" w:styleId="HeaderLandscape">
    <w:name w:val="HeaderLandscape"/>
    <w:basedOn w:val="Normal"/>
    <w:rsid w:val="003E44E5"/>
    <w:pPr>
      <w:tabs>
        <w:tab w:val="center" w:pos="7285"/>
        <w:tab w:val="right" w:pos="14003"/>
      </w:tabs>
      <w:spacing w:before="0"/>
    </w:pPr>
  </w:style>
  <w:style w:type="paragraph" w:styleId="Footer">
    <w:name w:val="footer"/>
    <w:basedOn w:val="Normal"/>
    <w:link w:val="FooterChar"/>
    <w:uiPriority w:val="99"/>
    <w:unhideWhenUsed/>
    <w:rsid w:val="003E44E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3E44E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14307">
      <w:bodyDiv w:val="1"/>
      <w:marLeft w:val="0"/>
      <w:marRight w:val="0"/>
      <w:marTop w:val="0"/>
      <w:marBottom w:val="0"/>
      <w:divBdr>
        <w:top w:val="none" w:sz="0" w:space="0" w:color="auto"/>
        <w:left w:val="none" w:sz="0" w:space="0" w:color="auto"/>
        <w:bottom w:val="none" w:sz="0" w:space="0" w:color="auto"/>
        <w:right w:val="none" w:sz="0" w:space="0" w:color="auto"/>
      </w:divBdr>
    </w:div>
    <w:div w:id="63531113">
      <w:bodyDiv w:val="1"/>
      <w:marLeft w:val="0"/>
      <w:marRight w:val="0"/>
      <w:marTop w:val="0"/>
      <w:marBottom w:val="0"/>
      <w:divBdr>
        <w:top w:val="none" w:sz="0" w:space="0" w:color="auto"/>
        <w:left w:val="none" w:sz="0" w:space="0" w:color="auto"/>
        <w:bottom w:val="none" w:sz="0" w:space="0" w:color="auto"/>
        <w:right w:val="none" w:sz="0" w:space="0" w:color="auto"/>
      </w:divBdr>
    </w:div>
    <w:div w:id="130444232">
      <w:bodyDiv w:val="1"/>
      <w:marLeft w:val="0"/>
      <w:marRight w:val="0"/>
      <w:marTop w:val="0"/>
      <w:marBottom w:val="0"/>
      <w:divBdr>
        <w:top w:val="none" w:sz="0" w:space="0" w:color="auto"/>
        <w:left w:val="none" w:sz="0" w:space="0" w:color="auto"/>
        <w:bottom w:val="none" w:sz="0" w:space="0" w:color="auto"/>
        <w:right w:val="none" w:sz="0" w:space="0" w:color="auto"/>
      </w:divBdr>
      <w:divsChild>
        <w:div w:id="970019004">
          <w:marLeft w:val="0"/>
          <w:marRight w:val="0"/>
          <w:marTop w:val="0"/>
          <w:marBottom w:val="0"/>
          <w:divBdr>
            <w:top w:val="none" w:sz="0" w:space="0" w:color="auto"/>
            <w:left w:val="none" w:sz="0" w:space="0" w:color="auto"/>
            <w:bottom w:val="none" w:sz="0" w:space="0" w:color="auto"/>
            <w:right w:val="none" w:sz="0" w:space="0" w:color="auto"/>
          </w:divBdr>
          <w:divsChild>
            <w:div w:id="2649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5091">
      <w:bodyDiv w:val="1"/>
      <w:marLeft w:val="0"/>
      <w:marRight w:val="0"/>
      <w:marTop w:val="0"/>
      <w:marBottom w:val="0"/>
      <w:divBdr>
        <w:top w:val="none" w:sz="0" w:space="0" w:color="auto"/>
        <w:left w:val="none" w:sz="0" w:space="0" w:color="auto"/>
        <w:bottom w:val="none" w:sz="0" w:space="0" w:color="auto"/>
        <w:right w:val="none" w:sz="0" w:space="0" w:color="auto"/>
      </w:divBdr>
      <w:divsChild>
        <w:div w:id="839200850">
          <w:marLeft w:val="0"/>
          <w:marRight w:val="0"/>
          <w:marTop w:val="0"/>
          <w:marBottom w:val="0"/>
          <w:divBdr>
            <w:top w:val="none" w:sz="0" w:space="0" w:color="auto"/>
            <w:left w:val="none" w:sz="0" w:space="0" w:color="auto"/>
            <w:bottom w:val="none" w:sz="0" w:space="0" w:color="auto"/>
            <w:right w:val="none" w:sz="0" w:space="0" w:color="auto"/>
          </w:divBdr>
          <w:divsChild>
            <w:div w:id="28674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71483">
      <w:bodyDiv w:val="1"/>
      <w:marLeft w:val="0"/>
      <w:marRight w:val="0"/>
      <w:marTop w:val="0"/>
      <w:marBottom w:val="0"/>
      <w:divBdr>
        <w:top w:val="none" w:sz="0" w:space="0" w:color="auto"/>
        <w:left w:val="none" w:sz="0" w:space="0" w:color="auto"/>
        <w:bottom w:val="none" w:sz="0" w:space="0" w:color="auto"/>
        <w:right w:val="none" w:sz="0" w:space="0" w:color="auto"/>
      </w:divBdr>
    </w:div>
    <w:div w:id="237178703">
      <w:bodyDiv w:val="1"/>
      <w:marLeft w:val="0"/>
      <w:marRight w:val="0"/>
      <w:marTop w:val="0"/>
      <w:marBottom w:val="0"/>
      <w:divBdr>
        <w:top w:val="none" w:sz="0" w:space="0" w:color="auto"/>
        <w:left w:val="none" w:sz="0" w:space="0" w:color="auto"/>
        <w:bottom w:val="none" w:sz="0" w:space="0" w:color="auto"/>
        <w:right w:val="none" w:sz="0" w:space="0" w:color="auto"/>
      </w:divBdr>
      <w:divsChild>
        <w:div w:id="334262810">
          <w:marLeft w:val="0"/>
          <w:marRight w:val="0"/>
          <w:marTop w:val="0"/>
          <w:marBottom w:val="0"/>
          <w:divBdr>
            <w:top w:val="none" w:sz="0" w:space="0" w:color="auto"/>
            <w:left w:val="none" w:sz="0" w:space="0" w:color="auto"/>
            <w:bottom w:val="none" w:sz="0" w:space="0" w:color="auto"/>
            <w:right w:val="none" w:sz="0" w:space="0" w:color="auto"/>
          </w:divBdr>
          <w:divsChild>
            <w:div w:id="107093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24094">
      <w:bodyDiv w:val="1"/>
      <w:marLeft w:val="0"/>
      <w:marRight w:val="0"/>
      <w:marTop w:val="0"/>
      <w:marBottom w:val="0"/>
      <w:divBdr>
        <w:top w:val="none" w:sz="0" w:space="0" w:color="auto"/>
        <w:left w:val="none" w:sz="0" w:space="0" w:color="auto"/>
        <w:bottom w:val="none" w:sz="0" w:space="0" w:color="auto"/>
        <w:right w:val="none" w:sz="0" w:space="0" w:color="auto"/>
      </w:divBdr>
    </w:div>
    <w:div w:id="326055459">
      <w:bodyDiv w:val="1"/>
      <w:marLeft w:val="0"/>
      <w:marRight w:val="0"/>
      <w:marTop w:val="0"/>
      <w:marBottom w:val="0"/>
      <w:divBdr>
        <w:top w:val="none" w:sz="0" w:space="0" w:color="auto"/>
        <w:left w:val="none" w:sz="0" w:space="0" w:color="auto"/>
        <w:bottom w:val="none" w:sz="0" w:space="0" w:color="auto"/>
        <w:right w:val="none" w:sz="0" w:space="0" w:color="auto"/>
      </w:divBdr>
      <w:divsChild>
        <w:div w:id="1335187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1685462">
      <w:bodyDiv w:val="1"/>
      <w:marLeft w:val="0"/>
      <w:marRight w:val="0"/>
      <w:marTop w:val="0"/>
      <w:marBottom w:val="0"/>
      <w:divBdr>
        <w:top w:val="none" w:sz="0" w:space="0" w:color="auto"/>
        <w:left w:val="none" w:sz="0" w:space="0" w:color="auto"/>
        <w:bottom w:val="none" w:sz="0" w:space="0" w:color="auto"/>
        <w:right w:val="none" w:sz="0" w:space="0" w:color="auto"/>
      </w:divBdr>
    </w:div>
    <w:div w:id="387920682">
      <w:bodyDiv w:val="1"/>
      <w:marLeft w:val="0"/>
      <w:marRight w:val="0"/>
      <w:marTop w:val="0"/>
      <w:marBottom w:val="0"/>
      <w:divBdr>
        <w:top w:val="none" w:sz="0" w:space="0" w:color="auto"/>
        <w:left w:val="none" w:sz="0" w:space="0" w:color="auto"/>
        <w:bottom w:val="none" w:sz="0" w:space="0" w:color="auto"/>
        <w:right w:val="none" w:sz="0" w:space="0" w:color="auto"/>
      </w:divBdr>
    </w:div>
    <w:div w:id="388916241">
      <w:bodyDiv w:val="1"/>
      <w:marLeft w:val="0"/>
      <w:marRight w:val="0"/>
      <w:marTop w:val="0"/>
      <w:marBottom w:val="0"/>
      <w:divBdr>
        <w:top w:val="none" w:sz="0" w:space="0" w:color="auto"/>
        <w:left w:val="none" w:sz="0" w:space="0" w:color="auto"/>
        <w:bottom w:val="none" w:sz="0" w:space="0" w:color="auto"/>
        <w:right w:val="none" w:sz="0" w:space="0" w:color="auto"/>
      </w:divBdr>
    </w:div>
    <w:div w:id="398676802">
      <w:bodyDiv w:val="1"/>
      <w:marLeft w:val="0"/>
      <w:marRight w:val="0"/>
      <w:marTop w:val="0"/>
      <w:marBottom w:val="0"/>
      <w:divBdr>
        <w:top w:val="none" w:sz="0" w:space="0" w:color="auto"/>
        <w:left w:val="none" w:sz="0" w:space="0" w:color="auto"/>
        <w:bottom w:val="none" w:sz="0" w:space="0" w:color="auto"/>
        <w:right w:val="none" w:sz="0" w:space="0" w:color="auto"/>
      </w:divBdr>
      <w:divsChild>
        <w:div w:id="168909741">
          <w:marLeft w:val="0"/>
          <w:marRight w:val="0"/>
          <w:marTop w:val="0"/>
          <w:marBottom w:val="0"/>
          <w:divBdr>
            <w:top w:val="none" w:sz="0" w:space="0" w:color="auto"/>
            <w:left w:val="none" w:sz="0" w:space="0" w:color="auto"/>
            <w:bottom w:val="none" w:sz="0" w:space="0" w:color="auto"/>
            <w:right w:val="none" w:sz="0" w:space="0" w:color="auto"/>
          </w:divBdr>
          <w:divsChild>
            <w:div w:id="18267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2308">
      <w:bodyDiv w:val="1"/>
      <w:marLeft w:val="0"/>
      <w:marRight w:val="0"/>
      <w:marTop w:val="0"/>
      <w:marBottom w:val="0"/>
      <w:divBdr>
        <w:top w:val="none" w:sz="0" w:space="0" w:color="auto"/>
        <w:left w:val="none" w:sz="0" w:space="0" w:color="auto"/>
        <w:bottom w:val="none" w:sz="0" w:space="0" w:color="auto"/>
        <w:right w:val="none" w:sz="0" w:space="0" w:color="auto"/>
      </w:divBdr>
    </w:div>
    <w:div w:id="441150381">
      <w:bodyDiv w:val="1"/>
      <w:marLeft w:val="0"/>
      <w:marRight w:val="0"/>
      <w:marTop w:val="0"/>
      <w:marBottom w:val="0"/>
      <w:divBdr>
        <w:top w:val="none" w:sz="0" w:space="0" w:color="auto"/>
        <w:left w:val="none" w:sz="0" w:space="0" w:color="auto"/>
        <w:bottom w:val="none" w:sz="0" w:space="0" w:color="auto"/>
        <w:right w:val="none" w:sz="0" w:space="0" w:color="auto"/>
      </w:divBdr>
    </w:div>
    <w:div w:id="468284312">
      <w:bodyDiv w:val="1"/>
      <w:marLeft w:val="0"/>
      <w:marRight w:val="0"/>
      <w:marTop w:val="0"/>
      <w:marBottom w:val="0"/>
      <w:divBdr>
        <w:top w:val="none" w:sz="0" w:space="0" w:color="auto"/>
        <w:left w:val="none" w:sz="0" w:space="0" w:color="auto"/>
        <w:bottom w:val="none" w:sz="0" w:space="0" w:color="auto"/>
        <w:right w:val="none" w:sz="0" w:space="0" w:color="auto"/>
      </w:divBdr>
      <w:divsChild>
        <w:div w:id="702563035">
          <w:marLeft w:val="0"/>
          <w:marRight w:val="0"/>
          <w:marTop w:val="0"/>
          <w:marBottom w:val="0"/>
          <w:divBdr>
            <w:top w:val="none" w:sz="0" w:space="0" w:color="auto"/>
            <w:left w:val="none" w:sz="0" w:space="0" w:color="auto"/>
            <w:bottom w:val="none" w:sz="0" w:space="0" w:color="auto"/>
            <w:right w:val="none" w:sz="0" w:space="0" w:color="auto"/>
          </w:divBdr>
          <w:divsChild>
            <w:div w:id="4105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9509">
      <w:bodyDiv w:val="1"/>
      <w:marLeft w:val="0"/>
      <w:marRight w:val="0"/>
      <w:marTop w:val="0"/>
      <w:marBottom w:val="0"/>
      <w:divBdr>
        <w:top w:val="none" w:sz="0" w:space="0" w:color="auto"/>
        <w:left w:val="none" w:sz="0" w:space="0" w:color="auto"/>
        <w:bottom w:val="none" w:sz="0" w:space="0" w:color="auto"/>
        <w:right w:val="none" w:sz="0" w:space="0" w:color="auto"/>
      </w:divBdr>
    </w:div>
    <w:div w:id="593709396">
      <w:bodyDiv w:val="1"/>
      <w:marLeft w:val="0"/>
      <w:marRight w:val="0"/>
      <w:marTop w:val="0"/>
      <w:marBottom w:val="0"/>
      <w:divBdr>
        <w:top w:val="none" w:sz="0" w:space="0" w:color="auto"/>
        <w:left w:val="none" w:sz="0" w:space="0" w:color="auto"/>
        <w:bottom w:val="none" w:sz="0" w:space="0" w:color="auto"/>
        <w:right w:val="none" w:sz="0" w:space="0" w:color="auto"/>
      </w:divBdr>
      <w:divsChild>
        <w:div w:id="829711745">
          <w:marLeft w:val="0"/>
          <w:marRight w:val="0"/>
          <w:marTop w:val="0"/>
          <w:marBottom w:val="0"/>
          <w:divBdr>
            <w:top w:val="none" w:sz="0" w:space="0" w:color="auto"/>
            <w:left w:val="none" w:sz="0" w:space="0" w:color="auto"/>
            <w:bottom w:val="none" w:sz="0" w:space="0" w:color="auto"/>
            <w:right w:val="none" w:sz="0" w:space="0" w:color="auto"/>
          </w:divBdr>
          <w:divsChild>
            <w:div w:id="5799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6600">
      <w:bodyDiv w:val="1"/>
      <w:marLeft w:val="0"/>
      <w:marRight w:val="0"/>
      <w:marTop w:val="0"/>
      <w:marBottom w:val="0"/>
      <w:divBdr>
        <w:top w:val="none" w:sz="0" w:space="0" w:color="auto"/>
        <w:left w:val="none" w:sz="0" w:space="0" w:color="auto"/>
        <w:bottom w:val="none" w:sz="0" w:space="0" w:color="auto"/>
        <w:right w:val="none" w:sz="0" w:space="0" w:color="auto"/>
      </w:divBdr>
    </w:div>
    <w:div w:id="609554966">
      <w:bodyDiv w:val="1"/>
      <w:marLeft w:val="0"/>
      <w:marRight w:val="0"/>
      <w:marTop w:val="0"/>
      <w:marBottom w:val="0"/>
      <w:divBdr>
        <w:top w:val="none" w:sz="0" w:space="0" w:color="auto"/>
        <w:left w:val="none" w:sz="0" w:space="0" w:color="auto"/>
        <w:bottom w:val="none" w:sz="0" w:space="0" w:color="auto"/>
        <w:right w:val="none" w:sz="0" w:space="0" w:color="auto"/>
      </w:divBdr>
    </w:div>
    <w:div w:id="610476969">
      <w:bodyDiv w:val="1"/>
      <w:marLeft w:val="0"/>
      <w:marRight w:val="0"/>
      <w:marTop w:val="0"/>
      <w:marBottom w:val="0"/>
      <w:divBdr>
        <w:top w:val="none" w:sz="0" w:space="0" w:color="auto"/>
        <w:left w:val="none" w:sz="0" w:space="0" w:color="auto"/>
        <w:bottom w:val="none" w:sz="0" w:space="0" w:color="auto"/>
        <w:right w:val="none" w:sz="0" w:space="0" w:color="auto"/>
      </w:divBdr>
    </w:div>
    <w:div w:id="631402328">
      <w:bodyDiv w:val="1"/>
      <w:marLeft w:val="0"/>
      <w:marRight w:val="0"/>
      <w:marTop w:val="0"/>
      <w:marBottom w:val="0"/>
      <w:divBdr>
        <w:top w:val="none" w:sz="0" w:space="0" w:color="auto"/>
        <w:left w:val="none" w:sz="0" w:space="0" w:color="auto"/>
        <w:bottom w:val="none" w:sz="0" w:space="0" w:color="auto"/>
        <w:right w:val="none" w:sz="0" w:space="0" w:color="auto"/>
      </w:divBdr>
    </w:div>
    <w:div w:id="660086167">
      <w:bodyDiv w:val="1"/>
      <w:marLeft w:val="0"/>
      <w:marRight w:val="0"/>
      <w:marTop w:val="0"/>
      <w:marBottom w:val="0"/>
      <w:divBdr>
        <w:top w:val="none" w:sz="0" w:space="0" w:color="auto"/>
        <w:left w:val="none" w:sz="0" w:space="0" w:color="auto"/>
        <w:bottom w:val="none" w:sz="0" w:space="0" w:color="auto"/>
        <w:right w:val="none" w:sz="0" w:space="0" w:color="auto"/>
      </w:divBdr>
    </w:div>
    <w:div w:id="673191773">
      <w:bodyDiv w:val="1"/>
      <w:marLeft w:val="0"/>
      <w:marRight w:val="0"/>
      <w:marTop w:val="0"/>
      <w:marBottom w:val="0"/>
      <w:divBdr>
        <w:top w:val="none" w:sz="0" w:space="0" w:color="auto"/>
        <w:left w:val="none" w:sz="0" w:space="0" w:color="auto"/>
        <w:bottom w:val="none" w:sz="0" w:space="0" w:color="auto"/>
        <w:right w:val="none" w:sz="0" w:space="0" w:color="auto"/>
      </w:divBdr>
      <w:divsChild>
        <w:div w:id="1368144691">
          <w:marLeft w:val="0"/>
          <w:marRight w:val="0"/>
          <w:marTop w:val="0"/>
          <w:marBottom w:val="0"/>
          <w:divBdr>
            <w:top w:val="none" w:sz="0" w:space="0" w:color="auto"/>
            <w:left w:val="none" w:sz="0" w:space="0" w:color="auto"/>
            <w:bottom w:val="none" w:sz="0" w:space="0" w:color="auto"/>
            <w:right w:val="none" w:sz="0" w:space="0" w:color="auto"/>
          </w:divBdr>
          <w:divsChild>
            <w:div w:id="295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8946">
      <w:bodyDiv w:val="1"/>
      <w:marLeft w:val="0"/>
      <w:marRight w:val="0"/>
      <w:marTop w:val="0"/>
      <w:marBottom w:val="0"/>
      <w:divBdr>
        <w:top w:val="none" w:sz="0" w:space="0" w:color="auto"/>
        <w:left w:val="none" w:sz="0" w:space="0" w:color="auto"/>
        <w:bottom w:val="none" w:sz="0" w:space="0" w:color="auto"/>
        <w:right w:val="none" w:sz="0" w:space="0" w:color="auto"/>
      </w:divBdr>
    </w:div>
    <w:div w:id="678627391">
      <w:bodyDiv w:val="1"/>
      <w:marLeft w:val="0"/>
      <w:marRight w:val="0"/>
      <w:marTop w:val="0"/>
      <w:marBottom w:val="0"/>
      <w:divBdr>
        <w:top w:val="none" w:sz="0" w:space="0" w:color="auto"/>
        <w:left w:val="none" w:sz="0" w:space="0" w:color="auto"/>
        <w:bottom w:val="none" w:sz="0" w:space="0" w:color="auto"/>
        <w:right w:val="none" w:sz="0" w:space="0" w:color="auto"/>
      </w:divBdr>
      <w:divsChild>
        <w:div w:id="137253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4139052">
      <w:bodyDiv w:val="1"/>
      <w:marLeft w:val="0"/>
      <w:marRight w:val="0"/>
      <w:marTop w:val="0"/>
      <w:marBottom w:val="0"/>
      <w:divBdr>
        <w:top w:val="none" w:sz="0" w:space="0" w:color="auto"/>
        <w:left w:val="none" w:sz="0" w:space="0" w:color="auto"/>
        <w:bottom w:val="none" w:sz="0" w:space="0" w:color="auto"/>
        <w:right w:val="none" w:sz="0" w:space="0" w:color="auto"/>
      </w:divBdr>
    </w:div>
    <w:div w:id="757792806">
      <w:bodyDiv w:val="1"/>
      <w:marLeft w:val="0"/>
      <w:marRight w:val="0"/>
      <w:marTop w:val="0"/>
      <w:marBottom w:val="0"/>
      <w:divBdr>
        <w:top w:val="none" w:sz="0" w:space="0" w:color="auto"/>
        <w:left w:val="none" w:sz="0" w:space="0" w:color="auto"/>
        <w:bottom w:val="none" w:sz="0" w:space="0" w:color="auto"/>
        <w:right w:val="none" w:sz="0" w:space="0" w:color="auto"/>
      </w:divBdr>
      <w:divsChild>
        <w:div w:id="1997759910">
          <w:marLeft w:val="0"/>
          <w:marRight w:val="0"/>
          <w:marTop w:val="0"/>
          <w:marBottom w:val="0"/>
          <w:divBdr>
            <w:top w:val="none" w:sz="0" w:space="0" w:color="auto"/>
            <w:left w:val="none" w:sz="0" w:space="0" w:color="auto"/>
            <w:bottom w:val="none" w:sz="0" w:space="0" w:color="auto"/>
            <w:right w:val="none" w:sz="0" w:space="0" w:color="auto"/>
          </w:divBdr>
          <w:divsChild>
            <w:div w:id="10901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3577">
      <w:bodyDiv w:val="1"/>
      <w:marLeft w:val="0"/>
      <w:marRight w:val="0"/>
      <w:marTop w:val="0"/>
      <w:marBottom w:val="0"/>
      <w:divBdr>
        <w:top w:val="none" w:sz="0" w:space="0" w:color="auto"/>
        <w:left w:val="none" w:sz="0" w:space="0" w:color="auto"/>
        <w:bottom w:val="none" w:sz="0" w:space="0" w:color="auto"/>
        <w:right w:val="none" w:sz="0" w:space="0" w:color="auto"/>
      </w:divBdr>
    </w:div>
    <w:div w:id="810170260">
      <w:bodyDiv w:val="1"/>
      <w:marLeft w:val="0"/>
      <w:marRight w:val="0"/>
      <w:marTop w:val="0"/>
      <w:marBottom w:val="0"/>
      <w:divBdr>
        <w:top w:val="none" w:sz="0" w:space="0" w:color="auto"/>
        <w:left w:val="none" w:sz="0" w:space="0" w:color="auto"/>
        <w:bottom w:val="none" w:sz="0" w:space="0" w:color="auto"/>
        <w:right w:val="none" w:sz="0" w:space="0" w:color="auto"/>
      </w:divBdr>
    </w:div>
    <w:div w:id="870415138">
      <w:bodyDiv w:val="1"/>
      <w:marLeft w:val="0"/>
      <w:marRight w:val="0"/>
      <w:marTop w:val="0"/>
      <w:marBottom w:val="0"/>
      <w:divBdr>
        <w:top w:val="none" w:sz="0" w:space="0" w:color="auto"/>
        <w:left w:val="none" w:sz="0" w:space="0" w:color="auto"/>
        <w:bottom w:val="none" w:sz="0" w:space="0" w:color="auto"/>
        <w:right w:val="none" w:sz="0" w:space="0" w:color="auto"/>
      </w:divBdr>
    </w:div>
    <w:div w:id="871117141">
      <w:bodyDiv w:val="1"/>
      <w:marLeft w:val="0"/>
      <w:marRight w:val="0"/>
      <w:marTop w:val="0"/>
      <w:marBottom w:val="0"/>
      <w:divBdr>
        <w:top w:val="none" w:sz="0" w:space="0" w:color="auto"/>
        <w:left w:val="none" w:sz="0" w:space="0" w:color="auto"/>
        <w:bottom w:val="none" w:sz="0" w:space="0" w:color="auto"/>
        <w:right w:val="none" w:sz="0" w:space="0" w:color="auto"/>
      </w:divBdr>
      <w:divsChild>
        <w:div w:id="1034380273">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929971477">
      <w:bodyDiv w:val="1"/>
      <w:marLeft w:val="0"/>
      <w:marRight w:val="0"/>
      <w:marTop w:val="0"/>
      <w:marBottom w:val="0"/>
      <w:divBdr>
        <w:top w:val="none" w:sz="0" w:space="0" w:color="auto"/>
        <w:left w:val="none" w:sz="0" w:space="0" w:color="auto"/>
        <w:bottom w:val="none" w:sz="0" w:space="0" w:color="auto"/>
        <w:right w:val="none" w:sz="0" w:space="0" w:color="auto"/>
      </w:divBdr>
      <w:divsChild>
        <w:div w:id="177239761">
          <w:marLeft w:val="0"/>
          <w:marRight w:val="0"/>
          <w:marTop w:val="0"/>
          <w:marBottom w:val="0"/>
          <w:divBdr>
            <w:top w:val="none" w:sz="0" w:space="0" w:color="auto"/>
            <w:left w:val="none" w:sz="0" w:space="0" w:color="auto"/>
            <w:bottom w:val="none" w:sz="0" w:space="0" w:color="auto"/>
            <w:right w:val="none" w:sz="0" w:space="0" w:color="auto"/>
          </w:divBdr>
        </w:div>
      </w:divsChild>
    </w:div>
    <w:div w:id="956184929">
      <w:bodyDiv w:val="1"/>
      <w:marLeft w:val="0"/>
      <w:marRight w:val="0"/>
      <w:marTop w:val="0"/>
      <w:marBottom w:val="0"/>
      <w:divBdr>
        <w:top w:val="none" w:sz="0" w:space="0" w:color="auto"/>
        <w:left w:val="none" w:sz="0" w:space="0" w:color="auto"/>
        <w:bottom w:val="none" w:sz="0" w:space="0" w:color="auto"/>
        <w:right w:val="none" w:sz="0" w:space="0" w:color="auto"/>
      </w:divBdr>
    </w:div>
    <w:div w:id="957878727">
      <w:bodyDiv w:val="1"/>
      <w:marLeft w:val="0"/>
      <w:marRight w:val="0"/>
      <w:marTop w:val="0"/>
      <w:marBottom w:val="0"/>
      <w:divBdr>
        <w:top w:val="none" w:sz="0" w:space="0" w:color="auto"/>
        <w:left w:val="none" w:sz="0" w:space="0" w:color="auto"/>
        <w:bottom w:val="none" w:sz="0" w:space="0" w:color="auto"/>
        <w:right w:val="none" w:sz="0" w:space="0" w:color="auto"/>
      </w:divBdr>
    </w:div>
    <w:div w:id="980574976">
      <w:bodyDiv w:val="1"/>
      <w:marLeft w:val="0"/>
      <w:marRight w:val="0"/>
      <w:marTop w:val="0"/>
      <w:marBottom w:val="0"/>
      <w:divBdr>
        <w:top w:val="none" w:sz="0" w:space="0" w:color="auto"/>
        <w:left w:val="none" w:sz="0" w:space="0" w:color="auto"/>
        <w:bottom w:val="none" w:sz="0" w:space="0" w:color="auto"/>
        <w:right w:val="none" w:sz="0" w:space="0" w:color="auto"/>
      </w:divBdr>
    </w:div>
    <w:div w:id="989095699">
      <w:bodyDiv w:val="1"/>
      <w:marLeft w:val="0"/>
      <w:marRight w:val="0"/>
      <w:marTop w:val="0"/>
      <w:marBottom w:val="0"/>
      <w:divBdr>
        <w:top w:val="none" w:sz="0" w:space="0" w:color="auto"/>
        <w:left w:val="none" w:sz="0" w:space="0" w:color="auto"/>
        <w:bottom w:val="none" w:sz="0" w:space="0" w:color="auto"/>
        <w:right w:val="none" w:sz="0" w:space="0" w:color="auto"/>
      </w:divBdr>
      <w:divsChild>
        <w:div w:id="976374689">
          <w:marLeft w:val="0"/>
          <w:marRight w:val="0"/>
          <w:marTop w:val="0"/>
          <w:marBottom w:val="0"/>
          <w:divBdr>
            <w:top w:val="none" w:sz="0" w:space="0" w:color="auto"/>
            <w:left w:val="none" w:sz="0" w:space="0" w:color="auto"/>
            <w:bottom w:val="none" w:sz="0" w:space="0" w:color="auto"/>
            <w:right w:val="none" w:sz="0" w:space="0" w:color="auto"/>
          </w:divBdr>
        </w:div>
      </w:divsChild>
    </w:div>
    <w:div w:id="1021130073">
      <w:bodyDiv w:val="1"/>
      <w:marLeft w:val="0"/>
      <w:marRight w:val="0"/>
      <w:marTop w:val="0"/>
      <w:marBottom w:val="0"/>
      <w:divBdr>
        <w:top w:val="none" w:sz="0" w:space="0" w:color="auto"/>
        <w:left w:val="none" w:sz="0" w:space="0" w:color="auto"/>
        <w:bottom w:val="none" w:sz="0" w:space="0" w:color="auto"/>
        <w:right w:val="none" w:sz="0" w:space="0" w:color="auto"/>
      </w:divBdr>
    </w:div>
    <w:div w:id="1032419303">
      <w:bodyDiv w:val="1"/>
      <w:marLeft w:val="0"/>
      <w:marRight w:val="0"/>
      <w:marTop w:val="0"/>
      <w:marBottom w:val="0"/>
      <w:divBdr>
        <w:top w:val="none" w:sz="0" w:space="0" w:color="auto"/>
        <w:left w:val="none" w:sz="0" w:space="0" w:color="auto"/>
        <w:bottom w:val="none" w:sz="0" w:space="0" w:color="auto"/>
        <w:right w:val="none" w:sz="0" w:space="0" w:color="auto"/>
      </w:divBdr>
      <w:divsChild>
        <w:div w:id="140276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073527">
      <w:bodyDiv w:val="1"/>
      <w:marLeft w:val="0"/>
      <w:marRight w:val="0"/>
      <w:marTop w:val="0"/>
      <w:marBottom w:val="0"/>
      <w:divBdr>
        <w:top w:val="none" w:sz="0" w:space="0" w:color="auto"/>
        <w:left w:val="none" w:sz="0" w:space="0" w:color="auto"/>
        <w:bottom w:val="none" w:sz="0" w:space="0" w:color="auto"/>
        <w:right w:val="none" w:sz="0" w:space="0" w:color="auto"/>
      </w:divBdr>
      <w:divsChild>
        <w:div w:id="151986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516200">
      <w:bodyDiv w:val="1"/>
      <w:marLeft w:val="0"/>
      <w:marRight w:val="0"/>
      <w:marTop w:val="0"/>
      <w:marBottom w:val="0"/>
      <w:divBdr>
        <w:top w:val="none" w:sz="0" w:space="0" w:color="auto"/>
        <w:left w:val="none" w:sz="0" w:space="0" w:color="auto"/>
        <w:bottom w:val="none" w:sz="0" w:space="0" w:color="auto"/>
        <w:right w:val="none" w:sz="0" w:space="0" w:color="auto"/>
      </w:divBdr>
    </w:div>
    <w:div w:id="1132090825">
      <w:bodyDiv w:val="1"/>
      <w:marLeft w:val="0"/>
      <w:marRight w:val="0"/>
      <w:marTop w:val="0"/>
      <w:marBottom w:val="0"/>
      <w:divBdr>
        <w:top w:val="none" w:sz="0" w:space="0" w:color="auto"/>
        <w:left w:val="none" w:sz="0" w:space="0" w:color="auto"/>
        <w:bottom w:val="none" w:sz="0" w:space="0" w:color="auto"/>
        <w:right w:val="none" w:sz="0" w:space="0" w:color="auto"/>
      </w:divBdr>
    </w:div>
    <w:div w:id="1156187605">
      <w:bodyDiv w:val="1"/>
      <w:marLeft w:val="0"/>
      <w:marRight w:val="0"/>
      <w:marTop w:val="0"/>
      <w:marBottom w:val="0"/>
      <w:divBdr>
        <w:top w:val="none" w:sz="0" w:space="0" w:color="auto"/>
        <w:left w:val="none" w:sz="0" w:space="0" w:color="auto"/>
        <w:bottom w:val="none" w:sz="0" w:space="0" w:color="auto"/>
        <w:right w:val="none" w:sz="0" w:space="0" w:color="auto"/>
      </w:divBdr>
    </w:div>
    <w:div w:id="1188521073">
      <w:bodyDiv w:val="1"/>
      <w:marLeft w:val="0"/>
      <w:marRight w:val="0"/>
      <w:marTop w:val="0"/>
      <w:marBottom w:val="0"/>
      <w:divBdr>
        <w:top w:val="none" w:sz="0" w:space="0" w:color="auto"/>
        <w:left w:val="none" w:sz="0" w:space="0" w:color="auto"/>
        <w:bottom w:val="none" w:sz="0" w:space="0" w:color="auto"/>
        <w:right w:val="none" w:sz="0" w:space="0" w:color="auto"/>
      </w:divBdr>
      <w:divsChild>
        <w:div w:id="1650667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9027655">
      <w:bodyDiv w:val="1"/>
      <w:marLeft w:val="0"/>
      <w:marRight w:val="0"/>
      <w:marTop w:val="0"/>
      <w:marBottom w:val="0"/>
      <w:divBdr>
        <w:top w:val="none" w:sz="0" w:space="0" w:color="auto"/>
        <w:left w:val="none" w:sz="0" w:space="0" w:color="auto"/>
        <w:bottom w:val="none" w:sz="0" w:space="0" w:color="auto"/>
        <w:right w:val="none" w:sz="0" w:space="0" w:color="auto"/>
      </w:divBdr>
      <w:divsChild>
        <w:div w:id="892354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702871">
      <w:bodyDiv w:val="1"/>
      <w:marLeft w:val="0"/>
      <w:marRight w:val="0"/>
      <w:marTop w:val="0"/>
      <w:marBottom w:val="0"/>
      <w:divBdr>
        <w:top w:val="none" w:sz="0" w:space="0" w:color="auto"/>
        <w:left w:val="none" w:sz="0" w:space="0" w:color="auto"/>
        <w:bottom w:val="none" w:sz="0" w:space="0" w:color="auto"/>
        <w:right w:val="none" w:sz="0" w:space="0" w:color="auto"/>
      </w:divBdr>
    </w:div>
    <w:div w:id="1250693141">
      <w:bodyDiv w:val="1"/>
      <w:marLeft w:val="0"/>
      <w:marRight w:val="0"/>
      <w:marTop w:val="0"/>
      <w:marBottom w:val="0"/>
      <w:divBdr>
        <w:top w:val="none" w:sz="0" w:space="0" w:color="auto"/>
        <w:left w:val="none" w:sz="0" w:space="0" w:color="auto"/>
        <w:bottom w:val="none" w:sz="0" w:space="0" w:color="auto"/>
        <w:right w:val="none" w:sz="0" w:space="0" w:color="auto"/>
      </w:divBdr>
    </w:div>
    <w:div w:id="1269241529">
      <w:bodyDiv w:val="1"/>
      <w:marLeft w:val="0"/>
      <w:marRight w:val="0"/>
      <w:marTop w:val="0"/>
      <w:marBottom w:val="0"/>
      <w:divBdr>
        <w:top w:val="none" w:sz="0" w:space="0" w:color="auto"/>
        <w:left w:val="none" w:sz="0" w:space="0" w:color="auto"/>
        <w:bottom w:val="none" w:sz="0" w:space="0" w:color="auto"/>
        <w:right w:val="none" w:sz="0" w:space="0" w:color="auto"/>
      </w:divBdr>
      <w:divsChild>
        <w:div w:id="2132311361">
          <w:marLeft w:val="0"/>
          <w:marRight w:val="0"/>
          <w:marTop w:val="0"/>
          <w:marBottom w:val="0"/>
          <w:divBdr>
            <w:top w:val="none" w:sz="0" w:space="0" w:color="auto"/>
            <w:left w:val="none" w:sz="0" w:space="0" w:color="auto"/>
            <w:bottom w:val="none" w:sz="0" w:space="0" w:color="auto"/>
            <w:right w:val="none" w:sz="0" w:space="0" w:color="auto"/>
          </w:divBdr>
          <w:divsChild>
            <w:div w:id="62049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2164">
      <w:bodyDiv w:val="1"/>
      <w:marLeft w:val="0"/>
      <w:marRight w:val="0"/>
      <w:marTop w:val="0"/>
      <w:marBottom w:val="0"/>
      <w:divBdr>
        <w:top w:val="none" w:sz="0" w:space="0" w:color="auto"/>
        <w:left w:val="none" w:sz="0" w:space="0" w:color="auto"/>
        <w:bottom w:val="none" w:sz="0" w:space="0" w:color="auto"/>
        <w:right w:val="none" w:sz="0" w:space="0" w:color="auto"/>
      </w:divBdr>
      <w:divsChild>
        <w:div w:id="1190677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978188">
      <w:bodyDiv w:val="1"/>
      <w:marLeft w:val="0"/>
      <w:marRight w:val="0"/>
      <w:marTop w:val="0"/>
      <w:marBottom w:val="0"/>
      <w:divBdr>
        <w:top w:val="none" w:sz="0" w:space="0" w:color="auto"/>
        <w:left w:val="none" w:sz="0" w:space="0" w:color="auto"/>
        <w:bottom w:val="none" w:sz="0" w:space="0" w:color="auto"/>
        <w:right w:val="none" w:sz="0" w:space="0" w:color="auto"/>
      </w:divBdr>
    </w:div>
    <w:div w:id="1300653214">
      <w:bodyDiv w:val="1"/>
      <w:marLeft w:val="0"/>
      <w:marRight w:val="0"/>
      <w:marTop w:val="0"/>
      <w:marBottom w:val="0"/>
      <w:divBdr>
        <w:top w:val="none" w:sz="0" w:space="0" w:color="auto"/>
        <w:left w:val="none" w:sz="0" w:space="0" w:color="auto"/>
        <w:bottom w:val="none" w:sz="0" w:space="0" w:color="auto"/>
        <w:right w:val="none" w:sz="0" w:space="0" w:color="auto"/>
      </w:divBdr>
    </w:div>
    <w:div w:id="1307206187">
      <w:bodyDiv w:val="1"/>
      <w:marLeft w:val="0"/>
      <w:marRight w:val="0"/>
      <w:marTop w:val="0"/>
      <w:marBottom w:val="0"/>
      <w:divBdr>
        <w:top w:val="none" w:sz="0" w:space="0" w:color="auto"/>
        <w:left w:val="none" w:sz="0" w:space="0" w:color="auto"/>
        <w:bottom w:val="none" w:sz="0" w:space="0" w:color="auto"/>
        <w:right w:val="none" w:sz="0" w:space="0" w:color="auto"/>
      </w:divBdr>
    </w:div>
    <w:div w:id="1329482539">
      <w:bodyDiv w:val="1"/>
      <w:marLeft w:val="0"/>
      <w:marRight w:val="0"/>
      <w:marTop w:val="0"/>
      <w:marBottom w:val="0"/>
      <w:divBdr>
        <w:top w:val="none" w:sz="0" w:space="0" w:color="auto"/>
        <w:left w:val="none" w:sz="0" w:space="0" w:color="auto"/>
        <w:bottom w:val="none" w:sz="0" w:space="0" w:color="auto"/>
        <w:right w:val="none" w:sz="0" w:space="0" w:color="auto"/>
      </w:divBdr>
    </w:div>
    <w:div w:id="1404645932">
      <w:bodyDiv w:val="1"/>
      <w:marLeft w:val="0"/>
      <w:marRight w:val="0"/>
      <w:marTop w:val="0"/>
      <w:marBottom w:val="0"/>
      <w:divBdr>
        <w:top w:val="none" w:sz="0" w:space="0" w:color="auto"/>
        <w:left w:val="none" w:sz="0" w:space="0" w:color="auto"/>
        <w:bottom w:val="none" w:sz="0" w:space="0" w:color="auto"/>
        <w:right w:val="none" w:sz="0" w:space="0" w:color="auto"/>
      </w:divBdr>
    </w:div>
    <w:div w:id="1409038185">
      <w:bodyDiv w:val="1"/>
      <w:marLeft w:val="0"/>
      <w:marRight w:val="0"/>
      <w:marTop w:val="0"/>
      <w:marBottom w:val="0"/>
      <w:divBdr>
        <w:top w:val="none" w:sz="0" w:space="0" w:color="auto"/>
        <w:left w:val="none" w:sz="0" w:space="0" w:color="auto"/>
        <w:bottom w:val="none" w:sz="0" w:space="0" w:color="auto"/>
        <w:right w:val="none" w:sz="0" w:space="0" w:color="auto"/>
      </w:divBdr>
    </w:div>
    <w:div w:id="1461915715">
      <w:bodyDiv w:val="1"/>
      <w:marLeft w:val="0"/>
      <w:marRight w:val="0"/>
      <w:marTop w:val="0"/>
      <w:marBottom w:val="0"/>
      <w:divBdr>
        <w:top w:val="none" w:sz="0" w:space="0" w:color="auto"/>
        <w:left w:val="none" w:sz="0" w:space="0" w:color="auto"/>
        <w:bottom w:val="none" w:sz="0" w:space="0" w:color="auto"/>
        <w:right w:val="none" w:sz="0" w:space="0" w:color="auto"/>
      </w:divBdr>
    </w:div>
    <w:div w:id="1472598057">
      <w:bodyDiv w:val="1"/>
      <w:marLeft w:val="0"/>
      <w:marRight w:val="0"/>
      <w:marTop w:val="0"/>
      <w:marBottom w:val="0"/>
      <w:divBdr>
        <w:top w:val="none" w:sz="0" w:space="0" w:color="auto"/>
        <w:left w:val="none" w:sz="0" w:space="0" w:color="auto"/>
        <w:bottom w:val="none" w:sz="0" w:space="0" w:color="auto"/>
        <w:right w:val="none" w:sz="0" w:space="0" w:color="auto"/>
      </w:divBdr>
      <w:divsChild>
        <w:div w:id="739908469">
          <w:marLeft w:val="0"/>
          <w:marRight w:val="0"/>
          <w:marTop w:val="0"/>
          <w:marBottom w:val="0"/>
          <w:divBdr>
            <w:top w:val="none" w:sz="0" w:space="0" w:color="auto"/>
            <w:left w:val="none" w:sz="0" w:space="0" w:color="auto"/>
            <w:bottom w:val="none" w:sz="0" w:space="0" w:color="auto"/>
            <w:right w:val="none" w:sz="0" w:space="0" w:color="auto"/>
          </w:divBdr>
          <w:divsChild>
            <w:div w:id="19485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4630">
      <w:bodyDiv w:val="1"/>
      <w:marLeft w:val="0"/>
      <w:marRight w:val="0"/>
      <w:marTop w:val="0"/>
      <w:marBottom w:val="0"/>
      <w:divBdr>
        <w:top w:val="none" w:sz="0" w:space="0" w:color="auto"/>
        <w:left w:val="none" w:sz="0" w:space="0" w:color="auto"/>
        <w:bottom w:val="none" w:sz="0" w:space="0" w:color="auto"/>
        <w:right w:val="none" w:sz="0" w:space="0" w:color="auto"/>
      </w:divBdr>
    </w:div>
    <w:div w:id="1525052929">
      <w:bodyDiv w:val="1"/>
      <w:marLeft w:val="0"/>
      <w:marRight w:val="0"/>
      <w:marTop w:val="0"/>
      <w:marBottom w:val="0"/>
      <w:divBdr>
        <w:top w:val="none" w:sz="0" w:space="0" w:color="auto"/>
        <w:left w:val="none" w:sz="0" w:space="0" w:color="auto"/>
        <w:bottom w:val="none" w:sz="0" w:space="0" w:color="auto"/>
        <w:right w:val="none" w:sz="0" w:space="0" w:color="auto"/>
      </w:divBdr>
    </w:div>
    <w:div w:id="1590113739">
      <w:bodyDiv w:val="1"/>
      <w:marLeft w:val="0"/>
      <w:marRight w:val="0"/>
      <w:marTop w:val="0"/>
      <w:marBottom w:val="0"/>
      <w:divBdr>
        <w:top w:val="none" w:sz="0" w:space="0" w:color="auto"/>
        <w:left w:val="none" w:sz="0" w:space="0" w:color="auto"/>
        <w:bottom w:val="none" w:sz="0" w:space="0" w:color="auto"/>
        <w:right w:val="none" w:sz="0" w:space="0" w:color="auto"/>
      </w:divBdr>
    </w:div>
    <w:div w:id="1635866444">
      <w:bodyDiv w:val="1"/>
      <w:marLeft w:val="0"/>
      <w:marRight w:val="0"/>
      <w:marTop w:val="0"/>
      <w:marBottom w:val="0"/>
      <w:divBdr>
        <w:top w:val="none" w:sz="0" w:space="0" w:color="auto"/>
        <w:left w:val="none" w:sz="0" w:space="0" w:color="auto"/>
        <w:bottom w:val="none" w:sz="0" w:space="0" w:color="auto"/>
        <w:right w:val="none" w:sz="0" w:space="0" w:color="auto"/>
      </w:divBdr>
    </w:div>
    <w:div w:id="1641231523">
      <w:bodyDiv w:val="1"/>
      <w:marLeft w:val="0"/>
      <w:marRight w:val="0"/>
      <w:marTop w:val="0"/>
      <w:marBottom w:val="0"/>
      <w:divBdr>
        <w:top w:val="none" w:sz="0" w:space="0" w:color="auto"/>
        <w:left w:val="none" w:sz="0" w:space="0" w:color="auto"/>
        <w:bottom w:val="none" w:sz="0" w:space="0" w:color="auto"/>
        <w:right w:val="none" w:sz="0" w:space="0" w:color="auto"/>
      </w:divBdr>
    </w:div>
    <w:div w:id="1675035023">
      <w:bodyDiv w:val="1"/>
      <w:marLeft w:val="0"/>
      <w:marRight w:val="0"/>
      <w:marTop w:val="0"/>
      <w:marBottom w:val="0"/>
      <w:divBdr>
        <w:top w:val="none" w:sz="0" w:space="0" w:color="auto"/>
        <w:left w:val="none" w:sz="0" w:space="0" w:color="auto"/>
        <w:bottom w:val="none" w:sz="0" w:space="0" w:color="auto"/>
        <w:right w:val="none" w:sz="0" w:space="0" w:color="auto"/>
      </w:divBdr>
      <w:divsChild>
        <w:div w:id="1868982215">
          <w:marLeft w:val="0"/>
          <w:marRight w:val="0"/>
          <w:marTop w:val="0"/>
          <w:marBottom w:val="0"/>
          <w:divBdr>
            <w:top w:val="none" w:sz="0" w:space="0" w:color="auto"/>
            <w:left w:val="none" w:sz="0" w:space="0" w:color="auto"/>
            <w:bottom w:val="none" w:sz="0" w:space="0" w:color="auto"/>
            <w:right w:val="none" w:sz="0" w:space="0" w:color="auto"/>
          </w:divBdr>
        </w:div>
      </w:divsChild>
    </w:div>
    <w:div w:id="1691030553">
      <w:bodyDiv w:val="1"/>
      <w:marLeft w:val="0"/>
      <w:marRight w:val="0"/>
      <w:marTop w:val="0"/>
      <w:marBottom w:val="0"/>
      <w:divBdr>
        <w:top w:val="none" w:sz="0" w:space="0" w:color="auto"/>
        <w:left w:val="none" w:sz="0" w:space="0" w:color="auto"/>
        <w:bottom w:val="none" w:sz="0" w:space="0" w:color="auto"/>
        <w:right w:val="none" w:sz="0" w:space="0" w:color="auto"/>
      </w:divBdr>
    </w:div>
    <w:div w:id="1802841670">
      <w:bodyDiv w:val="1"/>
      <w:marLeft w:val="0"/>
      <w:marRight w:val="0"/>
      <w:marTop w:val="0"/>
      <w:marBottom w:val="0"/>
      <w:divBdr>
        <w:top w:val="none" w:sz="0" w:space="0" w:color="auto"/>
        <w:left w:val="none" w:sz="0" w:space="0" w:color="auto"/>
        <w:bottom w:val="none" w:sz="0" w:space="0" w:color="auto"/>
        <w:right w:val="none" w:sz="0" w:space="0" w:color="auto"/>
      </w:divBdr>
    </w:div>
    <w:div w:id="1847941172">
      <w:bodyDiv w:val="1"/>
      <w:marLeft w:val="0"/>
      <w:marRight w:val="0"/>
      <w:marTop w:val="0"/>
      <w:marBottom w:val="0"/>
      <w:divBdr>
        <w:top w:val="none" w:sz="0" w:space="0" w:color="auto"/>
        <w:left w:val="none" w:sz="0" w:space="0" w:color="auto"/>
        <w:bottom w:val="none" w:sz="0" w:space="0" w:color="auto"/>
        <w:right w:val="none" w:sz="0" w:space="0" w:color="auto"/>
      </w:divBdr>
      <w:divsChild>
        <w:div w:id="1587347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782756">
      <w:bodyDiv w:val="1"/>
      <w:marLeft w:val="0"/>
      <w:marRight w:val="0"/>
      <w:marTop w:val="0"/>
      <w:marBottom w:val="0"/>
      <w:divBdr>
        <w:top w:val="none" w:sz="0" w:space="0" w:color="auto"/>
        <w:left w:val="none" w:sz="0" w:space="0" w:color="auto"/>
        <w:bottom w:val="none" w:sz="0" w:space="0" w:color="auto"/>
        <w:right w:val="none" w:sz="0" w:space="0" w:color="auto"/>
      </w:divBdr>
    </w:div>
    <w:div w:id="1913930916">
      <w:bodyDiv w:val="1"/>
      <w:marLeft w:val="0"/>
      <w:marRight w:val="0"/>
      <w:marTop w:val="0"/>
      <w:marBottom w:val="0"/>
      <w:divBdr>
        <w:top w:val="none" w:sz="0" w:space="0" w:color="auto"/>
        <w:left w:val="none" w:sz="0" w:space="0" w:color="auto"/>
        <w:bottom w:val="none" w:sz="0" w:space="0" w:color="auto"/>
        <w:right w:val="none" w:sz="0" w:space="0" w:color="auto"/>
      </w:divBdr>
    </w:div>
    <w:div w:id="1935085930">
      <w:bodyDiv w:val="1"/>
      <w:marLeft w:val="0"/>
      <w:marRight w:val="0"/>
      <w:marTop w:val="0"/>
      <w:marBottom w:val="0"/>
      <w:divBdr>
        <w:top w:val="none" w:sz="0" w:space="0" w:color="auto"/>
        <w:left w:val="none" w:sz="0" w:space="0" w:color="auto"/>
        <w:bottom w:val="none" w:sz="0" w:space="0" w:color="auto"/>
        <w:right w:val="none" w:sz="0" w:space="0" w:color="auto"/>
      </w:divBdr>
      <w:divsChild>
        <w:div w:id="73833055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962225810">
      <w:bodyDiv w:val="1"/>
      <w:marLeft w:val="0"/>
      <w:marRight w:val="0"/>
      <w:marTop w:val="0"/>
      <w:marBottom w:val="0"/>
      <w:divBdr>
        <w:top w:val="none" w:sz="0" w:space="0" w:color="auto"/>
        <w:left w:val="none" w:sz="0" w:space="0" w:color="auto"/>
        <w:bottom w:val="none" w:sz="0" w:space="0" w:color="auto"/>
        <w:right w:val="none" w:sz="0" w:space="0" w:color="auto"/>
      </w:divBdr>
    </w:div>
    <w:div w:id="1993018769">
      <w:bodyDiv w:val="1"/>
      <w:marLeft w:val="0"/>
      <w:marRight w:val="0"/>
      <w:marTop w:val="0"/>
      <w:marBottom w:val="0"/>
      <w:divBdr>
        <w:top w:val="none" w:sz="0" w:space="0" w:color="auto"/>
        <w:left w:val="none" w:sz="0" w:space="0" w:color="auto"/>
        <w:bottom w:val="none" w:sz="0" w:space="0" w:color="auto"/>
        <w:right w:val="none" w:sz="0" w:space="0" w:color="auto"/>
      </w:divBdr>
    </w:div>
    <w:div w:id="2039307375">
      <w:bodyDiv w:val="1"/>
      <w:marLeft w:val="0"/>
      <w:marRight w:val="0"/>
      <w:marTop w:val="0"/>
      <w:marBottom w:val="0"/>
      <w:divBdr>
        <w:top w:val="none" w:sz="0" w:space="0" w:color="auto"/>
        <w:left w:val="none" w:sz="0" w:space="0" w:color="auto"/>
        <w:bottom w:val="none" w:sz="0" w:space="0" w:color="auto"/>
        <w:right w:val="none" w:sz="0" w:space="0" w:color="auto"/>
      </w:divBdr>
    </w:div>
    <w:div w:id="2061660225">
      <w:bodyDiv w:val="1"/>
      <w:marLeft w:val="0"/>
      <w:marRight w:val="0"/>
      <w:marTop w:val="0"/>
      <w:marBottom w:val="0"/>
      <w:divBdr>
        <w:top w:val="none" w:sz="0" w:space="0" w:color="auto"/>
        <w:left w:val="none" w:sz="0" w:space="0" w:color="auto"/>
        <w:bottom w:val="none" w:sz="0" w:space="0" w:color="auto"/>
        <w:right w:val="none" w:sz="0" w:space="0" w:color="auto"/>
      </w:divBdr>
    </w:div>
    <w:div w:id="2091392048">
      <w:bodyDiv w:val="1"/>
      <w:marLeft w:val="0"/>
      <w:marRight w:val="0"/>
      <w:marTop w:val="0"/>
      <w:marBottom w:val="0"/>
      <w:divBdr>
        <w:top w:val="none" w:sz="0" w:space="0" w:color="auto"/>
        <w:left w:val="none" w:sz="0" w:space="0" w:color="auto"/>
        <w:bottom w:val="none" w:sz="0" w:space="0" w:color="auto"/>
        <w:right w:val="none" w:sz="0" w:space="0" w:color="auto"/>
      </w:divBdr>
      <w:divsChild>
        <w:div w:id="1989936502">
          <w:marLeft w:val="0"/>
          <w:marRight w:val="0"/>
          <w:marTop w:val="0"/>
          <w:marBottom w:val="0"/>
          <w:divBdr>
            <w:top w:val="none" w:sz="0" w:space="0" w:color="auto"/>
            <w:left w:val="none" w:sz="0" w:space="0" w:color="auto"/>
            <w:bottom w:val="none" w:sz="0" w:space="0" w:color="auto"/>
            <w:right w:val="none" w:sz="0" w:space="0" w:color="auto"/>
          </w:divBdr>
          <w:divsChild>
            <w:div w:id="13914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385">
      <w:bodyDiv w:val="1"/>
      <w:marLeft w:val="0"/>
      <w:marRight w:val="0"/>
      <w:marTop w:val="0"/>
      <w:marBottom w:val="0"/>
      <w:divBdr>
        <w:top w:val="none" w:sz="0" w:space="0" w:color="auto"/>
        <w:left w:val="none" w:sz="0" w:space="0" w:color="auto"/>
        <w:bottom w:val="none" w:sz="0" w:space="0" w:color="auto"/>
        <w:right w:val="none" w:sz="0" w:space="0" w:color="auto"/>
      </w:divBdr>
    </w:div>
    <w:div w:id="2127042349">
      <w:bodyDiv w:val="1"/>
      <w:marLeft w:val="0"/>
      <w:marRight w:val="0"/>
      <w:marTop w:val="0"/>
      <w:marBottom w:val="0"/>
      <w:divBdr>
        <w:top w:val="none" w:sz="0" w:space="0" w:color="auto"/>
        <w:left w:val="none" w:sz="0" w:space="0" w:color="auto"/>
        <w:bottom w:val="none" w:sz="0" w:space="0" w:color="auto"/>
        <w:right w:val="none" w:sz="0" w:space="0" w:color="auto"/>
      </w:divBdr>
    </w:div>
    <w:div w:id="2139686276">
      <w:bodyDiv w:val="1"/>
      <w:marLeft w:val="0"/>
      <w:marRight w:val="0"/>
      <w:marTop w:val="0"/>
      <w:marBottom w:val="0"/>
      <w:divBdr>
        <w:top w:val="none" w:sz="0" w:space="0" w:color="auto"/>
        <w:left w:val="none" w:sz="0" w:space="0" w:color="auto"/>
        <w:bottom w:val="none" w:sz="0" w:space="0" w:color="auto"/>
        <w:right w:val="none" w:sz="0" w:space="0" w:color="auto"/>
      </w:divBdr>
    </w:div>
    <w:div w:id="21437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ata.europa.eu/eli/dir/2016/97/oj"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ission.europa.eu/topics/eu-competitiveness/competitiveness-compass_sv"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ca.europa.eu/sv/publications?ref=SR-2025-14" TargetMode="External"/><Relationship Id="rId13" Type="http://schemas.openxmlformats.org/officeDocument/2006/relationships/hyperlink" Target="https://eur-lex.europa.eu/eli/reg/2019/1238/oj/swe" TargetMode="External"/><Relationship Id="rId18" Type="http://schemas.openxmlformats.org/officeDocument/2006/relationships/hyperlink" Target="https://ec.europa.eu/info/law/better-regulation/have-your-say/initiatives/14732-Supplementary-pensions-review-of-the-regulatory-framework-and-other-measures-to-strengthen-the-sector_sv" TargetMode="External"/><Relationship Id="rId26" Type="http://schemas.openxmlformats.org/officeDocument/2006/relationships/hyperlink" Target="https://www.consilium.europa.eu/media/viyhc2m4/20250320-european-council-conclusions-en.pdf" TargetMode="External"/><Relationship Id="rId3" Type="http://schemas.openxmlformats.org/officeDocument/2006/relationships/hyperlink" Target="https://www.consilium.europa.eu/media/ny3j24sm/much-more-than-a-market-report-by-enrico-letta.pdf" TargetMode="External"/><Relationship Id="rId21" Type="http://schemas.openxmlformats.org/officeDocument/2006/relationships/hyperlink" Target="https://www.eiopa.europa.eu/publications/technical-input-reviews-iorp-ii-directive-and-pepp-regulation-context-savings-and-investments-union_sv" TargetMode="External"/><Relationship Id="rId7" Type="http://schemas.openxmlformats.org/officeDocument/2006/relationships/hyperlink" Target="https://commission.europa.eu/document/download/ac06a896-2645-4857-9958-467d2ce6f221_en?filename=Mission%20letter%20-%20ALBUQUERQUE.pdf" TargetMode="External"/><Relationship Id="rId12" Type="http://schemas.openxmlformats.org/officeDocument/2006/relationships/hyperlink" Target="https://eur-lex.europa.eu/eli/dir/2016/2341/oj/swe" TargetMode="External"/><Relationship Id="rId17" Type="http://schemas.openxmlformats.org/officeDocument/2006/relationships/hyperlink" Target="https://finance.ec.europa.eu/regulation-and-supervision/consultations-0/targeted-consultation-supplementary-pensions-2025_sv" TargetMode="External"/><Relationship Id="rId25" Type="http://schemas.openxmlformats.org/officeDocument/2006/relationships/hyperlink" Target="http://data.europa.eu/eli/reg/2019/1238/oj" TargetMode="External"/><Relationship Id="rId2" Type="http://schemas.openxmlformats.org/officeDocument/2006/relationships/hyperlink" Target="https://commission.europa.eu/topics/eu-competitiveness/draghi-report_sv" TargetMode="External"/><Relationship Id="rId16" Type="http://schemas.openxmlformats.org/officeDocument/2006/relationships/hyperlink" Target="https://commission.europa.eu/topics/eu-competitiveness/competitiveness-compass_sv" TargetMode="External"/><Relationship Id="rId20" Type="http://schemas.openxmlformats.org/officeDocument/2006/relationships/hyperlink" Target="https://finance.ec.europa.eu/events/stakeholder-forum-reality-check-retirement-savings-2025-06-16_sv" TargetMode="External"/><Relationship Id="rId29" Type="http://schemas.openxmlformats.org/officeDocument/2006/relationships/hyperlink" Target="http://data.europa.eu/eli/reg/2016/679/oj" TargetMode="External"/><Relationship Id="rId1" Type="http://schemas.openxmlformats.org/officeDocument/2006/relationships/hyperlink" Target="https://commission.europa.eu/system/files/2017-11/social-summit-european-pillar-social-rights-booklet_en.pdf" TargetMode="External"/><Relationship Id="rId6" Type="http://schemas.openxmlformats.org/officeDocument/2006/relationships/hyperlink" Target="file:///https://commission.europa.eu/document/download/e6cd4328-673c-4e7a-8683-f63ffb2cf648_en?filename=Political%20Guidelines%202024-2029_EN.pdf" TargetMode="External"/><Relationship Id="rId11" Type="http://schemas.openxmlformats.org/officeDocument/2006/relationships/hyperlink" Target="https://eur-lex.europa.eu/eli/dir/2014/50/oj/swe" TargetMode="External"/><Relationship Id="rId24" Type="http://schemas.openxmlformats.org/officeDocument/2006/relationships/hyperlink" Target="https://eur-lex.europa.eu/legal-content/SV/TXT/?uri=celex:52025DC0124" TargetMode="External"/><Relationship Id="rId5" Type="http://schemas.openxmlformats.org/officeDocument/2006/relationships/hyperlink" Target="https://www.consilium.europa.eu/media/viyhc2m4/20250320-european-council-conclusions-en.pdf" TargetMode="External"/><Relationship Id="rId15" Type="http://schemas.openxmlformats.org/officeDocument/2006/relationships/hyperlink" Target="https://eur-lex.europa.eu/legal-content/SV/TXT/?uri=PI_COM%3AC(2025)6800" TargetMode="External"/><Relationship Id="rId23" Type="http://schemas.openxmlformats.org/officeDocument/2006/relationships/hyperlink" Target="http://data.europa.eu/eli/dir/2016/97/oj" TargetMode="External"/><Relationship Id="rId28" Type="http://schemas.openxmlformats.org/officeDocument/2006/relationships/hyperlink" Target="http://data.europa.eu/eli/dir/2014/65/oj" TargetMode="External"/><Relationship Id="rId10" Type="http://schemas.openxmlformats.org/officeDocument/2006/relationships/hyperlink" Target="https://eur-lex.europa.eu/eli/dir/1998/49/oj/swe" TargetMode="External"/><Relationship Id="rId19" Type="http://schemas.openxmlformats.org/officeDocument/2006/relationships/hyperlink" Target="https://www.eiopa.europa.eu/publications/eiopa-staff-paper-future-pan-european-pension-product-pepp_sv" TargetMode="External"/><Relationship Id="rId4" Type="http://schemas.openxmlformats.org/officeDocument/2006/relationships/hyperlink" Target="https://www.consilium.europa.eu/media/m5jlwe0p/euco-conclusions-20240417-18-en.pdf" TargetMode="External"/><Relationship Id="rId9" Type="http://schemas.openxmlformats.org/officeDocument/2006/relationships/hyperlink" Target="https://eur-lex.europa.eu/eli/reg/2019/1238/oj/swe" TargetMode="External"/><Relationship Id="rId14" Type="http://schemas.openxmlformats.org/officeDocument/2006/relationships/hyperlink" Target="https://eur-lex.europa.eu/legal-content/SV/TXT/?uri=CELEX:52025DC0681" TargetMode="External"/><Relationship Id="rId22" Type="http://schemas.openxmlformats.org/officeDocument/2006/relationships/hyperlink" Target="http://data.europa.eu/eli/dir/2014/65/oj" TargetMode="External"/><Relationship Id="rId27" Type="http://schemas.openxmlformats.org/officeDocument/2006/relationships/hyperlink" Target="http://data.europa.eu/eli/dir/2016/97/oj" TargetMode="External"/><Relationship Id="rId30" Type="http://schemas.openxmlformats.org/officeDocument/2006/relationships/hyperlink" Target="http://data.europa.eu/eli/dir/2002/5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1CC78-8683-4C4B-B5BA-F30A5127D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7</TotalTime>
  <Pages>26</Pages>
  <Words>19060</Words>
  <Characters>108643</Characters>
  <Application>Microsoft Office Word</Application>
  <DocSecurity>0</DocSecurity>
  <Lines>905</Lines>
  <Paragraphs>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127449</CharactersWithSpaces>
  <SharedDoc>false</SharedDoc>
  <HLinks>
    <vt:vector size="234" baseType="variant">
      <vt:variant>
        <vt:i4>5963867</vt:i4>
      </vt:variant>
      <vt:variant>
        <vt:i4>3</vt:i4>
      </vt:variant>
      <vt:variant>
        <vt:i4>0</vt:i4>
      </vt:variant>
      <vt:variant>
        <vt:i4>5</vt:i4>
      </vt:variant>
      <vt:variant>
        <vt:lpwstr>http://data.europa.eu/eli/dir/2016/97/oj</vt:lpwstr>
      </vt:variant>
      <vt:variant>
        <vt:lpwstr/>
      </vt:variant>
      <vt:variant>
        <vt:i4>2031656</vt:i4>
      </vt:variant>
      <vt:variant>
        <vt:i4>0</vt:i4>
      </vt:variant>
      <vt:variant>
        <vt:i4>0</vt:i4>
      </vt:variant>
      <vt:variant>
        <vt:i4>5</vt:i4>
      </vt:variant>
      <vt:variant>
        <vt:lpwstr>https://commission.europa.eu/topics/eu-competitiveness/competitiveness-compass_en</vt:lpwstr>
      </vt:variant>
      <vt:variant>
        <vt:lpwstr/>
      </vt:variant>
      <vt:variant>
        <vt:i4>5439573</vt:i4>
      </vt:variant>
      <vt:variant>
        <vt:i4>90</vt:i4>
      </vt:variant>
      <vt:variant>
        <vt:i4>0</vt:i4>
      </vt:variant>
      <vt:variant>
        <vt:i4>5</vt:i4>
      </vt:variant>
      <vt:variant>
        <vt:lpwstr>http://data.europa.eu/eli/dir/2002/58/oj</vt:lpwstr>
      </vt:variant>
      <vt:variant>
        <vt:lpwstr/>
      </vt:variant>
      <vt:variant>
        <vt:i4>4915224</vt:i4>
      </vt:variant>
      <vt:variant>
        <vt:i4>87</vt:i4>
      </vt:variant>
      <vt:variant>
        <vt:i4>0</vt:i4>
      </vt:variant>
      <vt:variant>
        <vt:i4>5</vt:i4>
      </vt:variant>
      <vt:variant>
        <vt:lpwstr>http://data.europa.eu/eli/reg/2016/679/oj</vt:lpwstr>
      </vt:variant>
      <vt:variant>
        <vt:lpwstr/>
      </vt:variant>
      <vt:variant>
        <vt:i4>5636185</vt:i4>
      </vt:variant>
      <vt:variant>
        <vt:i4>84</vt:i4>
      </vt:variant>
      <vt:variant>
        <vt:i4>0</vt:i4>
      </vt:variant>
      <vt:variant>
        <vt:i4>5</vt:i4>
      </vt:variant>
      <vt:variant>
        <vt:lpwstr>http://data.europa.eu/eli/dir/2014/65/oj</vt:lpwstr>
      </vt:variant>
      <vt:variant>
        <vt:lpwstr/>
      </vt:variant>
      <vt:variant>
        <vt:i4>5963867</vt:i4>
      </vt:variant>
      <vt:variant>
        <vt:i4>81</vt:i4>
      </vt:variant>
      <vt:variant>
        <vt:i4>0</vt:i4>
      </vt:variant>
      <vt:variant>
        <vt:i4>5</vt:i4>
      </vt:variant>
      <vt:variant>
        <vt:lpwstr>http://data.europa.eu/eli/dir/2016/97/oj</vt:lpwstr>
      </vt:variant>
      <vt:variant>
        <vt:lpwstr/>
      </vt:variant>
      <vt:variant>
        <vt:i4>6291563</vt:i4>
      </vt:variant>
      <vt:variant>
        <vt:i4>78</vt:i4>
      </vt:variant>
      <vt:variant>
        <vt:i4>0</vt:i4>
      </vt:variant>
      <vt:variant>
        <vt:i4>5</vt:i4>
      </vt:variant>
      <vt:variant>
        <vt:lpwstr>http://data.europa.eu/eli/reg/2010/1094/oj</vt:lpwstr>
      </vt:variant>
      <vt:variant>
        <vt:lpwstr/>
      </vt:variant>
      <vt:variant>
        <vt:i4>7340159</vt:i4>
      </vt:variant>
      <vt:variant>
        <vt:i4>75</vt:i4>
      </vt:variant>
      <vt:variant>
        <vt:i4>0</vt:i4>
      </vt:variant>
      <vt:variant>
        <vt:i4>5</vt:i4>
      </vt:variant>
      <vt:variant>
        <vt:lpwstr>https://www.consilium.europa.eu/media/viyhc2m4/20250320-european-council-conclusions-en.pdf</vt:lpwstr>
      </vt:variant>
      <vt:variant>
        <vt:lpwstr/>
      </vt:variant>
      <vt:variant>
        <vt:i4>6488165</vt:i4>
      </vt:variant>
      <vt:variant>
        <vt:i4>72</vt:i4>
      </vt:variant>
      <vt:variant>
        <vt:i4>0</vt:i4>
      </vt:variant>
      <vt:variant>
        <vt:i4>5</vt:i4>
      </vt:variant>
      <vt:variant>
        <vt:lpwstr>http://data.europa.eu/eli/reg/2019/1238/oj</vt:lpwstr>
      </vt:variant>
      <vt:variant>
        <vt:lpwstr/>
      </vt:variant>
      <vt:variant>
        <vt:i4>131088</vt:i4>
      </vt:variant>
      <vt:variant>
        <vt:i4>69</vt:i4>
      </vt:variant>
      <vt:variant>
        <vt:i4>0</vt:i4>
      </vt:variant>
      <vt:variant>
        <vt:i4>5</vt:i4>
      </vt:variant>
      <vt:variant>
        <vt:lpwstr>https://eur-lex.europa.eu/legal-content/EN/TXT/?uri=celex:52025DC0124</vt:lpwstr>
      </vt:variant>
      <vt:variant>
        <vt:lpwstr/>
      </vt:variant>
      <vt:variant>
        <vt:i4>5963867</vt:i4>
      </vt:variant>
      <vt:variant>
        <vt:i4>66</vt:i4>
      </vt:variant>
      <vt:variant>
        <vt:i4>0</vt:i4>
      </vt:variant>
      <vt:variant>
        <vt:i4>5</vt:i4>
      </vt:variant>
      <vt:variant>
        <vt:lpwstr>http://data.europa.eu/eli/dir/2016/97/oj</vt:lpwstr>
      </vt:variant>
      <vt:variant>
        <vt:lpwstr/>
      </vt:variant>
      <vt:variant>
        <vt:i4>5636185</vt:i4>
      </vt:variant>
      <vt:variant>
        <vt:i4>63</vt:i4>
      </vt:variant>
      <vt:variant>
        <vt:i4>0</vt:i4>
      </vt:variant>
      <vt:variant>
        <vt:i4>5</vt:i4>
      </vt:variant>
      <vt:variant>
        <vt:lpwstr>http://data.europa.eu/eli/dir/2014/65/oj</vt:lpwstr>
      </vt:variant>
      <vt:variant>
        <vt:lpwstr/>
      </vt:variant>
      <vt:variant>
        <vt:i4>2555998</vt:i4>
      </vt:variant>
      <vt:variant>
        <vt:i4>60</vt:i4>
      </vt:variant>
      <vt:variant>
        <vt:i4>0</vt:i4>
      </vt:variant>
      <vt:variant>
        <vt:i4>5</vt:i4>
      </vt:variant>
      <vt:variant>
        <vt:lpwstr>https://www.eiopa.europa.eu/publications/technical-input-reviews-iorp-ii-directive-and-pepp-regulation-context-savings-and-investments-union_en</vt:lpwstr>
      </vt:variant>
      <vt:variant>
        <vt:lpwstr/>
      </vt:variant>
      <vt:variant>
        <vt:i4>3735576</vt:i4>
      </vt:variant>
      <vt:variant>
        <vt:i4>57</vt:i4>
      </vt:variant>
      <vt:variant>
        <vt:i4>0</vt:i4>
      </vt:variant>
      <vt:variant>
        <vt:i4>5</vt:i4>
      </vt:variant>
      <vt:variant>
        <vt:lpwstr>https://finance.ec.europa.eu/events/stakeholder-forum-reality-check-retirement-savings-2025-06-16_en</vt:lpwstr>
      </vt:variant>
      <vt:variant>
        <vt:lpwstr/>
      </vt:variant>
      <vt:variant>
        <vt:i4>1507371</vt:i4>
      </vt:variant>
      <vt:variant>
        <vt:i4>54</vt:i4>
      </vt:variant>
      <vt:variant>
        <vt:i4>0</vt:i4>
      </vt:variant>
      <vt:variant>
        <vt:i4>5</vt:i4>
      </vt:variant>
      <vt:variant>
        <vt:lpwstr>https://www.eiopa.europa.eu/publications/eiopa-staff-paper-future-pan-european-pension-product-pepp_en</vt:lpwstr>
      </vt:variant>
      <vt:variant>
        <vt:lpwstr/>
      </vt:variant>
      <vt:variant>
        <vt:i4>7536643</vt:i4>
      </vt:variant>
      <vt:variant>
        <vt:i4>51</vt:i4>
      </vt:variant>
      <vt:variant>
        <vt:i4>0</vt:i4>
      </vt:variant>
      <vt:variant>
        <vt:i4>5</vt:i4>
      </vt:variant>
      <vt:variant>
        <vt:lpwstr>https://ec.europa.eu/info/law/better-regulation/have-your-say/initiatives/14732-Supplementary-pensions-review-of-the-regulatory-framework-and-other-measures-to-strengthen-the-sector_en</vt:lpwstr>
      </vt:variant>
      <vt:variant>
        <vt:lpwstr/>
      </vt:variant>
      <vt:variant>
        <vt:i4>8323100</vt:i4>
      </vt:variant>
      <vt:variant>
        <vt:i4>48</vt:i4>
      </vt:variant>
      <vt:variant>
        <vt:i4>0</vt:i4>
      </vt:variant>
      <vt:variant>
        <vt:i4>5</vt:i4>
      </vt:variant>
      <vt:variant>
        <vt:lpwstr>https://finance.ec.europa.eu/regulation-and-supervision/consultations-0/targeted-consultation-supplementary-pensions-2025_en</vt:lpwstr>
      </vt:variant>
      <vt:variant>
        <vt:lpwstr/>
      </vt:variant>
      <vt:variant>
        <vt:i4>2031656</vt:i4>
      </vt:variant>
      <vt:variant>
        <vt:i4>45</vt:i4>
      </vt:variant>
      <vt:variant>
        <vt:i4>0</vt:i4>
      </vt:variant>
      <vt:variant>
        <vt:i4>5</vt:i4>
      </vt:variant>
      <vt:variant>
        <vt:lpwstr>https://commission.europa.eu/topics/eu-competitiveness/competitiveness-compass_en</vt:lpwstr>
      </vt:variant>
      <vt:variant>
        <vt:lpwstr/>
      </vt:variant>
      <vt:variant>
        <vt:i4>4718634</vt:i4>
      </vt:variant>
      <vt:variant>
        <vt:i4>42</vt:i4>
      </vt:variant>
      <vt:variant>
        <vt:i4>0</vt:i4>
      </vt:variant>
      <vt:variant>
        <vt:i4>5</vt:i4>
      </vt:variant>
      <vt:variant>
        <vt:lpwstr>https://eur-lex.europa.eu/legal-content/EN/TXT/?uri=PI_COM%3AC(2025)6800</vt:lpwstr>
      </vt:variant>
      <vt:variant>
        <vt:lpwstr/>
      </vt:variant>
      <vt:variant>
        <vt:i4>524311</vt:i4>
      </vt:variant>
      <vt:variant>
        <vt:i4>39</vt:i4>
      </vt:variant>
      <vt:variant>
        <vt:i4>0</vt:i4>
      </vt:variant>
      <vt:variant>
        <vt:i4>5</vt:i4>
      </vt:variant>
      <vt:variant>
        <vt:lpwstr>https://eur-lex.europa.eu/legal-content/EN/TXT/?uri=CELEX:52025DC0681</vt:lpwstr>
      </vt:variant>
      <vt:variant>
        <vt:lpwstr/>
      </vt:variant>
      <vt:variant>
        <vt:i4>7733358</vt:i4>
      </vt:variant>
      <vt:variant>
        <vt:i4>36</vt:i4>
      </vt:variant>
      <vt:variant>
        <vt:i4>0</vt:i4>
      </vt:variant>
      <vt:variant>
        <vt:i4>5</vt:i4>
      </vt:variant>
      <vt:variant>
        <vt:lpwstr>https://eur-lex.europa.eu/eli/reg/2019/1238/oj/eng</vt:lpwstr>
      </vt:variant>
      <vt:variant>
        <vt:lpwstr/>
      </vt:variant>
      <vt:variant>
        <vt:i4>7405669</vt:i4>
      </vt:variant>
      <vt:variant>
        <vt:i4>33</vt:i4>
      </vt:variant>
      <vt:variant>
        <vt:i4>0</vt:i4>
      </vt:variant>
      <vt:variant>
        <vt:i4>5</vt:i4>
      </vt:variant>
      <vt:variant>
        <vt:lpwstr>https://eur-lex.europa.eu/eli/dir/2016/2341/oj/eng</vt:lpwstr>
      </vt:variant>
      <vt:variant>
        <vt:lpwstr/>
      </vt:variant>
      <vt:variant>
        <vt:i4>4194391</vt:i4>
      </vt:variant>
      <vt:variant>
        <vt:i4>30</vt:i4>
      </vt:variant>
      <vt:variant>
        <vt:i4>0</vt:i4>
      </vt:variant>
      <vt:variant>
        <vt:i4>5</vt:i4>
      </vt:variant>
      <vt:variant>
        <vt:lpwstr>https://eur-lex.europa.eu/eli/dir/2014/50/oj/eng</vt:lpwstr>
      </vt:variant>
      <vt:variant>
        <vt:lpwstr/>
      </vt:variant>
      <vt:variant>
        <vt:i4>4456533</vt:i4>
      </vt:variant>
      <vt:variant>
        <vt:i4>27</vt:i4>
      </vt:variant>
      <vt:variant>
        <vt:i4>0</vt:i4>
      </vt:variant>
      <vt:variant>
        <vt:i4>5</vt:i4>
      </vt:variant>
      <vt:variant>
        <vt:lpwstr>https://eur-lex.europa.eu/eli/dir/1998/49/oj/eng</vt:lpwstr>
      </vt:variant>
      <vt:variant>
        <vt:lpwstr/>
      </vt:variant>
      <vt:variant>
        <vt:i4>7733358</vt:i4>
      </vt:variant>
      <vt:variant>
        <vt:i4>24</vt:i4>
      </vt:variant>
      <vt:variant>
        <vt:i4>0</vt:i4>
      </vt:variant>
      <vt:variant>
        <vt:i4>5</vt:i4>
      </vt:variant>
      <vt:variant>
        <vt:lpwstr>https://eur-lex.europa.eu/eli/reg/2019/1238/oj/eng</vt:lpwstr>
      </vt:variant>
      <vt:variant>
        <vt:lpwstr/>
      </vt:variant>
      <vt:variant>
        <vt:i4>4915294</vt:i4>
      </vt:variant>
      <vt:variant>
        <vt:i4>21</vt:i4>
      </vt:variant>
      <vt:variant>
        <vt:i4>0</vt:i4>
      </vt:variant>
      <vt:variant>
        <vt:i4>5</vt:i4>
      </vt:variant>
      <vt:variant>
        <vt:lpwstr>https://www.eca.europa.eu/en/publications?ref=SR-2025-14</vt:lpwstr>
      </vt:variant>
      <vt:variant>
        <vt:lpwstr/>
      </vt:variant>
      <vt:variant>
        <vt:i4>5111905</vt:i4>
      </vt:variant>
      <vt:variant>
        <vt:i4>18</vt:i4>
      </vt:variant>
      <vt:variant>
        <vt:i4>0</vt:i4>
      </vt:variant>
      <vt:variant>
        <vt:i4>5</vt:i4>
      </vt:variant>
      <vt:variant>
        <vt:lpwstr>https://commission.europa.eu/document/download/ac06a896-2645-4857-9958-467d2ce6f221_en?filename=Mission%20letter%20-%20ALBUQUERQUE.pdf</vt:lpwstr>
      </vt:variant>
      <vt:variant>
        <vt:lpwstr/>
      </vt:variant>
      <vt:variant>
        <vt:i4>589927</vt:i4>
      </vt:variant>
      <vt:variant>
        <vt:i4>15</vt:i4>
      </vt:variant>
      <vt:variant>
        <vt:i4>0</vt:i4>
      </vt:variant>
      <vt:variant>
        <vt:i4>5</vt:i4>
      </vt:variant>
      <vt:variant>
        <vt:lpwstr>C:\users\horovma\downloads\e6cd4328-673c-4e7a-8683-f63ffb2cf648_en</vt:lpwstr>
      </vt:variant>
      <vt:variant>
        <vt:lpwstr/>
      </vt:variant>
      <vt:variant>
        <vt:i4>7340159</vt:i4>
      </vt:variant>
      <vt:variant>
        <vt:i4>12</vt:i4>
      </vt:variant>
      <vt:variant>
        <vt:i4>0</vt:i4>
      </vt:variant>
      <vt:variant>
        <vt:i4>5</vt:i4>
      </vt:variant>
      <vt:variant>
        <vt:lpwstr>https://www.consilium.europa.eu/media/viyhc2m4/20250320-european-council-conclusions-en.pdf</vt:lpwstr>
      </vt:variant>
      <vt:variant>
        <vt:lpwstr/>
      </vt:variant>
      <vt:variant>
        <vt:i4>2490420</vt:i4>
      </vt:variant>
      <vt:variant>
        <vt:i4>9</vt:i4>
      </vt:variant>
      <vt:variant>
        <vt:i4>0</vt:i4>
      </vt:variant>
      <vt:variant>
        <vt:i4>5</vt:i4>
      </vt:variant>
      <vt:variant>
        <vt:lpwstr>https://www.consilium.europa.eu/media/m5jlwe0p/euco-conclusions-20240417-18-en.pdf</vt:lpwstr>
      </vt:variant>
      <vt:variant>
        <vt:lpwstr/>
      </vt:variant>
      <vt:variant>
        <vt:i4>6225928</vt:i4>
      </vt:variant>
      <vt:variant>
        <vt:i4>6</vt:i4>
      </vt:variant>
      <vt:variant>
        <vt:i4>0</vt:i4>
      </vt:variant>
      <vt:variant>
        <vt:i4>5</vt:i4>
      </vt:variant>
      <vt:variant>
        <vt:lpwstr>https://www.consilium.europa.eu/media/ny3j24sm/much-more-than-a-market-report-by-enrico-letta.pdf</vt:lpwstr>
      </vt:variant>
      <vt:variant>
        <vt:lpwstr/>
      </vt:variant>
      <vt:variant>
        <vt:i4>2424849</vt:i4>
      </vt:variant>
      <vt:variant>
        <vt:i4>3</vt:i4>
      </vt:variant>
      <vt:variant>
        <vt:i4>0</vt:i4>
      </vt:variant>
      <vt:variant>
        <vt:i4>5</vt:i4>
      </vt:variant>
      <vt:variant>
        <vt:lpwstr>https://commission.europa.eu/topics/eu-competitiveness/draghi-report_en</vt:lpwstr>
      </vt:variant>
      <vt:variant>
        <vt:lpwstr/>
      </vt:variant>
      <vt:variant>
        <vt:i4>3801178</vt:i4>
      </vt:variant>
      <vt:variant>
        <vt:i4>0</vt:i4>
      </vt:variant>
      <vt:variant>
        <vt:i4>0</vt:i4>
      </vt:variant>
      <vt:variant>
        <vt:i4>5</vt:i4>
      </vt:variant>
      <vt:variant>
        <vt:lpwstr>https://commission.europa.eu/system/files/2017-11/social-summit-european-pillar-social-rights-booklet_en.pdf</vt:lpwstr>
      </vt:variant>
      <vt:variant>
        <vt:lpwstr/>
      </vt:variant>
      <vt:variant>
        <vt:i4>393262</vt:i4>
      </vt:variant>
      <vt:variant>
        <vt:i4>15</vt:i4>
      </vt:variant>
      <vt:variant>
        <vt:i4>0</vt:i4>
      </vt:variant>
      <vt:variant>
        <vt:i4>5</vt:i4>
      </vt:variant>
      <vt:variant>
        <vt:lpwstr>mailto:Lilli.HATTINGA@ec.europa.eu</vt:lpwstr>
      </vt:variant>
      <vt:variant>
        <vt:lpwstr/>
      </vt:variant>
      <vt:variant>
        <vt:i4>1376314</vt:i4>
      </vt:variant>
      <vt:variant>
        <vt:i4>12</vt:i4>
      </vt:variant>
      <vt:variant>
        <vt:i4>0</vt:i4>
      </vt:variant>
      <vt:variant>
        <vt:i4>5</vt:i4>
      </vt:variant>
      <vt:variant>
        <vt:lpwstr>mailto:Marc.HOROVITZ@ec.europa.eu</vt:lpwstr>
      </vt:variant>
      <vt:variant>
        <vt:lpwstr/>
      </vt:variant>
      <vt:variant>
        <vt:i4>393262</vt:i4>
      </vt:variant>
      <vt:variant>
        <vt:i4>9</vt:i4>
      </vt:variant>
      <vt:variant>
        <vt:i4>0</vt:i4>
      </vt:variant>
      <vt:variant>
        <vt:i4>5</vt:i4>
      </vt:variant>
      <vt:variant>
        <vt:lpwstr>mailto:Lilli.HATTINGA@ec.europa.eu</vt:lpwstr>
      </vt:variant>
      <vt:variant>
        <vt:lpwstr/>
      </vt:variant>
      <vt:variant>
        <vt:i4>1376314</vt:i4>
      </vt:variant>
      <vt:variant>
        <vt:i4>6</vt:i4>
      </vt:variant>
      <vt:variant>
        <vt:i4>0</vt:i4>
      </vt:variant>
      <vt:variant>
        <vt:i4>5</vt:i4>
      </vt:variant>
      <vt:variant>
        <vt:lpwstr>mailto:Marc.HOROVITZ@ec.europa.eu</vt:lpwstr>
      </vt:variant>
      <vt:variant>
        <vt:lpwstr/>
      </vt:variant>
      <vt:variant>
        <vt:i4>1376314</vt:i4>
      </vt:variant>
      <vt:variant>
        <vt:i4>3</vt:i4>
      </vt:variant>
      <vt:variant>
        <vt:i4>0</vt:i4>
      </vt:variant>
      <vt:variant>
        <vt:i4>5</vt:i4>
      </vt:variant>
      <vt:variant>
        <vt:lpwstr>mailto:Marc.HOROVITZ@ec.europa.eu</vt:lpwstr>
      </vt:variant>
      <vt:variant>
        <vt:lpwstr/>
      </vt:variant>
      <vt:variant>
        <vt:i4>393262</vt:i4>
      </vt:variant>
      <vt:variant>
        <vt:i4>0</vt:i4>
      </vt:variant>
      <vt:variant>
        <vt:i4>0</vt:i4>
      </vt:variant>
      <vt:variant>
        <vt:i4>5</vt:i4>
      </vt:variant>
      <vt:variant>
        <vt:lpwstr>mailto:Lilli.HATTINGA@ec.europa.eu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22</cp:revision>
  <dcterms:created xsi:type="dcterms:W3CDTF">2025-11-17T21:15:00Z</dcterms:created>
  <dcterms:modified xsi:type="dcterms:W3CDTF">2026-02-09T15:35:00Z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9.2, Build 20250828</vt:lpwstr>
  </property>
  <property fmtid="{D5CDD505-2E9C-101B-9397-08002B2CF9AE}" pid="3" name="MSIP_Label_6bd9ddd1-4d20-43f6-abfa-fc3c07406f94_Enabled">
    <vt:lpwstr>true</vt:lpwstr>
  </property>
  <property fmtid="{D5CDD505-2E9C-101B-9397-08002B2CF9AE}" pid="4" name="MSIP_Label_6bd9ddd1-4d20-43f6-abfa-fc3c07406f94_SetDate">
    <vt:lpwstr>2025-11-15T16:52:00Z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352c48f8-6ed1-4073-9d60-8681344cd2af</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SJ-023</vt:lpwstr>
  </property>
  <property fmtid="{D5CDD505-2E9C-101B-9397-08002B2CF9AE}" pid="16" name="DQCStatus">
    <vt:lpwstr>Green (DQC version 03)</vt:lpwstr>
  </property>
</Properties>
</file>